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45F74">
      <w:pPr>
        <w:spacing w:line="360" w:lineRule="auto"/>
        <w:rPr>
          <w:rFonts w:hint="default" w:ascii="Times New Roman" w:hAnsi="Times New Roman" w:cs="Times New Roman"/>
          <w:color w:val="auto"/>
          <w:highlight w:val="none"/>
        </w:rPr>
      </w:pPr>
      <w:bookmarkStart w:id="0" w:name="_Hlk11933228"/>
      <w:bookmarkStart w:id="1" w:name="_Hlk12951021"/>
    </w:p>
    <w:p w14:paraId="21BE9C24">
      <w:pPr>
        <w:spacing w:line="360" w:lineRule="auto"/>
        <w:rPr>
          <w:rFonts w:hint="default" w:ascii="Times New Roman" w:hAnsi="Times New Roman" w:cs="Times New Roman"/>
          <w:color w:val="auto"/>
          <w:highlight w:val="none"/>
        </w:rPr>
      </w:pPr>
    </w:p>
    <w:p w14:paraId="2878D0FE">
      <w:pPr>
        <w:spacing w:line="360" w:lineRule="auto"/>
        <w:rPr>
          <w:rFonts w:hint="default" w:ascii="Times New Roman" w:hAnsi="Times New Roman" w:cs="Times New Roman"/>
          <w:color w:val="auto"/>
          <w:highlight w:val="none"/>
        </w:rPr>
      </w:pPr>
    </w:p>
    <w:p w14:paraId="3DF677CA">
      <w:pPr>
        <w:spacing w:line="360" w:lineRule="auto"/>
        <w:rPr>
          <w:rFonts w:hint="default" w:ascii="Times New Roman" w:hAnsi="Times New Roman" w:cs="Times New Roman"/>
          <w:color w:val="auto"/>
          <w:highlight w:val="none"/>
        </w:rPr>
      </w:pPr>
    </w:p>
    <w:p w14:paraId="335E6038">
      <w:pPr>
        <w:spacing w:before="156" w:beforeLines="50" w:after="156" w:afterLines="50" w:line="360" w:lineRule="auto"/>
        <w:jc w:val="center"/>
        <w:rPr>
          <w:rFonts w:hint="default" w:ascii="Times New Roman" w:hAnsi="Times New Roman" w:eastAsia="黑体" w:cs="Times New Roman"/>
          <w:color w:val="auto"/>
          <w:sz w:val="44"/>
          <w:szCs w:val="44"/>
          <w:highlight w:val="none"/>
        </w:rPr>
      </w:pPr>
    </w:p>
    <w:p w14:paraId="469E0408">
      <w:pPr>
        <w:tabs>
          <w:tab w:val="left" w:pos="8222"/>
        </w:tabs>
        <w:spacing w:before="156" w:beforeLines="50" w:after="156" w:afterLines="50" w:line="360" w:lineRule="auto"/>
        <w:jc w:val="center"/>
        <w:rPr>
          <w:rFonts w:hint="default" w:ascii="Times New Roman" w:hAnsi="Times New Roman" w:eastAsia="黑体" w:cs="Times New Roman"/>
          <w:color w:val="auto"/>
          <w:sz w:val="44"/>
          <w:szCs w:val="44"/>
          <w:highlight w:val="none"/>
          <w:lang w:eastAsia="zh-CN"/>
        </w:rPr>
      </w:pPr>
      <w:bookmarkStart w:id="2" w:name="_Hlk135120466"/>
      <w:r>
        <w:rPr>
          <w:rFonts w:hint="default" w:ascii="Times New Roman" w:hAnsi="Times New Roman" w:eastAsia="黑体" w:cs="Times New Roman"/>
          <w:color w:val="auto"/>
          <w:sz w:val="44"/>
          <w:szCs w:val="44"/>
          <w:highlight w:val="none"/>
          <w:lang w:eastAsia="zh-CN"/>
        </w:rPr>
        <w:t>波密县岗云杉林旅游景区创建4A级规划</w:t>
      </w:r>
    </w:p>
    <w:p w14:paraId="370D8FE2">
      <w:pPr>
        <w:tabs>
          <w:tab w:val="left" w:pos="8222"/>
        </w:tabs>
        <w:spacing w:before="156" w:beforeLines="50" w:after="50" w:line="360" w:lineRule="auto"/>
        <w:jc w:val="center"/>
        <w:rPr>
          <w:rFonts w:hint="default" w:ascii="Times New Roman" w:hAnsi="Times New Roman" w:eastAsia="楷体" w:cs="Times New Roman"/>
          <w:color w:val="auto"/>
          <w:sz w:val="44"/>
          <w:szCs w:val="44"/>
          <w:highlight w:val="none"/>
        </w:rPr>
      </w:pPr>
      <w:bookmarkStart w:id="3" w:name="_Toc485630706"/>
      <w:bookmarkStart w:id="4" w:name="_Toc480211043"/>
      <w:bookmarkStart w:id="5" w:name="_Toc483309146"/>
      <w:bookmarkStart w:id="6" w:name="_Toc480447999"/>
      <w:bookmarkStart w:id="7" w:name="_Toc484612549"/>
      <w:r>
        <w:rPr>
          <w:rFonts w:hint="default" w:ascii="Times New Roman" w:hAnsi="Times New Roman" w:eastAsia="楷体" w:cs="Times New Roman"/>
          <w:color w:val="auto"/>
          <w:sz w:val="44"/>
          <w:szCs w:val="44"/>
          <w:highlight w:val="none"/>
        </w:rPr>
        <w:t>环境影响报告书</w:t>
      </w:r>
      <w:bookmarkEnd w:id="3"/>
      <w:bookmarkEnd w:id="4"/>
      <w:bookmarkEnd w:id="5"/>
      <w:bookmarkEnd w:id="6"/>
      <w:bookmarkEnd w:id="7"/>
    </w:p>
    <w:p w14:paraId="1E5596F0">
      <w:pPr>
        <w:spacing w:line="360" w:lineRule="auto"/>
        <w:jc w:val="center"/>
        <w:rPr>
          <w:rFonts w:hint="default" w:ascii="Times New Roman" w:hAnsi="Times New Roman" w:eastAsia="楷体" w:cs="Times New Roman"/>
          <w:color w:val="auto"/>
          <w:sz w:val="32"/>
          <w:szCs w:val="44"/>
          <w:highlight w:val="none"/>
        </w:rPr>
      </w:pPr>
    </w:p>
    <w:p w14:paraId="548C33C0">
      <w:pPr>
        <w:spacing w:line="360" w:lineRule="auto"/>
        <w:rPr>
          <w:rFonts w:hint="default" w:ascii="Times New Roman" w:hAnsi="Times New Roman" w:cs="Times New Roman"/>
          <w:color w:val="auto"/>
          <w:highlight w:val="none"/>
        </w:rPr>
      </w:pPr>
    </w:p>
    <w:p w14:paraId="21AA404B">
      <w:pPr>
        <w:spacing w:line="360" w:lineRule="auto"/>
        <w:rPr>
          <w:rFonts w:hint="default" w:ascii="Times New Roman" w:hAnsi="Times New Roman" w:cs="Times New Roman"/>
          <w:b/>
          <w:bCs/>
          <w:color w:val="auto"/>
          <w:highlight w:val="none"/>
        </w:rPr>
      </w:pPr>
    </w:p>
    <w:p w14:paraId="1B71342C">
      <w:pPr>
        <w:pStyle w:val="36"/>
        <w:rPr>
          <w:rFonts w:hint="default" w:ascii="Times New Roman" w:hAnsi="Times New Roman" w:cs="Times New Roman"/>
          <w:color w:val="auto"/>
          <w:highlight w:val="none"/>
          <w:lang w:val="en-US"/>
        </w:rPr>
      </w:pPr>
    </w:p>
    <w:p w14:paraId="60EB34EE">
      <w:pPr>
        <w:pStyle w:val="36"/>
        <w:rPr>
          <w:rFonts w:hint="default" w:ascii="Times New Roman" w:hAnsi="Times New Roman" w:cs="Times New Roman"/>
          <w:color w:val="auto"/>
          <w:highlight w:val="none"/>
          <w:lang w:val="en-US"/>
        </w:rPr>
      </w:pPr>
    </w:p>
    <w:p w14:paraId="3A5A6A19">
      <w:pPr>
        <w:spacing w:line="360" w:lineRule="auto"/>
        <w:rPr>
          <w:rFonts w:hint="default" w:ascii="Times New Roman" w:hAnsi="Times New Roman" w:cs="Times New Roman"/>
          <w:color w:val="auto"/>
          <w:highlight w:val="none"/>
        </w:rPr>
      </w:pPr>
    </w:p>
    <w:p w14:paraId="39A5208B">
      <w:pPr>
        <w:spacing w:line="360" w:lineRule="auto"/>
        <w:rPr>
          <w:rFonts w:hint="default" w:ascii="Times New Roman" w:hAnsi="Times New Roman" w:cs="Times New Roman"/>
          <w:color w:val="auto"/>
          <w:highlight w:val="none"/>
        </w:rPr>
      </w:pPr>
    </w:p>
    <w:p w14:paraId="0EDE37B6">
      <w:pPr>
        <w:rPr>
          <w:rFonts w:hint="default" w:ascii="Times New Roman" w:hAnsi="Times New Roman" w:cs="Times New Roman"/>
          <w:color w:val="auto"/>
          <w:highlight w:val="none"/>
        </w:rPr>
      </w:pPr>
    </w:p>
    <w:p w14:paraId="7E0BF1F8">
      <w:pPr>
        <w:rPr>
          <w:rFonts w:hint="default" w:ascii="Times New Roman" w:hAnsi="Times New Roman" w:cs="Times New Roman"/>
          <w:color w:val="auto"/>
          <w:highlight w:val="none"/>
        </w:rPr>
      </w:pPr>
    </w:p>
    <w:p w14:paraId="2B4EA16B">
      <w:pPr>
        <w:rPr>
          <w:rFonts w:hint="default" w:ascii="Times New Roman" w:hAnsi="Times New Roman" w:cs="Times New Roman"/>
          <w:color w:val="auto"/>
          <w:highlight w:val="none"/>
        </w:rPr>
      </w:pPr>
    </w:p>
    <w:p w14:paraId="02935620">
      <w:pPr>
        <w:spacing w:line="360" w:lineRule="auto"/>
        <w:ind w:firstLine="1680" w:firstLineChars="600"/>
        <w:jc w:val="left"/>
        <w:rPr>
          <w:rFonts w:hint="default" w:ascii="Times New Roman" w:hAnsi="Times New Roman" w:eastAsia="黑体" w:cs="Times New Roman"/>
          <w:color w:val="auto"/>
          <w:sz w:val="28"/>
          <w:szCs w:val="28"/>
          <w:highlight w:val="none"/>
        </w:rPr>
      </w:pPr>
    </w:p>
    <w:p w14:paraId="695BAB57">
      <w:pPr>
        <w:spacing w:line="360" w:lineRule="auto"/>
        <w:ind w:firstLine="1680" w:firstLineChars="600"/>
        <w:jc w:val="left"/>
        <w:rPr>
          <w:rFonts w:hint="default" w:ascii="Times New Roman" w:hAnsi="Times New Roman" w:eastAsia="黑体" w:cs="Times New Roman"/>
          <w:color w:val="auto"/>
          <w:sz w:val="28"/>
          <w:szCs w:val="28"/>
          <w:highlight w:val="none"/>
          <w:lang w:eastAsia="zh-CN"/>
        </w:rPr>
      </w:pPr>
      <w:r>
        <w:rPr>
          <w:rFonts w:hint="default" w:ascii="Times New Roman" w:hAnsi="Times New Roman" w:eastAsia="黑体" w:cs="Times New Roman"/>
          <w:color w:val="auto"/>
          <w:sz w:val="28"/>
          <w:szCs w:val="28"/>
          <w:highlight w:val="none"/>
        </w:rPr>
        <w:t>委托单位：</w:t>
      </w:r>
      <w:r>
        <w:rPr>
          <w:rFonts w:hint="default" w:ascii="Times New Roman" w:hAnsi="Times New Roman" w:eastAsia="黑体" w:cs="Times New Roman"/>
          <w:color w:val="auto"/>
          <w:sz w:val="28"/>
          <w:szCs w:val="28"/>
          <w:highlight w:val="none"/>
          <w:lang w:eastAsia="zh-CN"/>
        </w:rPr>
        <w:t>波密县文化和旅游局</w:t>
      </w:r>
    </w:p>
    <w:p w14:paraId="7CC91EC4">
      <w:pPr>
        <w:spacing w:line="360" w:lineRule="auto"/>
        <w:ind w:firstLine="1680" w:firstLineChars="600"/>
        <w:jc w:val="left"/>
        <w:rPr>
          <w:rFonts w:hint="default" w:ascii="Times New Roman" w:hAnsi="Times New Roman" w:eastAsia="黑体" w:cs="Times New Roman"/>
          <w:color w:val="auto"/>
          <w:sz w:val="28"/>
          <w:szCs w:val="28"/>
          <w:highlight w:val="none"/>
          <w:lang w:eastAsia="zh-CN"/>
        </w:rPr>
      </w:pPr>
      <w:r>
        <w:rPr>
          <w:rFonts w:hint="default" w:ascii="Times New Roman" w:hAnsi="Times New Roman" w:eastAsia="黑体" w:cs="Times New Roman"/>
          <w:color w:val="auto"/>
          <w:sz w:val="28"/>
          <w:szCs w:val="28"/>
          <w:highlight w:val="none"/>
        </w:rPr>
        <w:t>评价单位：</w:t>
      </w:r>
      <w:r>
        <w:rPr>
          <w:rFonts w:hint="default" w:ascii="Times New Roman" w:hAnsi="Times New Roman" w:eastAsia="黑体" w:cs="Times New Roman"/>
          <w:color w:val="auto"/>
          <w:sz w:val="28"/>
          <w:szCs w:val="28"/>
          <w:highlight w:val="none"/>
          <w:lang w:eastAsia="zh-CN"/>
        </w:rPr>
        <w:t>西藏璞匠农林生态工程有限公司</w:t>
      </w:r>
    </w:p>
    <w:p w14:paraId="4AAE4734">
      <w:pPr>
        <w:spacing w:line="360" w:lineRule="auto"/>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202</w:t>
      </w:r>
      <w:r>
        <w:rPr>
          <w:rFonts w:hint="default" w:ascii="Times New Roman" w:hAnsi="Times New Roman" w:eastAsia="黑体" w:cs="Times New Roman"/>
          <w:color w:val="auto"/>
          <w:sz w:val="28"/>
          <w:szCs w:val="28"/>
          <w:highlight w:val="none"/>
          <w:lang w:val="en-US" w:eastAsia="zh-CN"/>
        </w:rPr>
        <w:t>6</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lang w:val="en-US" w:eastAsia="zh-CN"/>
        </w:rPr>
        <w:t>5</w:t>
      </w:r>
      <w:r>
        <w:rPr>
          <w:rFonts w:hint="default" w:ascii="Times New Roman" w:hAnsi="Times New Roman" w:eastAsia="黑体" w:cs="Times New Roman"/>
          <w:color w:val="auto"/>
          <w:sz w:val="28"/>
          <w:szCs w:val="28"/>
          <w:highlight w:val="none"/>
        </w:rPr>
        <w:t>月</w:t>
      </w:r>
    </w:p>
    <w:bookmarkEnd w:id="2"/>
    <w:p w14:paraId="1AEE756D">
      <w:pPr>
        <w:pStyle w:val="36"/>
        <w:rPr>
          <w:rFonts w:hint="default" w:ascii="Times New Roman" w:hAnsi="Times New Roman" w:eastAsia="黑体" w:cs="Times New Roman"/>
          <w:color w:val="auto"/>
          <w:sz w:val="28"/>
          <w:szCs w:val="28"/>
          <w:highlight w:val="none"/>
        </w:rPr>
      </w:pPr>
    </w:p>
    <w:p w14:paraId="491BA0C7">
      <w:pPr>
        <w:pStyle w:val="36"/>
        <w:rPr>
          <w:rFonts w:hint="default" w:ascii="Times New Roman" w:hAnsi="Times New Roman" w:eastAsia="黑体" w:cs="Times New Roman"/>
          <w:color w:val="auto"/>
          <w:sz w:val="28"/>
          <w:szCs w:val="28"/>
          <w:highlight w:val="none"/>
        </w:rPr>
      </w:pPr>
    </w:p>
    <w:p w14:paraId="43F3C563">
      <w:pPr>
        <w:pStyle w:val="36"/>
        <w:rPr>
          <w:rFonts w:hint="default" w:ascii="Times New Roman" w:hAnsi="Times New Roman" w:eastAsia="黑体" w:cs="Times New Roman"/>
          <w:color w:val="auto"/>
          <w:sz w:val="28"/>
          <w:szCs w:val="28"/>
          <w:highlight w:val="none"/>
        </w:rPr>
      </w:pPr>
    </w:p>
    <w:p w14:paraId="79E851A9">
      <w:pPr>
        <w:pStyle w:val="36"/>
        <w:rPr>
          <w:rFonts w:hint="default" w:ascii="Times New Roman" w:hAnsi="Times New Roman" w:eastAsia="黑体" w:cs="Times New Roman"/>
          <w:color w:val="auto"/>
          <w:sz w:val="28"/>
          <w:szCs w:val="28"/>
          <w:highlight w:val="none"/>
        </w:rPr>
      </w:pPr>
    </w:p>
    <w:p w14:paraId="6091B368">
      <w:pPr>
        <w:pStyle w:val="36"/>
        <w:rPr>
          <w:rFonts w:hint="default" w:ascii="Times New Roman" w:hAnsi="Times New Roman" w:eastAsia="黑体" w:cs="Times New Roman"/>
          <w:color w:val="auto"/>
          <w:sz w:val="28"/>
          <w:szCs w:val="28"/>
          <w:highlight w:val="none"/>
        </w:rPr>
      </w:pPr>
    </w:p>
    <w:bookmarkEnd w:id="0"/>
    <w:p w14:paraId="509C9617">
      <w:pPr>
        <w:rPr>
          <w:rFonts w:hint="default" w:ascii="Times New Roman" w:hAnsi="Times New Roman" w:cs="Times New Roman"/>
          <w:color w:val="auto"/>
          <w:sz w:val="24"/>
          <w:highlight w:val="none"/>
        </w:rPr>
        <w:sectPr>
          <w:pgSz w:w="11906" w:h="16838"/>
          <w:pgMar w:top="1474" w:right="1474" w:bottom="1474" w:left="1474" w:header="1134" w:footer="850" w:gutter="0"/>
          <w:pgBorders>
            <w:top w:val="none" w:sz="0" w:space="0"/>
            <w:left w:val="none" w:sz="0" w:space="0"/>
            <w:bottom w:val="none" w:sz="0" w:space="0"/>
            <w:right w:val="none" w:sz="0" w:space="0"/>
          </w:pgBorders>
          <w:pgNumType w:start="1"/>
          <w:cols w:space="720" w:num="1"/>
          <w:docGrid w:type="lines" w:linePitch="312" w:charSpace="0"/>
        </w:sectPr>
      </w:pPr>
    </w:p>
    <w:p w14:paraId="78851E42">
      <w:pPr>
        <w:pStyle w:val="47"/>
        <w:jc w:val="center"/>
        <w:rPr>
          <w:rFonts w:hint="default" w:ascii="Times New Roman" w:hAnsi="Times New Roman" w:eastAsia="宋体" w:cs="Times New Roman"/>
          <w:b/>
          <w:bCs/>
          <w:caps/>
          <w:smallCaps w:val="0"/>
          <w:color w:val="auto"/>
          <w:kern w:val="2"/>
          <w:sz w:val="21"/>
          <w:szCs w:val="21"/>
          <w:highlight w:val="none"/>
          <w:lang w:val="en-US" w:eastAsia="zh-CN" w:bidi="ar-SA"/>
        </w:rPr>
      </w:pPr>
      <w:bookmarkStart w:id="8" w:name="_Hlk76986315"/>
      <w:r>
        <w:rPr>
          <w:rFonts w:hint="default" w:ascii="Times New Roman" w:hAnsi="Times New Roman" w:eastAsia="黑体" w:cs="Times New Roman"/>
          <w:color w:val="auto"/>
          <w:sz w:val="36"/>
          <w:szCs w:val="36"/>
          <w:highlight w:val="none"/>
        </w:rPr>
        <w:t>目  录</w:t>
      </w:r>
      <w:r>
        <w:rPr>
          <w:rFonts w:hint="default" w:ascii="Times New Roman" w:hAnsi="Times New Roman" w:eastAsia="黑体" w:cs="Times New Roman"/>
          <w:b/>
          <w:bCs/>
          <w:caps/>
          <w:smallCaps/>
          <w:color w:val="auto"/>
          <w:szCs w:val="21"/>
          <w:highlight w:val="none"/>
        </w:rPr>
        <w:fldChar w:fldCharType="begin"/>
      </w:r>
      <w:r>
        <w:rPr>
          <w:rFonts w:hint="default" w:ascii="Times New Roman" w:hAnsi="Times New Roman" w:eastAsia="黑体" w:cs="Times New Roman"/>
          <w:b/>
          <w:bCs/>
          <w:caps/>
          <w:smallCaps/>
          <w:color w:val="auto"/>
          <w:szCs w:val="21"/>
          <w:highlight w:val="none"/>
        </w:rPr>
        <w:instrText xml:space="preserve"> TOC \o "1-2" \h \z \u </w:instrText>
      </w:r>
      <w:r>
        <w:rPr>
          <w:rFonts w:hint="default" w:ascii="Times New Roman" w:hAnsi="Times New Roman" w:eastAsia="黑体" w:cs="Times New Roman"/>
          <w:b/>
          <w:bCs/>
          <w:caps/>
          <w:smallCaps/>
          <w:color w:val="auto"/>
          <w:szCs w:val="21"/>
          <w:highlight w:val="none"/>
        </w:rPr>
        <w:fldChar w:fldCharType="separate"/>
      </w:r>
    </w:p>
    <w:p w14:paraId="16377C71">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_Toc6484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1. </w:t>
      </w:r>
      <w:r>
        <w:rPr>
          <w:rFonts w:hint="default" w:ascii="Times New Roman" w:hAnsi="Times New Roman" w:cs="Times New Roman"/>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_Toc6484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750989D1">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_Toc4717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 </w:t>
      </w:r>
      <w:r>
        <w:rPr>
          <w:rFonts w:hint="default" w:ascii="Times New Roman" w:hAnsi="Times New Roman" w:cs="Times New Roman"/>
          <w:color w:val="auto"/>
          <w:highlight w:val="none"/>
        </w:rPr>
        <w:t>任务由来</w:t>
      </w:r>
      <w:r>
        <w:rPr>
          <w:color w:val="auto"/>
          <w:highlight w:val="none"/>
        </w:rPr>
        <w:tab/>
      </w:r>
      <w:r>
        <w:rPr>
          <w:color w:val="auto"/>
          <w:highlight w:val="none"/>
        </w:rPr>
        <w:fldChar w:fldCharType="begin"/>
      </w:r>
      <w:r>
        <w:rPr>
          <w:color w:val="auto"/>
          <w:highlight w:val="none"/>
        </w:rPr>
        <w:instrText xml:space="preserve"> PAGEREF _Toc4717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51C8AA68">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_Toc32361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1.2 </w:t>
      </w:r>
      <w:r>
        <w:rPr>
          <w:rFonts w:hint="default" w:ascii="Times New Roman" w:hAnsi="Times New Roman" w:cs="Times New Roman"/>
          <w:color w:val="auto"/>
          <w:highlight w:val="none"/>
        </w:rPr>
        <w:t>评价依据</w:t>
      </w:r>
      <w:r>
        <w:rPr>
          <w:color w:val="auto"/>
          <w:highlight w:val="none"/>
        </w:rPr>
        <w:tab/>
      </w:r>
      <w:r>
        <w:rPr>
          <w:color w:val="auto"/>
          <w:highlight w:val="none"/>
        </w:rPr>
        <w:fldChar w:fldCharType="begin"/>
      </w:r>
      <w:r>
        <w:rPr>
          <w:color w:val="auto"/>
          <w:highlight w:val="none"/>
        </w:rPr>
        <w:instrText xml:space="preserve"> PAGEREF _Toc32361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F55FA4E">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_Toc22346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1.3 </w:t>
      </w:r>
      <w:r>
        <w:rPr>
          <w:rFonts w:hint="default" w:ascii="Times New Roman" w:hAnsi="Times New Roman" w:cs="Times New Roman"/>
          <w:color w:val="auto"/>
          <w:highlight w:val="none"/>
        </w:rPr>
        <w:t>评价目的与原则</w:t>
      </w:r>
      <w:r>
        <w:rPr>
          <w:color w:val="auto"/>
          <w:highlight w:val="none"/>
        </w:rPr>
        <w:tab/>
      </w:r>
      <w:r>
        <w:rPr>
          <w:color w:val="auto"/>
          <w:highlight w:val="none"/>
        </w:rPr>
        <w:fldChar w:fldCharType="begin"/>
      </w:r>
      <w:r>
        <w:rPr>
          <w:color w:val="auto"/>
          <w:highlight w:val="none"/>
        </w:rPr>
        <w:instrText xml:space="preserve"> PAGEREF _Toc22346 \h </w:instrText>
      </w:r>
      <w:r>
        <w:rPr>
          <w:color w:val="auto"/>
          <w:highlight w:val="none"/>
        </w:rPr>
        <w:fldChar w:fldCharType="separate"/>
      </w:r>
      <w:r>
        <w:rPr>
          <w:color w:val="auto"/>
          <w:highlight w:val="none"/>
        </w:rPr>
        <w:t>10</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70BE10F8">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_Toc19993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1.4 </w:t>
      </w:r>
      <w:r>
        <w:rPr>
          <w:rFonts w:hint="default" w:ascii="Times New Roman" w:hAnsi="Times New Roman" w:cs="Times New Roman"/>
          <w:color w:val="auto"/>
          <w:highlight w:val="none"/>
        </w:rPr>
        <w:t>评价对象</w:t>
      </w:r>
      <w:r>
        <w:rPr>
          <w:color w:val="auto"/>
          <w:highlight w:val="none"/>
        </w:rPr>
        <w:tab/>
      </w:r>
      <w:r>
        <w:rPr>
          <w:color w:val="auto"/>
          <w:highlight w:val="none"/>
        </w:rPr>
        <w:fldChar w:fldCharType="begin"/>
      </w:r>
      <w:r>
        <w:rPr>
          <w:color w:val="auto"/>
          <w:highlight w:val="none"/>
        </w:rPr>
        <w:instrText xml:space="preserve"> PAGEREF _Toc19993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0C7E77AC">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_Toc7561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1.5 </w:t>
      </w:r>
      <w:r>
        <w:rPr>
          <w:rFonts w:hint="default" w:ascii="Times New Roman" w:hAnsi="Times New Roman" w:cs="Times New Roman"/>
          <w:color w:val="auto"/>
          <w:highlight w:val="none"/>
        </w:rPr>
        <w:t>评价重点</w:t>
      </w:r>
      <w:r>
        <w:rPr>
          <w:color w:val="auto"/>
          <w:highlight w:val="none"/>
        </w:rPr>
        <w:tab/>
      </w:r>
      <w:r>
        <w:rPr>
          <w:color w:val="auto"/>
          <w:highlight w:val="none"/>
        </w:rPr>
        <w:fldChar w:fldCharType="begin"/>
      </w:r>
      <w:r>
        <w:rPr>
          <w:color w:val="auto"/>
          <w:highlight w:val="none"/>
        </w:rPr>
        <w:instrText xml:space="preserve"> PAGEREF _Toc7561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6AB33D43">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_Toc11021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1.6 </w:t>
      </w:r>
      <w:r>
        <w:rPr>
          <w:rFonts w:hint="default" w:ascii="Times New Roman" w:hAnsi="Times New Roman" w:cs="Times New Roman"/>
          <w:color w:val="auto"/>
          <w:highlight w:val="none"/>
        </w:rPr>
        <w:t>评价方法</w:t>
      </w:r>
      <w:r>
        <w:rPr>
          <w:color w:val="auto"/>
          <w:highlight w:val="none"/>
        </w:rPr>
        <w:tab/>
      </w:r>
      <w:r>
        <w:rPr>
          <w:color w:val="auto"/>
          <w:highlight w:val="none"/>
        </w:rPr>
        <w:fldChar w:fldCharType="begin"/>
      </w:r>
      <w:r>
        <w:rPr>
          <w:color w:val="auto"/>
          <w:highlight w:val="none"/>
        </w:rPr>
        <w:instrText xml:space="preserve"> PAGEREF _Toc11021 \h </w:instrText>
      </w:r>
      <w:r>
        <w:rPr>
          <w:color w:val="auto"/>
          <w:highlight w:val="none"/>
        </w:rPr>
        <w:fldChar w:fldCharType="separate"/>
      </w:r>
      <w:r>
        <w:rPr>
          <w:color w:val="auto"/>
          <w:highlight w:val="none"/>
        </w:rPr>
        <w:t>11</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01738FB8">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_Toc2233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1.7 </w:t>
      </w:r>
      <w:r>
        <w:rPr>
          <w:rFonts w:hint="default" w:ascii="Times New Roman" w:hAnsi="Times New Roman" w:cs="Times New Roman"/>
          <w:color w:val="auto"/>
          <w:highlight w:val="none"/>
        </w:rPr>
        <w:t>评价范围</w:t>
      </w:r>
      <w:r>
        <w:rPr>
          <w:color w:val="auto"/>
          <w:highlight w:val="none"/>
        </w:rPr>
        <w:tab/>
      </w:r>
      <w:r>
        <w:rPr>
          <w:color w:val="auto"/>
          <w:highlight w:val="none"/>
        </w:rPr>
        <w:fldChar w:fldCharType="begin"/>
      </w:r>
      <w:r>
        <w:rPr>
          <w:color w:val="auto"/>
          <w:highlight w:val="none"/>
        </w:rPr>
        <w:instrText xml:space="preserve"> PAGEREF _Toc2233 \h </w:instrText>
      </w:r>
      <w:r>
        <w:rPr>
          <w:color w:val="auto"/>
          <w:highlight w:val="none"/>
        </w:rPr>
        <w:fldChar w:fldCharType="separate"/>
      </w:r>
      <w:r>
        <w:rPr>
          <w:color w:val="auto"/>
          <w:highlight w:val="none"/>
        </w:rPr>
        <w:t>12</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5389A8D2">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_Toc12284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1.8 </w:t>
      </w:r>
      <w:r>
        <w:rPr>
          <w:rFonts w:hint="default" w:ascii="Times New Roman" w:hAnsi="Times New Roman" w:cs="Times New Roman"/>
          <w:color w:val="auto"/>
          <w:highlight w:val="none"/>
        </w:rPr>
        <w:t>环境功能区划</w:t>
      </w:r>
      <w:r>
        <w:rPr>
          <w:color w:val="auto"/>
          <w:highlight w:val="none"/>
        </w:rPr>
        <w:tab/>
      </w:r>
      <w:r>
        <w:rPr>
          <w:color w:val="auto"/>
          <w:highlight w:val="none"/>
        </w:rPr>
        <w:fldChar w:fldCharType="begin"/>
      </w:r>
      <w:r>
        <w:rPr>
          <w:color w:val="auto"/>
          <w:highlight w:val="none"/>
        </w:rPr>
        <w:instrText xml:space="preserve"> PAGEREF _Toc12284 \h </w:instrText>
      </w:r>
      <w:r>
        <w:rPr>
          <w:color w:val="auto"/>
          <w:highlight w:val="none"/>
        </w:rPr>
        <w:fldChar w:fldCharType="separate"/>
      </w:r>
      <w:r>
        <w:rPr>
          <w:color w:val="auto"/>
          <w:highlight w:val="none"/>
        </w:rPr>
        <w:t>13</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C115D2B">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_Toc16524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1.9 </w:t>
      </w:r>
      <w:r>
        <w:rPr>
          <w:rFonts w:hint="default" w:ascii="Times New Roman" w:hAnsi="Times New Roman" w:cs="Times New Roman"/>
          <w:color w:val="auto"/>
          <w:highlight w:val="none"/>
        </w:rPr>
        <w:t>评价标准</w:t>
      </w:r>
      <w:r>
        <w:rPr>
          <w:color w:val="auto"/>
          <w:highlight w:val="none"/>
        </w:rPr>
        <w:tab/>
      </w:r>
      <w:r>
        <w:rPr>
          <w:color w:val="auto"/>
          <w:highlight w:val="none"/>
        </w:rPr>
        <w:fldChar w:fldCharType="begin"/>
      </w:r>
      <w:r>
        <w:rPr>
          <w:color w:val="auto"/>
          <w:highlight w:val="none"/>
        </w:rPr>
        <w:instrText xml:space="preserve"> PAGEREF _Toc16524 \h </w:instrText>
      </w:r>
      <w:r>
        <w:rPr>
          <w:color w:val="auto"/>
          <w:highlight w:val="none"/>
        </w:rPr>
        <w:fldChar w:fldCharType="separate"/>
      </w:r>
      <w:r>
        <w:rPr>
          <w:color w:val="auto"/>
          <w:highlight w:val="none"/>
        </w:rPr>
        <w:t>14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5FA7547B">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_Toc26180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1.10 </w:t>
      </w:r>
      <w:r>
        <w:rPr>
          <w:rFonts w:hint="default" w:ascii="Times New Roman" w:hAnsi="Times New Roman" w:cs="Times New Roman"/>
          <w:color w:val="auto"/>
          <w:highlight w:val="none"/>
        </w:rPr>
        <w:t>环境保护目标</w:t>
      </w:r>
      <w:r>
        <w:rPr>
          <w:color w:val="auto"/>
          <w:highlight w:val="none"/>
        </w:rPr>
        <w:tab/>
      </w:r>
      <w:r>
        <w:rPr>
          <w:color w:val="auto"/>
          <w:highlight w:val="none"/>
        </w:rPr>
        <w:fldChar w:fldCharType="begin"/>
      </w:r>
      <w:r>
        <w:rPr>
          <w:color w:val="auto"/>
          <w:highlight w:val="none"/>
        </w:rPr>
        <w:instrText xml:space="preserve"> PAGEREF _Toc26180 \h </w:instrText>
      </w:r>
      <w:r>
        <w:rPr>
          <w:color w:val="auto"/>
          <w:highlight w:val="none"/>
        </w:rPr>
        <w:fldChar w:fldCharType="separate"/>
      </w:r>
      <w:r>
        <w:rPr>
          <w:color w:val="auto"/>
          <w:highlight w:val="none"/>
        </w:rPr>
        <w:t>20</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29D3157B">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_Toc28562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1.11 </w:t>
      </w:r>
      <w:r>
        <w:rPr>
          <w:rFonts w:hint="default" w:ascii="Times New Roman" w:hAnsi="Times New Roman" w:cs="Times New Roman"/>
          <w:color w:val="auto"/>
          <w:highlight w:val="none"/>
        </w:rPr>
        <w:t>评价流程</w:t>
      </w:r>
      <w:r>
        <w:rPr>
          <w:color w:val="auto"/>
          <w:highlight w:val="none"/>
        </w:rPr>
        <w:tab/>
      </w:r>
      <w:r>
        <w:rPr>
          <w:color w:val="auto"/>
          <w:highlight w:val="none"/>
        </w:rPr>
        <w:fldChar w:fldCharType="begin"/>
      </w:r>
      <w:r>
        <w:rPr>
          <w:color w:val="auto"/>
          <w:highlight w:val="none"/>
        </w:rPr>
        <w:instrText xml:space="preserve"> PAGEREF _Toc28562 \h </w:instrText>
      </w:r>
      <w:r>
        <w:rPr>
          <w:color w:val="auto"/>
          <w:highlight w:val="none"/>
        </w:rPr>
        <w:fldChar w:fldCharType="separate"/>
      </w:r>
      <w:r>
        <w:rPr>
          <w:color w:val="auto"/>
          <w:highlight w:val="none"/>
        </w:rPr>
        <w:t>25</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4B0459C6">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_Toc8757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2. </w:t>
      </w:r>
      <w:r>
        <w:rPr>
          <w:rFonts w:hint="default" w:ascii="Times New Roman" w:hAnsi="Times New Roman" w:cs="Times New Roman"/>
          <w:color w:val="auto"/>
          <w:highlight w:val="none"/>
        </w:rPr>
        <w:t>规划分析</w:t>
      </w:r>
      <w:r>
        <w:rPr>
          <w:color w:val="auto"/>
          <w:highlight w:val="none"/>
        </w:rPr>
        <w:tab/>
      </w:r>
      <w:r>
        <w:rPr>
          <w:color w:val="auto"/>
          <w:highlight w:val="none"/>
        </w:rPr>
        <w:fldChar w:fldCharType="begin"/>
      </w:r>
      <w:r>
        <w:rPr>
          <w:color w:val="auto"/>
          <w:highlight w:val="none"/>
        </w:rPr>
        <w:instrText xml:space="preserve"> PAGEREF _Toc8757 \h </w:instrText>
      </w:r>
      <w:r>
        <w:rPr>
          <w:color w:val="auto"/>
          <w:highlight w:val="none"/>
        </w:rPr>
        <w:fldChar w:fldCharType="separate"/>
      </w:r>
      <w:r>
        <w:rPr>
          <w:color w:val="auto"/>
          <w:highlight w:val="none"/>
        </w:rPr>
        <w:t>26</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7DF9D23F">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_Toc9433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2.1 </w:t>
      </w:r>
      <w:r>
        <w:rPr>
          <w:rFonts w:hint="default" w:ascii="Times New Roman" w:hAnsi="Times New Roman" w:cs="Times New Roman"/>
          <w:color w:val="auto"/>
          <w:highlight w:val="none"/>
        </w:rPr>
        <w:t>规划概述</w:t>
      </w:r>
      <w:r>
        <w:rPr>
          <w:color w:val="auto"/>
          <w:highlight w:val="none"/>
        </w:rPr>
        <w:tab/>
      </w:r>
      <w:r>
        <w:rPr>
          <w:color w:val="auto"/>
          <w:highlight w:val="none"/>
        </w:rPr>
        <w:fldChar w:fldCharType="begin"/>
      </w:r>
      <w:r>
        <w:rPr>
          <w:color w:val="auto"/>
          <w:highlight w:val="none"/>
        </w:rPr>
        <w:instrText xml:space="preserve"> PAGEREF _Toc9433 \h </w:instrText>
      </w:r>
      <w:r>
        <w:rPr>
          <w:color w:val="auto"/>
          <w:highlight w:val="none"/>
        </w:rPr>
        <w:fldChar w:fldCharType="separate"/>
      </w:r>
      <w:r>
        <w:rPr>
          <w:color w:val="auto"/>
          <w:highlight w:val="none"/>
        </w:rPr>
        <w:t>26</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68FFC8CD">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_Toc31413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2.2 </w:t>
      </w:r>
      <w:r>
        <w:rPr>
          <w:rFonts w:hint="default" w:ascii="Times New Roman" w:hAnsi="Times New Roman" w:cs="Times New Roman"/>
          <w:color w:val="auto"/>
          <w:highlight w:val="none"/>
        </w:rPr>
        <w:t>规划协调性分析</w:t>
      </w:r>
      <w:r>
        <w:rPr>
          <w:color w:val="auto"/>
          <w:highlight w:val="none"/>
        </w:rPr>
        <w:tab/>
      </w:r>
      <w:r>
        <w:rPr>
          <w:color w:val="auto"/>
          <w:highlight w:val="none"/>
        </w:rPr>
        <w:fldChar w:fldCharType="begin"/>
      </w:r>
      <w:r>
        <w:rPr>
          <w:color w:val="auto"/>
          <w:highlight w:val="none"/>
        </w:rPr>
        <w:instrText xml:space="preserve"> PAGEREF _Toc31413 \h </w:instrText>
      </w:r>
      <w:r>
        <w:rPr>
          <w:color w:val="auto"/>
          <w:highlight w:val="none"/>
        </w:rPr>
        <w:fldChar w:fldCharType="separate"/>
      </w:r>
      <w:r>
        <w:rPr>
          <w:color w:val="auto"/>
          <w:highlight w:val="none"/>
        </w:rPr>
        <w:t>78</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6963154D">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_Toc6003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3. </w:t>
      </w:r>
      <w:r>
        <w:rPr>
          <w:rFonts w:hint="default" w:ascii="Times New Roman" w:hAnsi="Times New Roman" w:cs="Times New Roman"/>
          <w:color w:val="auto"/>
          <w:highlight w:val="none"/>
        </w:rPr>
        <w:t>环境现状调查与评价</w:t>
      </w:r>
      <w:r>
        <w:rPr>
          <w:color w:val="auto"/>
          <w:highlight w:val="none"/>
        </w:rPr>
        <w:tab/>
      </w:r>
      <w:r>
        <w:rPr>
          <w:color w:val="auto"/>
          <w:highlight w:val="none"/>
        </w:rPr>
        <w:fldChar w:fldCharType="begin"/>
      </w:r>
      <w:r>
        <w:rPr>
          <w:color w:val="auto"/>
          <w:highlight w:val="none"/>
        </w:rPr>
        <w:instrText xml:space="preserve"> PAGEREF _Toc6003 \h </w:instrText>
      </w:r>
      <w:r>
        <w:rPr>
          <w:color w:val="auto"/>
          <w:highlight w:val="none"/>
        </w:rPr>
        <w:fldChar w:fldCharType="separate"/>
      </w:r>
      <w:r>
        <w:rPr>
          <w:color w:val="auto"/>
          <w:highlight w:val="none"/>
        </w:rPr>
        <w:t>112</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5852432">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_Toc32566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3.1 </w:t>
      </w:r>
      <w:r>
        <w:rPr>
          <w:rFonts w:hint="default" w:ascii="Times New Roman" w:hAnsi="Times New Roman" w:cs="Times New Roman"/>
          <w:color w:val="auto"/>
          <w:highlight w:val="none"/>
        </w:rPr>
        <w:t>自然环境概况</w:t>
      </w:r>
      <w:r>
        <w:rPr>
          <w:color w:val="auto"/>
          <w:highlight w:val="none"/>
        </w:rPr>
        <w:tab/>
      </w:r>
      <w:r>
        <w:rPr>
          <w:color w:val="auto"/>
          <w:highlight w:val="none"/>
        </w:rPr>
        <w:fldChar w:fldCharType="begin"/>
      </w:r>
      <w:r>
        <w:rPr>
          <w:color w:val="auto"/>
          <w:highlight w:val="none"/>
        </w:rPr>
        <w:instrText xml:space="preserve"> PAGEREF _Toc32566 \h </w:instrText>
      </w:r>
      <w:r>
        <w:rPr>
          <w:color w:val="auto"/>
          <w:highlight w:val="none"/>
        </w:rPr>
        <w:fldChar w:fldCharType="separate"/>
      </w:r>
      <w:r>
        <w:rPr>
          <w:color w:val="auto"/>
          <w:highlight w:val="none"/>
        </w:rPr>
        <w:t>112</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C6E9602">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_Toc809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3.2 </w:t>
      </w:r>
      <w:r>
        <w:rPr>
          <w:rFonts w:hint="default" w:ascii="Times New Roman" w:hAnsi="Times New Roman" w:cs="Times New Roman"/>
          <w:color w:val="auto"/>
          <w:highlight w:val="none"/>
        </w:rPr>
        <w:t>社会环境概况</w:t>
      </w:r>
      <w:r>
        <w:rPr>
          <w:color w:val="auto"/>
          <w:highlight w:val="none"/>
        </w:rPr>
        <w:tab/>
      </w:r>
      <w:r>
        <w:rPr>
          <w:color w:val="auto"/>
          <w:highlight w:val="none"/>
        </w:rPr>
        <w:fldChar w:fldCharType="begin"/>
      </w:r>
      <w:r>
        <w:rPr>
          <w:color w:val="auto"/>
          <w:highlight w:val="none"/>
        </w:rPr>
        <w:instrText xml:space="preserve"> PAGEREF _Toc809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6EDE4F0">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_Toc9737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3.3 </w:t>
      </w:r>
      <w:r>
        <w:rPr>
          <w:rFonts w:hint="default" w:ascii="Times New Roman" w:hAnsi="Times New Roman" w:cs="Times New Roman"/>
          <w:color w:val="auto"/>
          <w:highlight w:val="none"/>
        </w:rPr>
        <w:t>环境敏感区</w:t>
      </w:r>
      <w:r>
        <w:rPr>
          <w:color w:val="auto"/>
          <w:highlight w:val="none"/>
        </w:rPr>
        <w:tab/>
      </w:r>
      <w:r>
        <w:rPr>
          <w:color w:val="auto"/>
          <w:highlight w:val="none"/>
        </w:rPr>
        <w:fldChar w:fldCharType="begin"/>
      </w:r>
      <w:r>
        <w:rPr>
          <w:color w:val="auto"/>
          <w:highlight w:val="none"/>
        </w:rPr>
        <w:instrText xml:space="preserve"> PAGEREF _Toc9737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B2257EB">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_Toc20465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3.4 </w:t>
      </w:r>
      <w:r>
        <w:rPr>
          <w:rFonts w:hint="default" w:ascii="Times New Roman" w:hAnsi="Times New Roman" w:cs="Times New Roman"/>
          <w:color w:val="auto"/>
          <w:highlight w:val="none"/>
        </w:rPr>
        <w:t>环境质量现状调查与评价</w:t>
      </w:r>
      <w:r>
        <w:rPr>
          <w:color w:val="auto"/>
          <w:highlight w:val="none"/>
        </w:rPr>
        <w:tab/>
      </w:r>
      <w:r>
        <w:rPr>
          <w:color w:val="auto"/>
          <w:highlight w:val="none"/>
        </w:rPr>
        <w:fldChar w:fldCharType="begin"/>
      </w:r>
      <w:r>
        <w:rPr>
          <w:color w:val="auto"/>
          <w:highlight w:val="none"/>
        </w:rPr>
        <w:instrText xml:space="preserve"> PAGEREF _Toc20465 \h </w:instrText>
      </w:r>
      <w:r>
        <w:rPr>
          <w:color w:val="auto"/>
          <w:highlight w:val="none"/>
        </w:rPr>
        <w:fldChar w:fldCharType="separate"/>
      </w:r>
      <w:r>
        <w:rPr>
          <w:color w:val="auto"/>
          <w:highlight w:val="none"/>
        </w:rPr>
        <w:t>123</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F85C249">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_Toc32401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3.5 </w:t>
      </w:r>
      <w:r>
        <w:rPr>
          <w:rFonts w:hint="default" w:ascii="Times New Roman" w:hAnsi="Times New Roman" w:cs="Times New Roman"/>
          <w:color w:val="auto"/>
          <w:highlight w:val="none"/>
        </w:rPr>
        <w:t>环境影响回顾性分析</w:t>
      </w:r>
      <w:r>
        <w:rPr>
          <w:color w:val="auto"/>
          <w:highlight w:val="none"/>
        </w:rPr>
        <w:tab/>
      </w:r>
      <w:r>
        <w:rPr>
          <w:color w:val="auto"/>
          <w:highlight w:val="none"/>
        </w:rPr>
        <w:fldChar w:fldCharType="begin"/>
      </w:r>
      <w:r>
        <w:rPr>
          <w:color w:val="auto"/>
          <w:highlight w:val="none"/>
        </w:rPr>
        <w:instrText xml:space="preserve"> PAGEREF _Toc32401 \h </w:instrText>
      </w:r>
      <w:r>
        <w:rPr>
          <w:color w:val="auto"/>
          <w:highlight w:val="none"/>
        </w:rPr>
        <w:fldChar w:fldCharType="separate"/>
      </w:r>
      <w:r>
        <w:rPr>
          <w:color w:val="auto"/>
          <w:highlight w:val="none"/>
        </w:rPr>
        <w:t>151</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C169CF2">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_Toc475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3.6 </w:t>
      </w:r>
      <w:r>
        <w:rPr>
          <w:rFonts w:hint="default" w:ascii="Times New Roman" w:hAnsi="Times New Roman" w:cs="Times New Roman"/>
          <w:color w:val="auto"/>
          <w:highlight w:val="none"/>
        </w:rPr>
        <w:t>主要环境问题及制约因素分析</w:t>
      </w:r>
      <w:r>
        <w:rPr>
          <w:color w:val="auto"/>
          <w:highlight w:val="none"/>
        </w:rPr>
        <w:tab/>
      </w:r>
      <w:r>
        <w:rPr>
          <w:color w:val="auto"/>
          <w:highlight w:val="none"/>
        </w:rPr>
        <w:fldChar w:fldCharType="begin"/>
      </w:r>
      <w:r>
        <w:rPr>
          <w:color w:val="auto"/>
          <w:highlight w:val="none"/>
        </w:rPr>
        <w:instrText xml:space="preserve"> PAGEREF _Toc475 \h </w:instrText>
      </w:r>
      <w:r>
        <w:rPr>
          <w:color w:val="auto"/>
          <w:highlight w:val="none"/>
        </w:rPr>
        <w:fldChar w:fldCharType="separate"/>
      </w:r>
      <w:r>
        <w:rPr>
          <w:color w:val="auto"/>
          <w:highlight w:val="none"/>
        </w:rPr>
        <w:t>153</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568683DA">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_Toc19951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4. </w:t>
      </w:r>
      <w:r>
        <w:rPr>
          <w:rFonts w:hint="default" w:ascii="Times New Roman" w:hAnsi="Times New Roman" w:cs="Times New Roman"/>
          <w:color w:val="auto"/>
          <w:highlight w:val="none"/>
        </w:rPr>
        <w:t>环境影响识别与评价指标体系构建</w:t>
      </w:r>
      <w:r>
        <w:rPr>
          <w:color w:val="auto"/>
          <w:highlight w:val="none"/>
        </w:rPr>
        <w:tab/>
      </w:r>
      <w:r>
        <w:rPr>
          <w:color w:val="auto"/>
          <w:highlight w:val="none"/>
        </w:rPr>
        <w:fldChar w:fldCharType="begin"/>
      </w:r>
      <w:r>
        <w:rPr>
          <w:color w:val="auto"/>
          <w:highlight w:val="none"/>
        </w:rPr>
        <w:instrText xml:space="preserve"> PAGEREF _Toc19951 \h </w:instrText>
      </w:r>
      <w:r>
        <w:rPr>
          <w:color w:val="auto"/>
          <w:highlight w:val="none"/>
        </w:rPr>
        <w:fldChar w:fldCharType="separate"/>
      </w:r>
      <w:r>
        <w:rPr>
          <w:color w:val="auto"/>
          <w:highlight w:val="none"/>
        </w:rPr>
        <w:t>154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2BBD8D8">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_Toc7564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4.1 </w:t>
      </w:r>
      <w:r>
        <w:rPr>
          <w:rFonts w:hint="default" w:ascii="Times New Roman" w:hAnsi="Times New Roman" w:cs="Times New Roman"/>
          <w:color w:val="auto"/>
          <w:highlight w:val="none"/>
        </w:rPr>
        <w:t>环境影响识别</w:t>
      </w:r>
      <w:r>
        <w:rPr>
          <w:color w:val="auto"/>
          <w:highlight w:val="none"/>
        </w:rPr>
        <w:tab/>
      </w:r>
      <w:r>
        <w:rPr>
          <w:color w:val="auto"/>
          <w:highlight w:val="none"/>
        </w:rPr>
        <w:fldChar w:fldCharType="begin"/>
      </w:r>
      <w:r>
        <w:rPr>
          <w:color w:val="auto"/>
          <w:highlight w:val="none"/>
        </w:rPr>
        <w:instrText xml:space="preserve"> PAGEREF _Toc7564 \h </w:instrText>
      </w:r>
      <w:r>
        <w:rPr>
          <w:color w:val="auto"/>
          <w:highlight w:val="none"/>
        </w:rPr>
        <w:fldChar w:fldCharType="separate"/>
      </w:r>
      <w:r>
        <w:rPr>
          <w:color w:val="auto"/>
          <w:highlight w:val="none"/>
        </w:rPr>
        <w:t>154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2D9155DB">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_Toc12822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4.2 </w:t>
      </w:r>
      <w:r>
        <w:rPr>
          <w:rFonts w:hint="default" w:ascii="Times New Roman" w:hAnsi="Times New Roman" w:cs="Times New Roman"/>
          <w:color w:val="auto"/>
          <w:highlight w:val="none"/>
          <w:lang w:val="en-US"/>
        </w:rPr>
        <w:t>规划环境目标与评价指标体系</w:t>
      </w:r>
      <w:r>
        <w:rPr>
          <w:color w:val="auto"/>
          <w:highlight w:val="none"/>
        </w:rPr>
        <w:tab/>
      </w:r>
      <w:r>
        <w:rPr>
          <w:color w:val="auto"/>
          <w:highlight w:val="none"/>
        </w:rPr>
        <w:fldChar w:fldCharType="begin"/>
      </w:r>
      <w:r>
        <w:rPr>
          <w:color w:val="auto"/>
          <w:highlight w:val="none"/>
        </w:rPr>
        <w:instrText xml:space="preserve"> PAGEREF _Toc12822 \h </w:instrText>
      </w:r>
      <w:r>
        <w:rPr>
          <w:color w:val="auto"/>
          <w:highlight w:val="none"/>
        </w:rPr>
        <w:fldChar w:fldCharType="separate"/>
      </w:r>
      <w:r>
        <w:rPr>
          <w:color w:val="auto"/>
          <w:highlight w:val="none"/>
        </w:rPr>
        <w:t>160</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08CF9B7">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_Toc19851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5. </w:t>
      </w:r>
      <w:r>
        <w:rPr>
          <w:rFonts w:hint="default" w:ascii="Times New Roman" w:hAnsi="Times New Roman" w:cs="Times New Roman"/>
          <w:color w:val="auto"/>
          <w:highlight w:val="none"/>
        </w:rPr>
        <w:t>环境影响预测与评价</w:t>
      </w:r>
      <w:r>
        <w:rPr>
          <w:color w:val="auto"/>
          <w:highlight w:val="none"/>
        </w:rPr>
        <w:tab/>
      </w:r>
      <w:r>
        <w:rPr>
          <w:color w:val="auto"/>
          <w:highlight w:val="none"/>
        </w:rPr>
        <w:fldChar w:fldCharType="begin"/>
      </w:r>
      <w:r>
        <w:rPr>
          <w:color w:val="auto"/>
          <w:highlight w:val="none"/>
        </w:rPr>
        <w:instrText xml:space="preserve"> PAGEREF _Toc19851 \h </w:instrText>
      </w:r>
      <w:r>
        <w:rPr>
          <w:color w:val="auto"/>
          <w:highlight w:val="none"/>
        </w:rPr>
        <w:fldChar w:fldCharType="separate"/>
      </w:r>
      <w:r>
        <w:rPr>
          <w:color w:val="auto"/>
          <w:highlight w:val="none"/>
        </w:rPr>
        <w:t>164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6CFAA369">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_Toc1636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5.1 </w:t>
      </w:r>
      <w:r>
        <w:rPr>
          <w:rFonts w:hint="default" w:ascii="Times New Roman" w:hAnsi="Times New Roman" w:cs="Times New Roman"/>
          <w:color w:val="auto"/>
          <w:highlight w:val="none"/>
        </w:rPr>
        <w:t>预测情景设置</w:t>
      </w:r>
      <w:r>
        <w:rPr>
          <w:color w:val="auto"/>
          <w:highlight w:val="none"/>
        </w:rPr>
        <w:tab/>
      </w:r>
      <w:r>
        <w:rPr>
          <w:color w:val="auto"/>
          <w:highlight w:val="none"/>
        </w:rPr>
        <w:fldChar w:fldCharType="begin"/>
      </w:r>
      <w:r>
        <w:rPr>
          <w:color w:val="auto"/>
          <w:highlight w:val="none"/>
        </w:rPr>
        <w:instrText xml:space="preserve"> PAGEREF _Toc1636 \h </w:instrText>
      </w:r>
      <w:r>
        <w:rPr>
          <w:color w:val="auto"/>
          <w:highlight w:val="none"/>
        </w:rPr>
        <w:fldChar w:fldCharType="separate"/>
      </w:r>
      <w:r>
        <w:rPr>
          <w:color w:val="auto"/>
          <w:highlight w:val="none"/>
        </w:rPr>
        <w:t>164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B50981A">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_Toc14049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5.2 </w:t>
      </w:r>
      <w:r>
        <w:rPr>
          <w:rFonts w:hint="default" w:ascii="Times New Roman" w:hAnsi="Times New Roman" w:cs="Times New Roman"/>
          <w:color w:val="auto"/>
          <w:highlight w:val="none"/>
        </w:rPr>
        <w:t>规划实施生态环境压力分析</w:t>
      </w:r>
      <w:r>
        <w:rPr>
          <w:color w:val="auto"/>
          <w:highlight w:val="none"/>
        </w:rPr>
        <w:tab/>
      </w:r>
      <w:r>
        <w:rPr>
          <w:color w:val="auto"/>
          <w:highlight w:val="none"/>
        </w:rPr>
        <w:fldChar w:fldCharType="begin"/>
      </w:r>
      <w:r>
        <w:rPr>
          <w:color w:val="auto"/>
          <w:highlight w:val="none"/>
        </w:rPr>
        <w:instrText xml:space="preserve"> PAGEREF _Toc14049 \h </w:instrText>
      </w:r>
      <w:r>
        <w:rPr>
          <w:color w:val="auto"/>
          <w:highlight w:val="none"/>
        </w:rPr>
        <w:fldChar w:fldCharType="separate"/>
      </w:r>
      <w:r>
        <w:rPr>
          <w:color w:val="auto"/>
          <w:highlight w:val="none"/>
        </w:rPr>
        <w:t>165</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2314D1FF">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_Toc24123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5.3 </w:t>
      </w:r>
      <w:r>
        <w:rPr>
          <w:rFonts w:hint="default" w:ascii="Times New Roman" w:hAnsi="Times New Roman" w:cs="Times New Roman"/>
          <w:color w:val="auto"/>
          <w:highlight w:val="none"/>
        </w:rPr>
        <w:t>环境影响预测与评价</w:t>
      </w:r>
      <w:r>
        <w:rPr>
          <w:color w:val="auto"/>
          <w:highlight w:val="none"/>
        </w:rPr>
        <w:tab/>
      </w:r>
      <w:r>
        <w:rPr>
          <w:color w:val="auto"/>
          <w:highlight w:val="none"/>
        </w:rPr>
        <w:fldChar w:fldCharType="begin"/>
      </w:r>
      <w:r>
        <w:rPr>
          <w:color w:val="auto"/>
          <w:highlight w:val="none"/>
        </w:rPr>
        <w:instrText xml:space="preserve"> PAGEREF _Toc24123 \h </w:instrText>
      </w:r>
      <w:r>
        <w:rPr>
          <w:color w:val="auto"/>
          <w:highlight w:val="none"/>
        </w:rPr>
        <w:fldChar w:fldCharType="separate"/>
      </w:r>
      <w:r>
        <w:rPr>
          <w:color w:val="auto"/>
          <w:highlight w:val="none"/>
        </w:rPr>
        <w:t>174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7632C962">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_Toc8165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5.4 </w:t>
      </w:r>
      <w:r>
        <w:rPr>
          <w:rFonts w:hint="default" w:ascii="Times New Roman" w:hAnsi="Times New Roman" w:cs="Times New Roman"/>
          <w:color w:val="auto"/>
          <w:highlight w:val="none"/>
        </w:rPr>
        <w:t>环境风险评价</w:t>
      </w:r>
      <w:r>
        <w:rPr>
          <w:color w:val="auto"/>
          <w:highlight w:val="none"/>
        </w:rPr>
        <w:tab/>
      </w:r>
      <w:r>
        <w:rPr>
          <w:color w:val="auto"/>
          <w:highlight w:val="none"/>
        </w:rPr>
        <w:fldChar w:fldCharType="begin"/>
      </w:r>
      <w:r>
        <w:rPr>
          <w:color w:val="auto"/>
          <w:highlight w:val="none"/>
        </w:rPr>
        <w:instrText xml:space="preserve"> PAGEREF _Toc8165 \h </w:instrText>
      </w:r>
      <w:r>
        <w:rPr>
          <w:color w:val="auto"/>
          <w:highlight w:val="none"/>
        </w:rPr>
        <w:fldChar w:fldCharType="separate"/>
      </w:r>
      <w:r>
        <w:rPr>
          <w:color w:val="auto"/>
          <w:highlight w:val="none"/>
        </w:rPr>
        <w:t>193</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C65E521">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_Toc19761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5.5 </w:t>
      </w:r>
      <w:r>
        <w:rPr>
          <w:rFonts w:hint="default" w:ascii="Times New Roman" w:hAnsi="Times New Roman" w:cs="Times New Roman"/>
          <w:color w:val="auto"/>
          <w:highlight w:val="none"/>
        </w:rPr>
        <w:t>资源与环境承载力分析</w:t>
      </w:r>
      <w:r>
        <w:rPr>
          <w:color w:val="auto"/>
          <w:highlight w:val="none"/>
        </w:rPr>
        <w:tab/>
      </w:r>
      <w:r>
        <w:rPr>
          <w:color w:val="auto"/>
          <w:highlight w:val="none"/>
        </w:rPr>
        <w:fldChar w:fldCharType="begin"/>
      </w:r>
      <w:r>
        <w:rPr>
          <w:color w:val="auto"/>
          <w:highlight w:val="none"/>
        </w:rPr>
        <w:instrText xml:space="preserve"> PAGEREF _Toc19761 \h </w:instrText>
      </w:r>
      <w:r>
        <w:rPr>
          <w:color w:val="auto"/>
          <w:highlight w:val="none"/>
        </w:rPr>
        <w:fldChar w:fldCharType="separate"/>
      </w:r>
      <w:r>
        <w:rPr>
          <w:color w:val="auto"/>
          <w:highlight w:val="none"/>
        </w:rPr>
        <w:t>196</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4917416A">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_Toc25122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6. </w:t>
      </w:r>
      <w:r>
        <w:rPr>
          <w:rFonts w:hint="default" w:ascii="Times New Roman" w:hAnsi="Times New Roman" w:cs="Times New Roman"/>
          <w:color w:val="auto"/>
          <w:highlight w:val="none"/>
        </w:rPr>
        <w:t>规划方案综合论证和优化调整建议</w:t>
      </w:r>
      <w:r>
        <w:rPr>
          <w:color w:val="auto"/>
          <w:highlight w:val="none"/>
        </w:rPr>
        <w:tab/>
      </w:r>
      <w:r>
        <w:rPr>
          <w:color w:val="auto"/>
          <w:highlight w:val="none"/>
        </w:rPr>
        <w:fldChar w:fldCharType="begin"/>
      </w:r>
      <w:r>
        <w:rPr>
          <w:color w:val="auto"/>
          <w:highlight w:val="none"/>
        </w:rPr>
        <w:instrText xml:space="preserve"> PAGEREF _Toc25122 \h </w:instrText>
      </w:r>
      <w:r>
        <w:rPr>
          <w:color w:val="auto"/>
          <w:highlight w:val="none"/>
        </w:rPr>
        <w:fldChar w:fldCharType="separate"/>
      </w:r>
      <w:r>
        <w:rPr>
          <w:color w:val="auto"/>
          <w:highlight w:val="none"/>
        </w:rPr>
        <w:t>203</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DE01A03">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_Toc12738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6.1 </w:t>
      </w:r>
      <w:r>
        <w:rPr>
          <w:rFonts w:hint="default" w:ascii="Times New Roman" w:hAnsi="Times New Roman" w:cs="Times New Roman"/>
          <w:color w:val="auto"/>
          <w:highlight w:val="none"/>
        </w:rPr>
        <w:t>规划方案的环境合理性论证</w:t>
      </w:r>
      <w:r>
        <w:rPr>
          <w:color w:val="auto"/>
          <w:highlight w:val="none"/>
        </w:rPr>
        <w:tab/>
      </w:r>
      <w:r>
        <w:rPr>
          <w:color w:val="auto"/>
          <w:highlight w:val="none"/>
        </w:rPr>
        <w:fldChar w:fldCharType="begin"/>
      </w:r>
      <w:r>
        <w:rPr>
          <w:color w:val="auto"/>
          <w:highlight w:val="none"/>
        </w:rPr>
        <w:instrText xml:space="preserve"> PAGEREF _Toc12738 \h </w:instrText>
      </w:r>
      <w:r>
        <w:rPr>
          <w:color w:val="auto"/>
          <w:highlight w:val="none"/>
        </w:rPr>
        <w:fldChar w:fldCharType="separate"/>
      </w:r>
      <w:r>
        <w:rPr>
          <w:color w:val="auto"/>
          <w:highlight w:val="none"/>
        </w:rPr>
        <w:t>203</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D8A772F">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_Toc10427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6.2 </w:t>
      </w:r>
      <w:r>
        <w:rPr>
          <w:rFonts w:hint="default" w:ascii="Times New Roman" w:hAnsi="Times New Roman" w:cs="Times New Roman"/>
          <w:color w:val="auto"/>
          <w:highlight w:val="none"/>
        </w:rPr>
        <w:t>规划方案的环境效益论证</w:t>
      </w:r>
      <w:r>
        <w:rPr>
          <w:color w:val="auto"/>
          <w:highlight w:val="none"/>
        </w:rPr>
        <w:tab/>
      </w:r>
      <w:r>
        <w:rPr>
          <w:color w:val="auto"/>
          <w:highlight w:val="none"/>
        </w:rPr>
        <w:fldChar w:fldCharType="begin"/>
      </w:r>
      <w:r>
        <w:rPr>
          <w:color w:val="auto"/>
          <w:highlight w:val="none"/>
        </w:rPr>
        <w:instrText xml:space="preserve"> PAGEREF _Toc10427 \h </w:instrText>
      </w:r>
      <w:r>
        <w:rPr>
          <w:color w:val="auto"/>
          <w:highlight w:val="none"/>
        </w:rPr>
        <w:fldChar w:fldCharType="separate"/>
      </w:r>
      <w:r>
        <w:rPr>
          <w:color w:val="auto"/>
          <w:highlight w:val="none"/>
        </w:rPr>
        <w:t>205</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E044503">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_Toc7861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6.3 </w:t>
      </w:r>
      <w:r>
        <w:rPr>
          <w:rFonts w:hint="default" w:ascii="Times New Roman" w:hAnsi="Times New Roman" w:cs="Times New Roman"/>
          <w:color w:val="auto"/>
          <w:highlight w:val="none"/>
        </w:rPr>
        <w:t>规划方案优化调整建议</w:t>
      </w:r>
      <w:r>
        <w:rPr>
          <w:color w:val="auto"/>
          <w:highlight w:val="none"/>
        </w:rPr>
        <w:tab/>
      </w:r>
      <w:r>
        <w:rPr>
          <w:color w:val="auto"/>
          <w:highlight w:val="none"/>
        </w:rPr>
        <w:fldChar w:fldCharType="begin"/>
      </w:r>
      <w:r>
        <w:rPr>
          <w:color w:val="auto"/>
          <w:highlight w:val="none"/>
        </w:rPr>
        <w:instrText xml:space="preserve"> PAGEREF _Toc7861 \h </w:instrText>
      </w:r>
      <w:r>
        <w:rPr>
          <w:color w:val="auto"/>
          <w:highlight w:val="none"/>
        </w:rPr>
        <w:fldChar w:fldCharType="separate"/>
      </w:r>
      <w:r>
        <w:rPr>
          <w:color w:val="auto"/>
          <w:highlight w:val="none"/>
        </w:rPr>
        <w:t>206</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530F071C">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_Toc18116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7. </w:t>
      </w:r>
      <w:r>
        <w:rPr>
          <w:rFonts w:hint="default" w:ascii="Times New Roman" w:hAnsi="Times New Roman" w:cs="Times New Roman"/>
          <w:color w:val="auto"/>
          <w:highlight w:val="none"/>
        </w:rPr>
        <w:t>环境影响减缓对策和措施</w:t>
      </w:r>
      <w:r>
        <w:rPr>
          <w:color w:val="auto"/>
          <w:highlight w:val="none"/>
        </w:rPr>
        <w:tab/>
      </w:r>
      <w:r>
        <w:rPr>
          <w:color w:val="auto"/>
          <w:highlight w:val="none"/>
        </w:rPr>
        <w:fldChar w:fldCharType="begin"/>
      </w:r>
      <w:r>
        <w:rPr>
          <w:color w:val="auto"/>
          <w:highlight w:val="none"/>
        </w:rPr>
        <w:instrText xml:space="preserve"> PAGEREF _Toc18116 \h </w:instrText>
      </w:r>
      <w:r>
        <w:rPr>
          <w:color w:val="auto"/>
          <w:highlight w:val="none"/>
        </w:rPr>
        <w:fldChar w:fldCharType="separate"/>
      </w:r>
      <w:r>
        <w:rPr>
          <w:color w:val="auto"/>
          <w:highlight w:val="none"/>
        </w:rPr>
        <w:t>210</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40B13A7F">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_Toc8341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7.1 </w:t>
      </w:r>
      <w:r>
        <w:rPr>
          <w:rFonts w:hint="default" w:ascii="Times New Roman" w:hAnsi="Times New Roman" w:cs="Times New Roman"/>
          <w:color w:val="auto"/>
          <w:highlight w:val="none"/>
        </w:rPr>
        <w:t>环境影响预防保护措施</w:t>
      </w:r>
      <w:r>
        <w:rPr>
          <w:color w:val="auto"/>
          <w:highlight w:val="none"/>
        </w:rPr>
        <w:tab/>
      </w:r>
      <w:r>
        <w:rPr>
          <w:color w:val="auto"/>
          <w:highlight w:val="none"/>
        </w:rPr>
        <w:fldChar w:fldCharType="begin"/>
      </w:r>
      <w:r>
        <w:rPr>
          <w:color w:val="auto"/>
          <w:highlight w:val="none"/>
        </w:rPr>
        <w:instrText xml:space="preserve"> PAGEREF _Toc8341 \h </w:instrText>
      </w:r>
      <w:r>
        <w:rPr>
          <w:color w:val="auto"/>
          <w:highlight w:val="none"/>
        </w:rPr>
        <w:fldChar w:fldCharType="separate"/>
      </w:r>
      <w:r>
        <w:rPr>
          <w:color w:val="auto"/>
          <w:highlight w:val="none"/>
        </w:rPr>
        <w:t>210</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4E3AD3F">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_Toc3414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7.2 </w:t>
      </w:r>
      <w:r>
        <w:rPr>
          <w:rFonts w:hint="default" w:ascii="Times New Roman" w:hAnsi="Times New Roman" w:cs="Times New Roman"/>
          <w:color w:val="auto"/>
          <w:highlight w:val="none"/>
        </w:rPr>
        <w:t>环境影响减缓措施</w:t>
      </w:r>
      <w:r>
        <w:rPr>
          <w:color w:val="auto"/>
          <w:highlight w:val="none"/>
        </w:rPr>
        <w:tab/>
      </w:r>
      <w:r>
        <w:rPr>
          <w:color w:val="auto"/>
          <w:highlight w:val="none"/>
        </w:rPr>
        <w:fldChar w:fldCharType="begin"/>
      </w:r>
      <w:r>
        <w:rPr>
          <w:color w:val="auto"/>
          <w:highlight w:val="none"/>
        </w:rPr>
        <w:instrText xml:space="preserve"> PAGEREF _Toc3414 \h </w:instrText>
      </w:r>
      <w:r>
        <w:rPr>
          <w:color w:val="auto"/>
          <w:highlight w:val="none"/>
        </w:rPr>
        <w:fldChar w:fldCharType="separate"/>
      </w:r>
      <w:r>
        <w:rPr>
          <w:color w:val="auto"/>
          <w:highlight w:val="none"/>
        </w:rPr>
        <w:t>213</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157FFA5">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_Toc18404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7.3 </w:t>
      </w:r>
      <w:r>
        <w:rPr>
          <w:rFonts w:hint="default" w:ascii="Times New Roman" w:hAnsi="Times New Roman" w:cs="Times New Roman"/>
          <w:color w:val="auto"/>
          <w:highlight w:val="none"/>
        </w:rPr>
        <w:t>环境影响恢复补偿措施</w:t>
      </w:r>
      <w:r>
        <w:rPr>
          <w:color w:val="auto"/>
          <w:highlight w:val="none"/>
        </w:rPr>
        <w:tab/>
      </w:r>
      <w:r>
        <w:rPr>
          <w:color w:val="auto"/>
          <w:highlight w:val="none"/>
        </w:rPr>
        <w:fldChar w:fldCharType="begin"/>
      </w:r>
      <w:r>
        <w:rPr>
          <w:color w:val="auto"/>
          <w:highlight w:val="none"/>
        </w:rPr>
        <w:instrText xml:space="preserve"> PAGEREF _Toc18404 \h </w:instrText>
      </w:r>
      <w:r>
        <w:rPr>
          <w:color w:val="auto"/>
          <w:highlight w:val="none"/>
        </w:rPr>
        <w:fldChar w:fldCharType="separate"/>
      </w:r>
      <w:r>
        <w:rPr>
          <w:color w:val="auto"/>
          <w:highlight w:val="none"/>
        </w:rPr>
        <w:t>219</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4088D056">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_Toc1911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7.4 </w:t>
      </w:r>
      <w:r>
        <w:rPr>
          <w:rFonts w:hint="default" w:ascii="Times New Roman" w:hAnsi="Times New Roman" w:cs="Times New Roman"/>
          <w:color w:val="auto"/>
          <w:highlight w:val="none"/>
        </w:rPr>
        <w:t>管控要求</w:t>
      </w:r>
      <w:r>
        <w:rPr>
          <w:color w:val="auto"/>
          <w:highlight w:val="none"/>
        </w:rPr>
        <w:tab/>
      </w:r>
      <w:r>
        <w:rPr>
          <w:color w:val="auto"/>
          <w:highlight w:val="none"/>
        </w:rPr>
        <w:fldChar w:fldCharType="begin"/>
      </w:r>
      <w:r>
        <w:rPr>
          <w:color w:val="auto"/>
          <w:highlight w:val="none"/>
        </w:rPr>
        <w:instrText xml:space="preserve"> PAGEREF _Toc1911 \h </w:instrText>
      </w:r>
      <w:r>
        <w:rPr>
          <w:color w:val="auto"/>
          <w:highlight w:val="none"/>
        </w:rPr>
        <w:fldChar w:fldCharType="separate"/>
      </w:r>
      <w:r>
        <w:rPr>
          <w:color w:val="auto"/>
          <w:highlight w:val="none"/>
        </w:rPr>
        <w:t>222</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7A11DEF8">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_Toc26101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7.5 </w:t>
      </w:r>
      <w:r>
        <w:rPr>
          <w:rFonts w:hint="default" w:ascii="Times New Roman" w:hAnsi="Times New Roman" w:cs="Times New Roman"/>
          <w:color w:val="auto"/>
          <w:highlight w:val="none"/>
        </w:rPr>
        <w:t>生态环境准入要求</w:t>
      </w:r>
      <w:r>
        <w:rPr>
          <w:color w:val="auto"/>
          <w:highlight w:val="none"/>
        </w:rPr>
        <w:tab/>
      </w:r>
      <w:r>
        <w:rPr>
          <w:color w:val="auto"/>
          <w:highlight w:val="none"/>
        </w:rPr>
        <w:fldChar w:fldCharType="begin"/>
      </w:r>
      <w:r>
        <w:rPr>
          <w:color w:val="auto"/>
          <w:highlight w:val="none"/>
        </w:rPr>
        <w:instrText xml:space="preserve"> PAGEREF _Toc26101 \h </w:instrText>
      </w:r>
      <w:r>
        <w:rPr>
          <w:color w:val="auto"/>
          <w:highlight w:val="none"/>
        </w:rPr>
        <w:fldChar w:fldCharType="separate"/>
      </w:r>
      <w:r>
        <w:rPr>
          <w:color w:val="auto"/>
          <w:highlight w:val="none"/>
        </w:rPr>
        <w:t>224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52EC99A0">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_Toc29194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8. </w:t>
      </w:r>
      <w:r>
        <w:rPr>
          <w:rFonts w:hint="default" w:ascii="Times New Roman" w:hAnsi="Times New Roman" w:cs="Times New Roman"/>
          <w:color w:val="auto"/>
          <w:highlight w:val="none"/>
        </w:rPr>
        <w:t>规划所包含建设项目环评要求</w:t>
      </w:r>
      <w:r>
        <w:rPr>
          <w:color w:val="auto"/>
          <w:highlight w:val="none"/>
        </w:rPr>
        <w:tab/>
      </w:r>
      <w:r>
        <w:rPr>
          <w:color w:val="auto"/>
          <w:highlight w:val="none"/>
        </w:rPr>
        <w:fldChar w:fldCharType="begin"/>
      </w:r>
      <w:r>
        <w:rPr>
          <w:color w:val="auto"/>
          <w:highlight w:val="none"/>
        </w:rPr>
        <w:instrText xml:space="preserve"> PAGEREF _Toc29194 \h </w:instrText>
      </w:r>
      <w:r>
        <w:rPr>
          <w:color w:val="auto"/>
          <w:highlight w:val="none"/>
        </w:rPr>
        <w:fldChar w:fldCharType="separate"/>
      </w:r>
      <w:r>
        <w:rPr>
          <w:color w:val="auto"/>
          <w:highlight w:val="none"/>
        </w:rPr>
        <w:t>226</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88EFB67">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_Toc6544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8.1 </w:t>
      </w:r>
      <w:r>
        <w:rPr>
          <w:rFonts w:hint="default" w:ascii="Times New Roman" w:hAnsi="Times New Roman" w:cs="Times New Roman"/>
          <w:color w:val="auto"/>
          <w:highlight w:val="none"/>
        </w:rPr>
        <w:t>建设项目环评基本要求</w:t>
      </w:r>
      <w:r>
        <w:rPr>
          <w:color w:val="auto"/>
          <w:highlight w:val="none"/>
        </w:rPr>
        <w:tab/>
      </w:r>
      <w:r>
        <w:rPr>
          <w:color w:val="auto"/>
          <w:highlight w:val="none"/>
        </w:rPr>
        <w:fldChar w:fldCharType="begin"/>
      </w:r>
      <w:r>
        <w:rPr>
          <w:color w:val="auto"/>
          <w:highlight w:val="none"/>
        </w:rPr>
        <w:instrText xml:space="preserve"> PAGEREF _Toc6544 \h </w:instrText>
      </w:r>
      <w:r>
        <w:rPr>
          <w:color w:val="auto"/>
          <w:highlight w:val="none"/>
        </w:rPr>
        <w:fldChar w:fldCharType="separate"/>
      </w:r>
      <w:r>
        <w:rPr>
          <w:color w:val="auto"/>
          <w:highlight w:val="none"/>
        </w:rPr>
        <w:t>226</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7C31120">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_Toc14427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8.2 </w:t>
      </w:r>
      <w:r>
        <w:rPr>
          <w:rFonts w:hint="default" w:ascii="Times New Roman" w:hAnsi="Times New Roman" w:cs="Times New Roman"/>
          <w:color w:val="auto"/>
          <w:highlight w:val="none"/>
        </w:rPr>
        <w:t>建设项目环评重点内容</w:t>
      </w:r>
      <w:r>
        <w:rPr>
          <w:color w:val="auto"/>
          <w:highlight w:val="none"/>
        </w:rPr>
        <w:tab/>
      </w:r>
      <w:r>
        <w:rPr>
          <w:color w:val="auto"/>
          <w:highlight w:val="none"/>
        </w:rPr>
        <w:fldChar w:fldCharType="begin"/>
      </w:r>
      <w:r>
        <w:rPr>
          <w:color w:val="auto"/>
          <w:highlight w:val="none"/>
        </w:rPr>
        <w:instrText xml:space="preserve"> PAGEREF _Toc14427 \h </w:instrText>
      </w:r>
      <w:r>
        <w:rPr>
          <w:color w:val="auto"/>
          <w:highlight w:val="none"/>
        </w:rPr>
        <w:fldChar w:fldCharType="separate"/>
      </w:r>
      <w:r>
        <w:rPr>
          <w:color w:val="auto"/>
          <w:highlight w:val="none"/>
        </w:rPr>
        <w:t>226</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01364148">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_Toc29139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8.3 </w:t>
      </w:r>
      <w:r>
        <w:rPr>
          <w:rFonts w:hint="default" w:ascii="Times New Roman" w:hAnsi="Times New Roman" w:cs="Times New Roman"/>
          <w:color w:val="auto"/>
          <w:highlight w:val="none"/>
        </w:rPr>
        <w:t>建设项目环评简化建议</w:t>
      </w:r>
      <w:r>
        <w:rPr>
          <w:color w:val="auto"/>
          <w:highlight w:val="none"/>
        </w:rPr>
        <w:tab/>
      </w:r>
      <w:r>
        <w:rPr>
          <w:color w:val="auto"/>
          <w:highlight w:val="none"/>
        </w:rPr>
        <w:fldChar w:fldCharType="begin"/>
      </w:r>
      <w:r>
        <w:rPr>
          <w:color w:val="auto"/>
          <w:highlight w:val="none"/>
        </w:rPr>
        <w:instrText xml:space="preserve"> PAGEREF _Toc29139 \h </w:instrText>
      </w:r>
      <w:r>
        <w:rPr>
          <w:color w:val="auto"/>
          <w:highlight w:val="none"/>
        </w:rPr>
        <w:fldChar w:fldCharType="separate"/>
      </w:r>
      <w:r>
        <w:rPr>
          <w:color w:val="auto"/>
          <w:highlight w:val="none"/>
        </w:rPr>
        <w:t>227</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4A19F724">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_Toc16909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9. </w:t>
      </w:r>
      <w:r>
        <w:rPr>
          <w:rFonts w:hint="default" w:ascii="Times New Roman" w:hAnsi="Times New Roman" w:cs="Times New Roman"/>
          <w:color w:val="auto"/>
          <w:highlight w:val="none"/>
        </w:rPr>
        <w:t>环境影响跟踪评价计划</w:t>
      </w:r>
      <w:r>
        <w:rPr>
          <w:color w:val="auto"/>
          <w:highlight w:val="none"/>
        </w:rPr>
        <w:tab/>
      </w:r>
      <w:r>
        <w:rPr>
          <w:color w:val="auto"/>
          <w:highlight w:val="none"/>
        </w:rPr>
        <w:fldChar w:fldCharType="begin"/>
      </w:r>
      <w:r>
        <w:rPr>
          <w:color w:val="auto"/>
          <w:highlight w:val="none"/>
        </w:rPr>
        <w:instrText xml:space="preserve"> PAGEREF _Toc16909 \h </w:instrText>
      </w:r>
      <w:r>
        <w:rPr>
          <w:color w:val="auto"/>
          <w:highlight w:val="none"/>
        </w:rPr>
        <w:fldChar w:fldCharType="separate"/>
      </w:r>
      <w:r>
        <w:rPr>
          <w:color w:val="auto"/>
          <w:highlight w:val="none"/>
        </w:rPr>
        <w:t>228</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001E0390">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_Toc24808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9.1 </w:t>
      </w:r>
      <w:r>
        <w:rPr>
          <w:rFonts w:hint="default" w:ascii="Times New Roman" w:hAnsi="Times New Roman" w:cs="Times New Roman"/>
          <w:color w:val="auto"/>
          <w:highlight w:val="none"/>
        </w:rPr>
        <w:t>跟踪评价方案</w:t>
      </w:r>
      <w:r>
        <w:rPr>
          <w:color w:val="auto"/>
          <w:highlight w:val="none"/>
        </w:rPr>
        <w:tab/>
      </w:r>
      <w:r>
        <w:rPr>
          <w:color w:val="auto"/>
          <w:highlight w:val="none"/>
        </w:rPr>
        <w:fldChar w:fldCharType="begin"/>
      </w:r>
      <w:r>
        <w:rPr>
          <w:color w:val="auto"/>
          <w:highlight w:val="none"/>
        </w:rPr>
        <w:instrText xml:space="preserve"> PAGEREF _Toc24808 \h </w:instrText>
      </w:r>
      <w:r>
        <w:rPr>
          <w:color w:val="auto"/>
          <w:highlight w:val="none"/>
        </w:rPr>
        <w:fldChar w:fldCharType="separate"/>
      </w:r>
      <w:r>
        <w:rPr>
          <w:color w:val="auto"/>
          <w:highlight w:val="none"/>
        </w:rPr>
        <w:t>228</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52D7A27B">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_Toc1393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9.2 </w:t>
      </w:r>
      <w:r>
        <w:rPr>
          <w:rFonts w:hint="default" w:ascii="Times New Roman" w:hAnsi="Times New Roman" w:cs="Times New Roman"/>
          <w:color w:val="auto"/>
          <w:highlight w:val="none"/>
        </w:rPr>
        <w:t>环境管理机构及职责</w:t>
      </w:r>
      <w:r>
        <w:rPr>
          <w:color w:val="auto"/>
          <w:highlight w:val="none"/>
        </w:rPr>
        <w:tab/>
      </w:r>
      <w:r>
        <w:rPr>
          <w:color w:val="auto"/>
          <w:highlight w:val="none"/>
        </w:rPr>
        <w:fldChar w:fldCharType="begin"/>
      </w:r>
      <w:r>
        <w:rPr>
          <w:color w:val="auto"/>
          <w:highlight w:val="none"/>
        </w:rPr>
        <w:instrText xml:space="preserve"> PAGEREF _Toc1393 \h </w:instrText>
      </w:r>
      <w:r>
        <w:rPr>
          <w:color w:val="auto"/>
          <w:highlight w:val="none"/>
        </w:rPr>
        <w:fldChar w:fldCharType="separate"/>
      </w:r>
      <w:r>
        <w:rPr>
          <w:color w:val="auto"/>
          <w:highlight w:val="none"/>
        </w:rPr>
        <w:t>231</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4FA1E7EA">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_Toc17790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9.3 </w:t>
      </w:r>
      <w:r>
        <w:rPr>
          <w:rFonts w:hint="default" w:ascii="Times New Roman" w:hAnsi="Times New Roman" w:cs="Times New Roman"/>
          <w:color w:val="auto"/>
          <w:highlight w:val="none"/>
        </w:rPr>
        <w:t>环境监测计划</w:t>
      </w:r>
      <w:r>
        <w:rPr>
          <w:color w:val="auto"/>
          <w:highlight w:val="none"/>
        </w:rPr>
        <w:tab/>
      </w:r>
      <w:r>
        <w:rPr>
          <w:color w:val="auto"/>
          <w:highlight w:val="none"/>
        </w:rPr>
        <w:fldChar w:fldCharType="begin"/>
      </w:r>
      <w:r>
        <w:rPr>
          <w:color w:val="auto"/>
          <w:highlight w:val="none"/>
        </w:rPr>
        <w:instrText xml:space="preserve"> PAGEREF _Toc17790 \h </w:instrText>
      </w:r>
      <w:r>
        <w:rPr>
          <w:color w:val="auto"/>
          <w:highlight w:val="none"/>
        </w:rPr>
        <w:fldChar w:fldCharType="separate"/>
      </w:r>
      <w:r>
        <w:rPr>
          <w:color w:val="auto"/>
          <w:highlight w:val="none"/>
        </w:rPr>
        <w:t>233</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69C53569">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_Toc10634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10. </w:t>
      </w:r>
      <w:r>
        <w:rPr>
          <w:rFonts w:hint="default" w:ascii="Times New Roman" w:hAnsi="Times New Roman" w:cs="Times New Roman"/>
          <w:color w:val="auto"/>
          <w:highlight w:val="none"/>
        </w:rPr>
        <w:t>公众参与</w:t>
      </w:r>
      <w:r>
        <w:rPr>
          <w:color w:val="auto"/>
          <w:highlight w:val="none"/>
        </w:rPr>
        <w:tab/>
      </w:r>
      <w:r>
        <w:rPr>
          <w:color w:val="auto"/>
          <w:highlight w:val="none"/>
        </w:rPr>
        <w:fldChar w:fldCharType="begin"/>
      </w:r>
      <w:r>
        <w:rPr>
          <w:color w:val="auto"/>
          <w:highlight w:val="none"/>
        </w:rPr>
        <w:instrText xml:space="preserve"> PAGEREF _Toc10634 \h </w:instrText>
      </w:r>
      <w:r>
        <w:rPr>
          <w:color w:val="auto"/>
          <w:highlight w:val="none"/>
        </w:rPr>
        <w:fldChar w:fldCharType="separate"/>
      </w:r>
      <w:r>
        <w:rPr>
          <w:color w:val="auto"/>
          <w:highlight w:val="none"/>
        </w:rPr>
        <w:t>234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297F1ABF">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_Toc18750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10.1 </w:t>
      </w:r>
      <w:r>
        <w:rPr>
          <w:rFonts w:hint="default" w:ascii="Times New Roman" w:hAnsi="Times New Roman" w:cs="Times New Roman"/>
          <w:color w:val="auto"/>
          <w:highlight w:val="none"/>
        </w:rPr>
        <w:t>公众参与目的与原则</w:t>
      </w:r>
      <w:r>
        <w:rPr>
          <w:color w:val="auto"/>
          <w:highlight w:val="none"/>
        </w:rPr>
        <w:tab/>
      </w:r>
      <w:r>
        <w:rPr>
          <w:color w:val="auto"/>
          <w:highlight w:val="none"/>
        </w:rPr>
        <w:fldChar w:fldCharType="begin"/>
      </w:r>
      <w:r>
        <w:rPr>
          <w:color w:val="auto"/>
          <w:highlight w:val="none"/>
        </w:rPr>
        <w:instrText xml:space="preserve"> PAGEREF _Toc18750 \h </w:instrText>
      </w:r>
      <w:r>
        <w:rPr>
          <w:color w:val="auto"/>
          <w:highlight w:val="none"/>
        </w:rPr>
        <w:fldChar w:fldCharType="separate"/>
      </w:r>
      <w:r>
        <w:rPr>
          <w:color w:val="auto"/>
          <w:highlight w:val="none"/>
        </w:rPr>
        <w:t>234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345DACA">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_Toc7504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10.2 </w:t>
      </w:r>
      <w:r>
        <w:rPr>
          <w:rFonts w:hint="default" w:ascii="Times New Roman" w:hAnsi="Times New Roman" w:cs="Times New Roman"/>
          <w:color w:val="auto"/>
          <w:highlight w:val="none"/>
        </w:rPr>
        <w:t>公众参与实施情况</w:t>
      </w:r>
      <w:r>
        <w:rPr>
          <w:color w:val="auto"/>
          <w:highlight w:val="none"/>
        </w:rPr>
        <w:tab/>
      </w:r>
      <w:r>
        <w:rPr>
          <w:color w:val="auto"/>
          <w:highlight w:val="none"/>
        </w:rPr>
        <w:fldChar w:fldCharType="begin"/>
      </w:r>
      <w:r>
        <w:rPr>
          <w:color w:val="auto"/>
          <w:highlight w:val="none"/>
        </w:rPr>
        <w:instrText xml:space="preserve"> PAGEREF _Toc7504 \h </w:instrText>
      </w:r>
      <w:r>
        <w:rPr>
          <w:color w:val="auto"/>
          <w:highlight w:val="none"/>
        </w:rPr>
        <w:fldChar w:fldCharType="separate"/>
      </w:r>
      <w:r>
        <w:rPr>
          <w:color w:val="auto"/>
          <w:highlight w:val="none"/>
        </w:rPr>
        <w:t>235</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FB02677">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_Toc895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10.3 </w:t>
      </w:r>
      <w:r>
        <w:rPr>
          <w:rFonts w:hint="default" w:ascii="Times New Roman" w:hAnsi="Times New Roman" w:cs="Times New Roman"/>
          <w:color w:val="auto"/>
          <w:highlight w:val="none"/>
        </w:rPr>
        <w:t>公众意见处理情况</w:t>
      </w:r>
      <w:r>
        <w:rPr>
          <w:color w:val="auto"/>
          <w:highlight w:val="none"/>
        </w:rPr>
        <w:tab/>
      </w:r>
      <w:r>
        <w:rPr>
          <w:color w:val="auto"/>
          <w:highlight w:val="none"/>
        </w:rPr>
        <w:fldChar w:fldCharType="begin"/>
      </w:r>
      <w:r>
        <w:rPr>
          <w:color w:val="auto"/>
          <w:highlight w:val="none"/>
        </w:rPr>
        <w:instrText xml:space="preserve"> PAGEREF _Toc895 \h </w:instrText>
      </w:r>
      <w:r>
        <w:rPr>
          <w:color w:val="auto"/>
          <w:highlight w:val="none"/>
        </w:rPr>
        <w:fldChar w:fldCharType="separate"/>
      </w:r>
      <w:r>
        <w:rPr>
          <w:color w:val="auto"/>
          <w:highlight w:val="none"/>
        </w:rPr>
        <w:t>240</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22BB2F4C">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_Toc30192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10.4 </w:t>
      </w:r>
      <w:r>
        <w:rPr>
          <w:rFonts w:hint="default" w:ascii="Times New Roman" w:hAnsi="Times New Roman" w:cs="Times New Roman"/>
          <w:color w:val="auto"/>
          <w:highlight w:val="none"/>
        </w:rPr>
        <w:t>公众参与小结</w:t>
      </w:r>
      <w:r>
        <w:rPr>
          <w:color w:val="auto"/>
          <w:highlight w:val="none"/>
        </w:rPr>
        <w:tab/>
      </w:r>
      <w:r>
        <w:rPr>
          <w:color w:val="auto"/>
          <w:highlight w:val="none"/>
        </w:rPr>
        <w:fldChar w:fldCharType="begin"/>
      </w:r>
      <w:r>
        <w:rPr>
          <w:color w:val="auto"/>
          <w:highlight w:val="none"/>
        </w:rPr>
        <w:instrText xml:space="preserve"> PAGEREF _Toc30192 \h </w:instrText>
      </w:r>
      <w:r>
        <w:rPr>
          <w:color w:val="auto"/>
          <w:highlight w:val="none"/>
        </w:rPr>
        <w:fldChar w:fldCharType="separate"/>
      </w:r>
      <w:r>
        <w:rPr>
          <w:color w:val="auto"/>
          <w:highlight w:val="none"/>
        </w:rPr>
        <w:t>240</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DB44DA6">
      <w:pPr>
        <w:pStyle w:val="38"/>
        <w:tabs>
          <w:tab w:val="right" w:leader="dot" w:pos="895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_Toc2829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szCs w:val="36"/>
          <w:highlight w:val="none"/>
        </w:rPr>
        <w:t xml:space="preserve">11. </w:t>
      </w:r>
      <w:r>
        <w:rPr>
          <w:rFonts w:hint="default" w:ascii="Times New Roman" w:hAnsi="Times New Roman" w:cs="Times New Roman"/>
          <w:color w:val="auto"/>
          <w:highlight w:val="none"/>
        </w:rPr>
        <w:t>评价结论</w:t>
      </w:r>
      <w:r>
        <w:rPr>
          <w:color w:val="auto"/>
          <w:highlight w:val="none"/>
        </w:rPr>
        <w:tab/>
      </w:r>
      <w:r>
        <w:rPr>
          <w:color w:val="auto"/>
          <w:highlight w:val="none"/>
        </w:rPr>
        <w:fldChar w:fldCharType="begin"/>
      </w:r>
      <w:r>
        <w:rPr>
          <w:color w:val="auto"/>
          <w:highlight w:val="none"/>
        </w:rPr>
        <w:instrText xml:space="preserve"> PAGEREF _Toc2829 \h </w:instrText>
      </w:r>
      <w:r>
        <w:rPr>
          <w:color w:val="auto"/>
          <w:highlight w:val="none"/>
        </w:rPr>
        <w:fldChar w:fldCharType="separate"/>
      </w:r>
      <w:r>
        <w:rPr>
          <w:color w:val="auto"/>
          <w:highlight w:val="none"/>
        </w:rPr>
        <w:t>241</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4AA2935C">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_Toc13337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11.1 </w:t>
      </w:r>
      <w:r>
        <w:rPr>
          <w:rFonts w:hint="default" w:ascii="Times New Roman" w:hAnsi="Times New Roman" w:cs="Times New Roman"/>
          <w:color w:val="auto"/>
          <w:highlight w:val="none"/>
        </w:rPr>
        <w:t>规划概况</w:t>
      </w:r>
      <w:r>
        <w:rPr>
          <w:color w:val="auto"/>
          <w:highlight w:val="none"/>
        </w:rPr>
        <w:tab/>
      </w:r>
      <w:r>
        <w:rPr>
          <w:color w:val="auto"/>
          <w:highlight w:val="none"/>
        </w:rPr>
        <w:fldChar w:fldCharType="begin"/>
      </w:r>
      <w:r>
        <w:rPr>
          <w:color w:val="auto"/>
          <w:highlight w:val="none"/>
        </w:rPr>
        <w:instrText xml:space="preserve"> PAGEREF _Toc13337 \h </w:instrText>
      </w:r>
      <w:r>
        <w:rPr>
          <w:color w:val="auto"/>
          <w:highlight w:val="none"/>
        </w:rPr>
        <w:fldChar w:fldCharType="separate"/>
      </w:r>
      <w:r>
        <w:rPr>
          <w:color w:val="auto"/>
          <w:highlight w:val="none"/>
        </w:rPr>
        <w:t>241</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557F35CF">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_Toc14017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11.2 </w:t>
      </w:r>
      <w:r>
        <w:rPr>
          <w:rFonts w:hint="default" w:ascii="Times New Roman" w:hAnsi="Times New Roman" w:cs="Times New Roman"/>
          <w:color w:val="auto"/>
          <w:highlight w:val="none"/>
        </w:rPr>
        <w:t>环境质量现状及演变趋势</w:t>
      </w:r>
      <w:r>
        <w:rPr>
          <w:color w:val="auto"/>
          <w:highlight w:val="none"/>
        </w:rPr>
        <w:tab/>
      </w:r>
      <w:r>
        <w:rPr>
          <w:color w:val="auto"/>
          <w:highlight w:val="none"/>
        </w:rPr>
        <w:fldChar w:fldCharType="begin"/>
      </w:r>
      <w:r>
        <w:rPr>
          <w:color w:val="auto"/>
          <w:highlight w:val="none"/>
        </w:rPr>
        <w:instrText xml:space="preserve"> PAGEREF _Toc14017 \h </w:instrText>
      </w:r>
      <w:r>
        <w:rPr>
          <w:color w:val="auto"/>
          <w:highlight w:val="none"/>
        </w:rPr>
        <w:fldChar w:fldCharType="separate"/>
      </w:r>
      <w:r>
        <w:rPr>
          <w:color w:val="auto"/>
          <w:highlight w:val="none"/>
        </w:rPr>
        <w:t>242</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7A2E7E7D">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_Toc20624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11.3 </w:t>
      </w:r>
      <w:r>
        <w:rPr>
          <w:rFonts w:hint="default" w:ascii="Times New Roman" w:hAnsi="Times New Roman" w:cs="Times New Roman"/>
          <w:color w:val="auto"/>
          <w:highlight w:val="none"/>
        </w:rPr>
        <w:t>主要环境问题和制约因素</w:t>
      </w:r>
      <w:r>
        <w:rPr>
          <w:color w:val="auto"/>
          <w:highlight w:val="none"/>
        </w:rPr>
        <w:tab/>
      </w:r>
      <w:r>
        <w:rPr>
          <w:color w:val="auto"/>
          <w:highlight w:val="none"/>
        </w:rPr>
        <w:fldChar w:fldCharType="begin"/>
      </w:r>
      <w:r>
        <w:rPr>
          <w:color w:val="auto"/>
          <w:highlight w:val="none"/>
        </w:rPr>
        <w:instrText xml:space="preserve"> PAGEREF _Toc20624 \h </w:instrText>
      </w:r>
      <w:r>
        <w:rPr>
          <w:color w:val="auto"/>
          <w:highlight w:val="none"/>
        </w:rPr>
        <w:fldChar w:fldCharType="separate"/>
      </w:r>
      <w:r>
        <w:rPr>
          <w:color w:val="auto"/>
          <w:highlight w:val="none"/>
        </w:rPr>
        <w:t>244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0725163">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_Toc3130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11.4 </w:t>
      </w:r>
      <w:r>
        <w:rPr>
          <w:rFonts w:hint="default" w:ascii="Times New Roman" w:hAnsi="Times New Roman" w:cs="Times New Roman"/>
          <w:color w:val="auto"/>
          <w:highlight w:val="none"/>
        </w:rPr>
        <w:t>资源环境承载力分析</w:t>
      </w:r>
      <w:r>
        <w:rPr>
          <w:color w:val="auto"/>
          <w:highlight w:val="none"/>
        </w:rPr>
        <w:tab/>
      </w:r>
      <w:r>
        <w:rPr>
          <w:color w:val="auto"/>
          <w:highlight w:val="none"/>
        </w:rPr>
        <w:fldChar w:fldCharType="begin"/>
      </w:r>
      <w:r>
        <w:rPr>
          <w:color w:val="auto"/>
          <w:highlight w:val="none"/>
        </w:rPr>
        <w:instrText xml:space="preserve"> PAGEREF _Toc3130 \h </w:instrText>
      </w:r>
      <w:r>
        <w:rPr>
          <w:color w:val="auto"/>
          <w:highlight w:val="none"/>
        </w:rPr>
        <w:fldChar w:fldCharType="separate"/>
      </w:r>
      <w:r>
        <w:rPr>
          <w:color w:val="auto"/>
          <w:highlight w:val="none"/>
        </w:rPr>
        <w:t>245</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2A25B4F">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_Toc12972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11.5 </w:t>
      </w:r>
      <w:r>
        <w:rPr>
          <w:rFonts w:hint="default" w:ascii="Times New Roman" w:hAnsi="Times New Roman" w:cs="Times New Roman"/>
          <w:color w:val="auto"/>
          <w:highlight w:val="none"/>
        </w:rPr>
        <w:t>规划协调性分析</w:t>
      </w:r>
      <w:r>
        <w:rPr>
          <w:color w:val="auto"/>
          <w:highlight w:val="none"/>
        </w:rPr>
        <w:tab/>
      </w:r>
      <w:r>
        <w:rPr>
          <w:color w:val="auto"/>
          <w:highlight w:val="none"/>
        </w:rPr>
        <w:fldChar w:fldCharType="begin"/>
      </w:r>
      <w:r>
        <w:rPr>
          <w:color w:val="auto"/>
          <w:highlight w:val="none"/>
        </w:rPr>
        <w:instrText xml:space="preserve"> PAGEREF _Toc12972 \h </w:instrText>
      </w:r>
      <w:r>
        <w:rPr>
          <w:color w:val="auto"/>
          <w:highlight w:val="none"/>
        </w:rPr>
        <w:fldChar w:fldCharType="separate"/>
      </w:r>
      <w:r>
        <w:rPr>
          <w:color w:val="auto"/>
          <w:highlight w:val="none"/>
        </w:rPr>
        <w:t>246</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0B86556B">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_Toc5366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11.6 </w:t>
      </w:r>
      <w:r>
        <w:rPr>
          <w:rFonts w:hint="default" w:ascii="Times New Roman" w:hAnsi="Times New Roman" w:cs="Times New Roman"/>
          <w:color w:val="auto"/>
          <w:highlight w:val="none"/>
        </w:rPr>
        <w:t>规划方案环境合理性和环境效益</w:t>
      </w:r>
      <w:r>
        <w:rPr>
          <w:color w:val="auto"/>
          <w:highlight w:val="none"/>
        </w:rPr>
        <w:tab/>
      </w:r>
      <w:r>
        <w:rPr>
          <w:color w:val="auto"/>
          <w:highlight w:val="none"/>
        </w:rPr>
        <w:fldChar w:fldCharType="begin"/>
      </w:r>
      <w:r>
        <w:rPr>
          <w:color w:val="auto"/>
          <w:highlight w:val="none"/>
        </w:rPr>
        <w:instrText xml:space="preserve"> PAGEREF _Toc5366 \h </w:instrText>
      </w:r>
      <w:r>
        <w:rPr>
          <w:color w:val="auto"/>
          <w:highlight w:val="none"/>
        </w:rPr>
        <w:fldChar w:fldCharType="separate"/>
      </w:r>
      <w:r>
        <w:rPr>
          <w:color w:val="auto"/>
          <w:highlight w:val="none"/>
        </w:rPr>
        <w:t>247</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49FFE8D">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_Toc1895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11.7 </w:t>
      </w:r>
      <w:r>
        <w:rPr>
          <w:rFonts w:hint="default" w:ascii="Times New Roman" w:hAnsi="Times New Roman" w:cs="Times New Roman"/>
          <w:color w:val="auto"/>
          <w:highlight w:val="none"/>
        </w:rPr>
        <w:t>规划优化调整建议</w:t>
      </w:r>
      <w:r>
        <w:rPr>
          <w:color w:val="auto"/>
          <w:highlight w:val="none"/>
        </w:rPr>
        <w:tab/>
      </w:r>
      <w:r>
        <w:rPr>
          <w:color w:val="auto"/>
          <w:highlight w:val="none"/>
        </w:rPr>
        <w:fldChar w:fldCharType="begin"/>
      </w:r>
      <w:r>
        <w:rPr>
          <w:color w:val="auto"/>
          <w:highlight w:val="none"/>
        </w:rPr>
        <w:instrText xml:space="preserve"> PAGEREF _Toc1895 \h </w:instrText>
      </w:r>
      <w:r>
        <w:rPr>
          <w:color w:val="auto"/>
          <w:highlight w:val="none"/>
        </w:rPr>
        <w:fldChar w:fldCharType="separate"/>
      </w:r>
      <w:r>
        <w:rPr>
          <w:color w:val="auto"/>
          <w:highlight w:val="none"/>
        </w:rPr>
        <w:t>247</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7625B1B2">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_Toc21914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11.8 </w:t>
      </w:r>
      <w:r>
        <w:rPr>
          <w:rFonts w:hint="default" w:ascii="Times New Roman" w:hAnsi="Times New Roman" w:cs="Times New Roman"/>
          <w:color w:val="auto"/>
          <w:highlight w:val="none"/>
        </w:rPr>
        <w:t>生态环境保护方案及管控要求</w:t>
      </w:r>
      <w:r>
        <w:rPr>
          <w:color w:val="auto"/>
          <w:highlight w:val="none"/>
        </w:rPr>
        <w:tab/>
      </w:r>
      <w:r>
        <w:rPr>
          <w:color w:val="auto"/>
          <w:highlight w:val="none"/>
        </w:rPr>
        <w:fldChar w:fldCharType="begin"/>
      </w:r>
      <w:r>
        <w:rPr>
          <w:color w:val="auto"/>
          <w:highlight w:val="none"/>
        </w:rPr>
        <w:instrText xml:space="preserve"> PAGEREF _Toc21914 \h </w:instrText>
      </w:r>
      <w:r>
        <w:rPr>
          <w:color w:val="auto"/>
          <w:highlight w:val="none"/>
        </w:rPr>
        <w:fldChar w:fldCharType="separate"/>
      </w:r>
      <w:r>
        <w:rPr>
          <w:color w:val="auto"/>
          <w:highlight w:val="none"/>
        </w:rPr>
        <w:t>250</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48285413">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_Toc26140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11.9 </w:t>
      </w:r>
      <w:r>
        <w:rPr>
          <w:rFonts w:hint="default" w:ascii="Times New Roman" w:hAnsi="Times New Roman" w:cs="Times New Roman"/>
          <w:color w:val="auto"/>
          <w:highlight w:val="none"/>
        </w:rPr>
        <w:t>具体建设项目环境影响评价重点及简化建议</w:t>
      </w:r>
      <w:r>
        <w:rPr>
          <w:color w:val="auto"/>
          <w:highlight w:val="none"/>
        </w:rPr>
        <w:tab/>
      </w:r>
      <w:r>
        <w:rPr>
          <w:color w:val="auto"/>
          <w:highlight w:val="none"/>
        </w:rPr>
        <w:fldChar w:fldCharType="begin"/>
      </w:r>
      <w:r>
        <w:rPr>
          <w:color w:val="auto"/>
          <w:highlight w:val="none"/>
        </w:rPr>
        <w:instrText xml:space="preserve"> PAGEREF _Toc26140 \h </w:instrText>
      </w:r>
      <w:r>
        <w:rPr>
          <w:color w:val="auto"/>
          <w:highlight w:val="none"/>
        </w:rPr>
        <w:fldChar w:fldCharType="separate"/>
      </w:r>
      <w:r>
        <w:rPr>
          <w:color w:val="auto"/>
          <w:highlight w:val="none"/>
        </w:rPr>
        <w:t>254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7F9EFD48">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_Toc16437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11.10 </w:t>
      </w:r>
      <w:r>
        <w:rPr>
          <w:rFonts w:hint="default" w:ascii="Times New Roman" w:hAnsi="Times New Roman" w:cs="Times New Roman"/>
          <w:color w:val="auto"/>
          <w:highlight w:val="none"/>
        </w:rPr>
        <w:t>环境影响跟踪评价计划</w:t>
      </w:r>
      <w:r>
        <w:rPr>
          <w:color w:val="auto"/>
          <w:highlight w:val="none"/>
        </w:rPr>
        <w:tab/>
      </w:r>
      <w:r>
        <w:rPr>
          <w:color w:val="auto"/>
          <w:highlight w:val="none"/>
        </w:rPr>
        <w:fldChar w:fldCharType="begin"/>
      </w:r>
      <w:r>
        <w:rPr>
          <w:color w:val="auto"/>
          <w:highlight w:val="none"/>
        </w:rPr>
        <w:instrText xml:space="preserve"> PAGEREF _Toc16437 \h </w:instrText>
      </w:r>
      <w:r>
        <w:rPr>
          <w:color w:val="auto"/>
          <w:highlight w:val="none"/>
        </w:rPr>
        <w:fldChar w:fldCharType="separate"/>
      </w:r>
      <w:r>
        <w:rPr>
          <w:color w:val="auto"/>
          <w:highlight w:val="none"/>
        </w:rPr>
        <w:t>254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076F32E8">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_Toc22584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11.11 </w:t>
      </w:r>
      <w:r>
        <w:rPr>
          <w:rFonts w:hint="default" w:ascii="Times New Roman" w:hAnsi="Times New Roman" w:cs="Times New Roman"/>
          <w:color w:val="auto"/>
          <w:highlight w:val="none"/>
        </w:rPr>
        <w:t>公众意见的回复和采纳情况</w:t>
      </w:r>
      <w:r>
        <w:rPr>
          <w:color w:val="auto"/>
          <w:highlight w:val="none"/>
        </w:rPr>
        <w:tab/>
      </w:r>
      <w:r>
        <w:rPr>
          <w:color w:val="auto"/>
          <w:highlight w:val="none"/>
        </w:rPr>
        <w:fldChar w:fldCharType="begin"/>
      </w:r>
      <w:r>
        <w:rPr>
          <w:color w:val="auto"/>
          <w:highlight w:val="none"/>
        </w:rPr>
        <w:instrText xml:space="preserve"> PAGEREF _Toc22584 \h </w:instrText>
      </w:r>
      <w:r>
        <w:rPr>
          <w:color w:val="auto"/>
          <w:highlight w:val="none"/>
        </w:rPr>
        <w:fldChar w:fldCharType="separate"/>
      </w:r>
      <w:r>
        <w:rPr>
          <w:color w:val="auto"/>
          <w:highlight w:val="none"/>
        </w:rPr>
        <w:t>254</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11E7DBA9">
      <w:pPr>
        <w:pStyle w:val="47"/>
        <w:tabs>
          <w:tab w:val="right" w:leader="dot" w:pos="8958"/>
          <w:tab w:val="clear" w:pos="840"/>
          <w:tab w:val="clear" w:pos="8948"/>
        </w:tabs>
        <w:rPr>
          <w:color w:val="auto"/>
          <w:highlight w:val="none"/>
        </w:rPr>
      </w:pPr>
      <w:r>
        <w:rPr>
          <w:rFonts w:hint="default" w:ascii="Times New Roman" w:hAnsi="Times New Roman" w:cs="Times New Roman"/>
          <w:bCs/>
          <w:caps/>
          <w:smallCaps w:val="0"/>
          <w:color w:val="auto"/>
          <w:szCs w:val="21"/>
          <w:highlight w:val="none"/>
        </w:rPr>
        <w:fldChar w:fldCharType="begin"/>
      </w:r>
      <w:r>
        <w:rPr>
          <w:rFonts w:hint="default" w:ascii="Times New Roman" w:hAnsi="Times New Roman" w:cs="Times New Roman"/>
          <w:bCs/>
          <w:caps/>
          <w:smallCaps w:val="0"/>
          <w:color w:val="auto"/>
          <w:szCs w:val="21"/>
          <w:highlight w:val="none"/>
        </w:rPr>
        <w:instrText xml:space="preserve"> HYPERLINK \l _Toc437 </w:instrText>
      </w:r>
      <w:r>
        <w:rPr>
          <w:rFonts w:hint="default" w:ascii="Times New Roman" w:hAnsi="Times New Roman" w:cs="Times New Roman"/>
          <w:bCs/>
          <w:caps/>
          <w:smallCaps w:val="0"/>
          <w:color w:val="auto"/>
          <w:szCs w:val="21"/>
          <w:highlight w:val="none"/>
        </w:rPr>
        <w:fldChar w:fldCharType="separate"/>
      </w:r>
      <w:r>
        <w:rPr>
          <w:rFonts w:hint="default" w:ascii="Times New Roman" w:hAnsi="Times New Roman" w:eastAsia="宋体" w:cs="宋体"/>
          <w:color w:val="auto"/>
          <w:highlight w:val="none"/>
        </w:rPr>
        <w:t xml:space="preserve">11.12 </w:t>
      </w:r>
      <w:r>
        <w:rPr>
          <w:rFonts w:hint="default" w:ascii="Times New Roman" w:hAnsi="Times New Roman" w:cs="Times New Roman"/>
          <w:color w:val="auto"/>
          <w:highlight w:val="none"/>
        </w:rPr>
        <w:t>总结论</w:t>
      </w:r>
      <w:r>
        <w:rPr>
          <w:color w:val="auto"/>
          <w:highlight w:val="none"/>
        </w:rPr>
        <w:tab/>
      </w:r>
      <w:r>
        <w:rPr>
          <w:color w:val="auto"/>
          <w:highlight w:val="none"/>
        </w:rPr>
        <w:fldChar w:fldCharType="begin"/>
      </w:r>
      <w:r>
        <w:rPr>
          <w:color w:val="auto"/>
          <w:highlight w:val="none"/>
        </w:rPr>
        <w:instrText xml:space="preserve"> PAGEREF _Toc437 \h </w:instrText>
      </w:r>
      <w:r>
        <w:rPr>
          <w:color w:val="auto"/>
          <w:highlight w:val="none"/>
        </w:rPr>
        <w:fldChar w:fldCharType="separate"/>
      </w:r>
      <w:r>
        <w:rPr>
          <w:color w:val="auto"/>
          <w:highlight w:val="none"/>
        </w:rPr>
        <w:t>255</w:t>
      </w:r>
      <w:r>
        <w:rPr>
          <w:color w:val="auto"/>
          <w:highlight w:val="none"/>
        </w:rPr>
        <w:fldChar w:fldCharType="end"/>
      </w:r>
      <w:r>
        <w:rPr>
          <w:rFonts w:hint="default" w:ascii="Times New Roman" w:hAnsi="Times New Roman" w:cs="Times New Roman"/>
          <w:bCs/>
          <w:caps/>
          <w:smallCaps w:val="0"/>
          <w:color w:val="auto"/>
          <w:szCs w:val="21"/>
          <w:highlight w:val="none"/>
        </w:rPr>
        <w:fldChar w:fldCharType="end"/>
      </w:r>
    </w:p>
    <w:p w14:paraId="3E2EE085">
      <w:pPr>
        <w:tabs>
          <w:tab w:val="left" w:pos="840"/>
          <w:tab w:val="right" w:leader="dot" w:pos="8948"/>
        </w:tabs>
        <w:spacing w:before="156" w:beforeLines="50" w:line="480" w:lineRule="auto"/>
        <w:jc w:val="center"/>
        <w:rPr>
          <w:rFonts w:hint="default" w:ascii="Times New Roman" w:hAnsi="Times New Roman" w:cs="Times New Roman"/>
          <w:color w:val="auto"/>
          <w:highlight w:val="none"/>
          <w:lang w:val="en-US"/>
        </w:rPr>
      </w:pPr>
      <w:r>
        <w:rPr>
          <w:rFonts w:hint="default" w:ascii="Times New Roman" w:hAnsi="Times New Roman" w:cs="Times New Roman"/>
          <w:b/>
          <w:bCs/>
          <w:caps/>
          <w:smallCaps w:val="0"/>
          <w:color w:val="auto"/>
          <w:sz w:val="21"/>
          <w:szCs w:val="21"/>
          <w:highlight w:val="none"/>
        </w:rPr>
        <w:fldChar w:fldCharType="end"/>
      </w:r>
      <w:bookmarkEnd w:id="8"/>
    </w:p>
    <w:p w14:paraId="6285D071">
      <w:pPr>
        <w:pStyle w:val="36"/>
        <w:rPr>
          <w:rFonts w:hint="default" w:ascii="Times New Roman" w:hAnsi="Times New Roman" w:cs="Times New Roman"/>
          <w:color w:val="auto"/>
          <w:highlight w:val="none"/>
          <w:lang w:val="en-US"/>
        </w:rPr>
      </w:pPr>
    </w:p>
    <w:p w14:paraId="169995E9">
      <w:pPr>
        <w:pStyle w:val="36"/>
        <w:rPr>
          <w:rFonts w:hint="default" w:ascii="Times New Roman" w:hAnsi="Times New Roman" w:cs="Times New Roman"/>
          <w:color w:val="auto"/>
          <w:highlight w:val="none"/>
          <w:lang w:val="en-US"/>
        </w:rPr>
        <w:sectPr>
          <w:headerReference r:id="rId3" w:type="default"/>
          <w:footerReference r:id="rId4" w:type="default"/>
          <w:pgSz w:w="11906" w:h="16838"/>
          <w:pgMar w:top="1474" w:right="1474" w:bottom="1474" w:left="1474" w:header="1134" w:footer="1134" w:gutter="0"/>
          <w:pgBorders>
            <w:top w:val="none" w:sz="0" w:space="0"/>
            <w:left w:val="none" w:sz="0" w:space="0"/>
            <w:bottom w:val="none" w:sz="0" w:space="0"/>
            <w:right w:val="none" w:sz="0" w:space="0"/>
          </w:pgBorders>
          <w:pgNumType w:fmt="upperRoman" w:start="1"/>
          <w:cols w:space="720" w:num="1"/>
          <w:docGrid w:type="lines" w:linePitch="312" w:charSpace="0"/>
        </w:sectPr>
      </w:pPr>
    </w:p>
    <w:p w14:paraId="1D18B861">
      <w:pPr>
        <w:pStyle w:val="2"/>
        <w:spacing w:before="312" w:after="312"/>
        <w:rPr>
          <w:rFonts w:hint="default" w:ascii="Times New Roman" w:hAnsi="Times New Roman" w:cs="Times New Roman"/>
          <w:color w:val="auto"/>
          <w:highlight w:val="none"/>
        </w:rPr>
      </w:pPr>
      <w:bookmarkStart w:id="9" w:name="_Toc299614350"/>
      <w:bookmarkStart w:id="10" w:name="_Toc3993850"/>
      <w:bookmarkStart w:id="11" w:name="_Toc47345036"/>
      <w:bookmarkStart w:id="12" w:name="_Toc6484"/>
      <w:bookmarkStart w:id="13" w:name="_Toc299614094"/>
      <w:r>
        <w:rPr>
          <w:rFonts w:hint="default" w:ascii="Times New Roman" w:hAnsi="Times New Roman" w:cs="Times New Roman"/>
          <w:color w:val="auto"/>
          <w:highlight w:val="none"/>
        </w:rPr>
        <w:t>总则</w:t>
      </w:r>
      <w:bookmarkEnd w:id="9"/>
      <w:bookmarkEnd w:id="10"/>
      <w:bookmarkEnd w:id="11"/>
      <w:bookmarkEnd w:id="12"/>
      <w:bookmarkEnd w:id="13"/>
    </w:p>
    <w:p w14:paraId="58662592">
      <w:pPr>
        <w:pStyle w:val="3"/>
        <w:spacing w:before="156" w:after="156"/>
        <w:rPr>
          <w:rFonts w:hint="default" w:ascii="Times New Roman" w:hAnsi="Times New Roman" w:cs="Times New Roman"/>
          <w:color w:val="auto"/>
          <w:highlight w:val="none"/>
        </w:rPr>
      </w:pPr>
      <w:bookmarkStart w:id="14" w:name="_Toc4717"/>
      <w:bookmarkStart w:id="15" w:name="_Toc528221007"/>
      <w:r>
        <w:rPr>
          <w:rFonts w:hint="default" w:ascii="Times New Roman" w:hAnsi="Times New Roman" w:cs="Times New Roman"/>
          <w:color w:val="auto"/>
          <w:highlight w:val="none"/>
        </w:rPr>
        <w:t>任务由来</w:t>
      </w:r>
      <w:bookmarkEnd w:id="14"/>
    </w:p>
    <w:p w14:paraId="5D2B005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森林康养是为了推动生态文明建设，有效可持续利用森林资源，践行“绿水青山就是金山银山”的理念，顺应新时代经济和社会需求的新型经济和健康生活的发展趋势。随着生态休闲旅游的逐渐升温，森林康养作为其重要形式之一，呈现蓬勃发展的状态。氧含量丰富、强肺健体的森林旅游势必会成为旅游目的地和旅游区的加分项。</w:t>
      </w:r>
    </w:p>
    <w:p w14:paraId="4E81F5C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在《关于促进森林康养产业发展的意见》</w:t>
      </w:r>
      <w:r>
        <w:rPr>
          <w:rFonts w:hint="default" w:ascii="Times New Roman" w:hAnsi="Times New Roman" w:cs="Times New Roman"/>
          <w:color w:val="auto"/>
          <w:sz w:val="24"/>
          <w:highlight w:val="none"/>
          <w:lang w:eastAsia="zh-CN"/>
        </w:rPr>
        <w:t>（林改发〔2019〕20号）</w:t>
      </w:r>
      <w:r>
        <w:rPr>
          <w:rFonts w:hint="default" w:ascii="Times New Roman" w:hAnsi="Times New Roman" w:cs="Times New Roman"/>
          <w:color w:val="auto"/>
          <w:sz w:val="24"/>
          <w:highlight w:val="none"/>
        </w:rPr>
        <w:t>中，已明确规划出森林康养的发展目标，“到2022年，建成基础设施基本完善、产业布局较为合理的区域性森林康养服务体系，建设国家森林康养基地300处，建立森林康养骨干人才队伍。到2035年，建成覆盖全国的森林康养服务体系，建设国家森林康养基地1200处，建立一支高素质的森林康养专业人才队伍。到2050年，森林康养服务体系更加健全，森林康养理念深入人心，人民群众享有更加充分的森林康养服务。”可以预见，在市场需求与国家政策的双重催化下，森林康养产业将会迎来重大发展机遇。</w:t>
      </w:r>
    </w:p>
    <w:p w14:paraId="2F49116B">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2025年1月，经国务院同意，国家发展改革委、体育总局印发了《关于建设高质量户外运动目的地的指导意见》</w:t>
      </w:r>
      <w:r>
        <w:rPr>
          <w:rFonts w:hint="default" w:ascii="Times New Roman" w:hAnsi="Times New Roman" w:cs="Times New Roman"/>
          <w:color w:val="auto"/>
          <w:sz w:val="24"/>
          <w:highlight w:val="none"/>
          <w:lang w:eastAsia="zh-CN"/>
        </w:rPr>
        <w:t>，《指导意见》提出，发展户外运动是满足人民群众日益增长的运动健康需求、推动全民健身及相关体育产业发展、培育新的经济增长点、促进绿水青山向金山银山转化的重要举措。《指导意见》明确，要依托户外运动优质资源和优势项目，通过提升设施建设、服务保障、赛事组织水平，强化产业集聚、业态融合、辐射带动作用，建设设施完善、服务优质、赛事丰富、国际知名的高质量户外运动目的地，带动我国户外运动产业发展水平显著提高。《指导意见》提出，到2027年，初步形成一批较为成熟的高质量户外运动目的地，形成可复制、可推广的建设经验，辐射带动作用得到显现；到2030年，全国建设100个左右高质量户外运动目的地，使其设施建设、服务供给、管理水平、国际影响力全面提升，助力户外运动参与人数持续增长，推动户外运动产业成为新的经济增长点。《指导意见》就高质量户外运动目的地提出了6个方面的建设要求。一是合理利用优质户外运动资源，在做好生态环境保护的前提下有序发展户外运动，科学布局高质量目的地；二是强化户外运动设施建设，完善高质量户外运动目的地运动、配套服务、交通等设施；三是推动户外运动产品及服务升级，提升产品质量和服务水平，改善消费体验；四是健全户外运动赛事活动体系，丰富群众性、全国性赛事，加强赛事活动国际合作；五是深化户外运动等产业融合发展，充分发挥户外运动对周边产业的带动作用，促进所在地区就业增收；六是提升户外运动安全治理水平，优化户外运动的安全保障措施。《指导意见》就支持高质量户外运动目的地建设提出了优化土地供应、加强资金保障等方面的要素支持举措，中央预算内投资、地方政府专项债券等对符合条件的高质量户外运动目的地项目建设予以支持。</w:t>
      </w:r>
    </w:p>
    <w:p w14:paraId="25E8104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自2013年起，国家就提出了“研学旅行”的概念。后续各地政府针对研学旅行出台了相关地方政策，这种体验式教育理念和旅游业的跨界融合，使研学旅行成为市场热点。在研学旅游相关政策逐步推进，重视程度不断加深的过程中，研学旅游市场前景愈渐广阔。</w:t>
      </w:r>
      <w:r>
        <w:rPr>
          <w:rFonts w:hint="default" w:ascii="Times New Roman" w:hAnsi="Times New Roman" w:cs="Times New Roman"/>
          <w:color w:val="auto"/>
          <w:sz w:val="24"/>
          <w:highlight w:val="none"/>
          <w:lang w:val="en-US" w:eastAsia="zh-CN"/>
        </w:rPr>
        <w:t>2013年《国民旅游休闲纲要（2013-2020年）》提出“逐步推行中小学生研学旅行”的设想。2014年《关于促进旅游业改革发展的若干意见》首次明确了“研学旅行”要纳入中小学生日常教育范畴。2015年《关于进一步促进旅游投资和消费的若干意见》提出建立健全研学旅行安全保障机制，寓教于游。2016年《关于推进中小学生研学旅行的意见》提出将研学旅行纳入中小学教育计划，加强研学旅行基地建设，通过研学旅行促进中华优秀传统文化教育。2017年《教育部办公厅关于商请推荐“全国中小学生研学实践教育基地”的函》提出教育部办公厅关于公布第一批全国中小学生研学实践教育基地、营地名单的通知。2018年《教育部2018年工作要点》提出明确推进中小学生研学旅行的意见。2019年《普通高等学校高等职业教育（专科）专业目录》提出增补专业“研学旅行管理与服务”，专业代码640107，标志着中小学研学旅行将固定下来和语数英基础学科同等重要长期执行。</w:t>
      </w:r>
    </w:p>
    <w:p w14:paraId="7D1B3A5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2025年4月</w:t>
      </w:r>
      <w:r>
        <w:rPr>
          <w:rFonts w:hint="default" w:ascii="Times New Roman" w:hAnsi="Times New Roman" w:eastAsia="宋体" w:cs="Times New Roman"/>
          <w:color w:val="auto"/>
          <w:sz w:val="24"/>
          <w:highlight w:val="none"/>
          <w:lang w:eastAsia="zh-CN"/>
        </w:rPr>
        <w:t>西藏自治区政府办公厅印发《西藏自治区文化旅游产业发展规划（2025-2035年）》</w:t>
      </w:r>
      <w:r>
        <w:rPr>
          <w:rFonts w:hint="default" w:ascii="Times New Roman" w:hAnsi="Times New Roman" w:cs="Times New Roman"/>
          <w:color w:val="auto"/>
          <w:sz w:val="24"/>
          <w:highlight w:val="none"/>
          <w:lang w:eastAsia="zh-CN"/>
        </w:rPr>
        <w:t>（藏政办发〔2025〕5号），</w:t>
      </w:r>
      <w:r>
        <w:rPr>
          <w:rFonts w:hint="default" w:ascii="Times New Roman" w:hAnsi="Times New Roman" w:cs="Times New Roman"/>
          <w:color w:val="auto"/>
          <w:sz w:val="24"/>
          <w:highlight w:val="none"/>
          <w:lang w:val="en-US" w:eastAsia="zh-CN"/>
        </w:rPr>
        <w:t>明确，重点建设“一核、三廊、六区”，即拉萨国际文化旅游城市核心区，唐蕃古道、茶马古道、国之大道G219文化旅游走廊，林芝国际生态文化旅游区、珠峰文化旅游区、象雄文化旅游区、雅砻文化旅游区、康巴文化旅游区、羌塘文化旅游区。实施文化精品建设工程、精品景区建设工程、旅游名县建设工程、精品线路建设工程等。</w:t>
      </w:r>
    </w:p>
    <w:p w14:paraId="34A1F029">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2024年林芝市政府工作报告指出：发挥文旅康养等特色优势，寻找新增长点，完善G318、G219、G349等线路旅游配套设施，打造10个以上精品景区（点），推出康体瘦身、跨境游等10个以上特色产品，改造提升15个特色乡村。持续抓好旅游市场整治和品牌形象提升。力争文化产业产值增长20％以上，旅游接待人次和收入均增长13％以上。</w:t>
      </w:r>
    </w:p>
    <w:p w14:paraId="56EB1969">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2025年波密县政府工作报告指出：大力发展三产。加快推进“旅游名县”创建进程，着力构建农文体旅融合发展大格局。将桃花节分会场活动打造成强力推动波密旅游的“引爆点”。打造嘎朗湖、岗云杉林等A级旅游景区集群，建设冰川桃花休闲康养度假区、玉普摩旅基地。全力推进G318红色旅游项目，做好易贡将军楼、松宗步兵学校等革命遗址保护，创建拉颇遗址国家级文保单位，挖掘藏王文化遗迹，优化提升《冰川下的藏桃源》系列历史舞台剧。持续办好“一乡一节”农体旅活动。力争2025年接待国内外游客300万人次，实现旅游相关收入24.47亿元。</w:t>
      </w:r>
    </w:p>
    <w:p w14:paraId="02EFA0E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eastAsia="zh-CN"/>
        </w:rPr>
        <w:t>近年来，由于旅游宣传的作用，景区知名度不断提高，景区神秘面纱逐渐被揭开，不断有外来自驾游客进入景区，但景区由于缺乏统一的规划、建设与管理，景区的生态环境也面临破坏，旅游配套设施建设相对滞后。此外，景区内部还有岗巴村和巴卡村的原住民，村庄的建设与景区的发展缺乏有效衔接，因此亟需编制岗云杉林旅游景区规划，指导景区科学合理发展十分必要。</w:t>
      </w:r>
      <w:r>
        <w:rPr>
          <w:rFonts w:hint="default" w:ascii="Times New Roman" w:hAnsi="Times New Roman" w:cs="Times New Roman"/>
          <w:color w:val="auto"/>
          <w:sz w:val="24"/>
          <w:highlight w:val="none"/>
          <w:lang w:val="en-US" w:eastAsia="zh-CN"/>
        </w:rPr>
        <w:t>为此</w:t>
      </w:r>
      <w:r>
        <w:rPr>
          <w:rFonts w:hint="default" w:ascii="Times New Roman" w:hAnsi="Times New Roman" w:cs="Times New Roman"/>
          <w:color w:val="auto"/>
          <w:sz w:val="24"/>
          <w:highlight w:val="none"/>
          <w:lang w:eastAsia="zh-CN"/>
        </w:rPr>
        <w:t>波密县文化和旅游局</w:t>
      </w:r>
      <w:r>
        <w:rPr>
          <w:rFonts w:hint="default" w:ascii="Times New Roman" w:hAnsi="Times New Roman" w:cs="Times New Roman"/>
          <w:color w:val="auto"/>
          <w:sz w:val="24"/>
          <w:highlight w:val="none"/>
          <w:lang w:val="en-US" w:eastAsia="zh-CN"/>
        </w:rPr>
        <w:t>拟实施波密县岗云杉林旅游景区创建4A级规划项目。</w:t>
      </w:r>
    </w:p>
    <w:p w14:paraId="3DFB551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根据西藏自治区文化和旅游厅于2025年11月3日出具的关于印发《西藏自治区A级旅游景区评定管理办法</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试行</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》的通知：第七条 西藏自治区4A级旅游景区质量等级评定，按照以下5个阶段组织实施：（一）自检与初评···申报材料应包括下列内容···4.旅游景区已具有项目立项、环境影响评价···等开放合法性的行业主管部门证明。波密县文化和旅游局</w:t>
      </w:r>
      <w:r>
        <w:rPr>
          <w:rFonts w:hint="default" w:ascii="Times New Roman" w:hAnsi="Times New Roman" w:cs="Times New Roman"/>
          <w:color w:val="auto"/>
          <w:sz w:val="24"/>
          <w:highlight w:val="none"/>
        </w:rPr>
        <w:t>高度重视环保工作，按照《中华人民共和国环境影响评价法》《规划环境影响评价条例》《关于进一步加强旅游生态环境保护工作的通知》以及</w:t>
      </w:r>
      <w:r>
        <w:rPr>
          <w:rFonts w:hint="default" w:ascii="Times New Roman" w:hAnsi="Times New Roman" w:cs="Times New Roman"/>
          <w:color w:val="auto"/>
          <w:sz w:val="24"/>
          <w:highlight w:val="none"/>
          <w:lang w:eastAsia="zh-CN"/>
        </w:rPr>
        <w:t>《西藏自治区A级旅游景区评定管理办法</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试行</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等相关要求，综合性规划和专项规划应当进行环境影响评价。为对规划实施后可能造成的环境影响进行分析、预测和评估，提出预防或者减轻不良环境影响的对策和措施，正确把控规划定位、规划功能分区以及空间布局，在促进社会经济发展的同时实现生态环境保护，达到可持续发展，特委托</w:t>
      </w:r>
      <w:r>
        <w:rPr>
          <w:rFonts w:hint="default" w:ascii="Times New Roman" w:hAnsi="Times New Roman" w:cs="Times New Roman"/>
          <w:color w:val="auto"/>
          <w:sz w:val="24"/>
          <w:highlight w:val="none"/>
          <w:lang w:eastAsia="zh-CN"/>
        </w:rPr>
        <w:t>西藏璞匠农林生态工程有限公司</w:t>
      </w:r>
      <w:r>
        <w:rPr>
          <w:rFonts w:hint="default" w:ascii="Times New Roman" w:hAnsi="Times New Roman" w:cs="Times New Roman"/>
          <w:color w:val="auto"/>
          <w:sz w:val="24"/>
          <w:highlight w:val="none"/>
        </w:rPr>
        <w:t>承担</w:t>
      </w:r>
      <w:r>
        <w:rPr>
          <w:rFonts w:hint="default" w:ascii="Times New Roman" w:hAnsi="Times New Roman" w:cs="Times New Roman" w:eastAsiaTheme="minorEastAsia"/>
          <w:color w:val="auto"/>
          <w:sz w:val="24"/>
          <w:highlight w:val="none"/>
        </w:rPr>
        <w:t>“</w:t>
      </w:r>
      <w:r>
        <w:rPr>
          <w:rFonts w:hint="default" w:ascii="Times New Roman" w:hAnsi="Times New Roman" w:cs="Times New Roman" w:eastAsiaTheme="minorEastAsia"/>
          <w:color w:val="auto"/>
          <w:sz w:val="24"/>
          <w:highlight w:val="none"/>
          <w:lang w:eastAsia="zh-CN"/>
        </w:rPr>
        <w:t>波密县岗云杉林旅游景区创建4A级规划</w:t>
      </w:r>
      <w:r>
        <w:rPr>
          <w:rFonts w:hint="default" w:ascii="Times New Roman" w:hAnsi="Times New Roman" w:cs="Times New Roman" w:eastAsiaTheme="minorEastAsia"/>
          <w:color w:val="auto"/>
          <w:sz w:val="24"/>
          <w:highlight w:val="none"/>
        </w:rPr>
        <w:t>”</w:t>
      </w:r>
      <w:r>
        <w:rPr>
          <w:rFonts w:hint="default" w:ascii="Times New Roman" w:hAnsi="Times New Roman" w:cs="Times New Roman"/>
          <w:color w:val="auto"/>
          <w:sz w:val="24"/>
          <w:highlight w:val="none"/>
        </w:rPr>
        <w:t>的环境影响评价工作。</w:t>
      </w:r>
    </w:p>
    <w:p w14:paraId="6DFD2C07">
      <w:pPr>
        <w:pStyle w:val="69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接受委托后，我公司</w:t>
      </w:r>
      <w:r>
        <w:rPr>
          <w:rFonts w:hint="default" w:ascii="Times New Roman" w:hAnsi="Times New Roman" w:cs="Times New Roman"/>
          <w:color w:val="auto"/>
          <w:szCs w:val="24"/>
          <w:highlight w:val="none"/>
        </w:rPr>
        <w:t>立即组建项目组，</w:t>
      </w:r>
      <w:r>
        <w:rPr>
          <w:rFonts w:hint="default" w:ascii="Times New Roman" w:hAnsi="Times New Roman" w:cs="Times New Roman"/>
          <w:color w:val="auto"/>
          <w:highlight w:val="none"/>
        </w:rPr>
        <w:t>组织</w:t>
      </w:r>
      <w:r>
        <w:rPr>
          <w:rFonts w:hint="default" w:ascii="Times New Roman" w:hAnsi="Times New Roman" w:cs="Times New Roman"/>
          <w:color w:val="auto"/>
          <w:szCs w:val="24"/>
          <w:highlight w:val="none"/>
        </w:rPr>
        <w:t>技术人员</w:t>
      </w:r>
      <w:r>
        <w:rPr>
          <w:rFonts w:hint="default" w:ascii="Times New Roman" w:hAnsi="Times New Roman" w:cs="Times New Roman"/>
          <w:color w:val="auto"/>
          <w:highlight w:val="none"/>
        </w:rPr>
        <w:t>对规划区域及其周围环境进行了详尽的实地勘查，并进行了大量的资料收集、调研、统计与分析工作，同时对区域环境质量进行了现状监测和影响分析，在此基础上，按照《规划环境影响评价技术导则总纲》（HJ130-2019），编制完成了《</w:t>
      </w:r>
      <w:r>
        <w:rPr>
          <w:rFonts w:hint="default" w:ascii="Times New Roman" w:hAnsi="Times New Roman" w:cs="Times New Roman"/>
          <w:color w:val="auto"/>
          <w:highlight w:val="none"/>
          <w:lang w:eastAsia="zh-CN"/>
        </w:rPr>
        <w:t>波密县岗云杉林旅游景区创建4A级规划</w:t>
      </w:r>
      <w:r>
        <w:rPr>
          <w:rFonts w:hint="default" w:ascii="Times New Roman" w:hAnsi="Times New Roman" w:cs="Times New Roman"/>
          <w:color w:val="auto"/>
          <w:szCs w:val="24"/>
          <w:highlight w:val="none"/>
        </w:rPr>
        <w:t>环境影响报告书（送审版）</w:t>
      </w:r>
      <w:r>
        <w:rPr>
          <w:rFonts w:hint="default" w:ascii="Times New Roman" w:hAnsi="Times New Roman" w:cs="Times New Roman"/>
          <w:color w:val="auto"/>
          <w:highlight w:val="none"/>
        </w:rPr>
        <w:t>》</w:t>
      </w:r>
      <w:r>
        <w:rPr>
          <w:rFonts w:hint="eastAsia" w:cs="Times New Roman"/>
          <w:color w:val="auto"/>
          <w:highlight w:val="none"/>
          <w:lang w:eastAsia="zh-CN"/>
        </w:rPr>
        <w:t>，现主动</w:t>
      </w:r>
      <w:r>
        <w:rPr>
          <w:rFonts w:hint="eastAsia" w:cs="Times New Roman"/>
          <w:color w:val="auto"/>
          <w:highlight w:val="none"/>
          <w:lang w:val="en-US" w:eastAsia="zh-CN"/>
        </w:rPr>
        <w:t>上</w:t>
      </w:r>
      <w:r>
        <w:rPr>
          <w:rFonts w:hint="eastAsia" w:cs="Times New Roman"/>
          <w:color w:val="auto"/>
          <w:highlight w:val="none"/>
          <w:lang w:eastAsia="zh-CN"/>
        </w:rPr>
        <w:t>报《波密县岗云杉林旅游景区创建4A级规划环境影响报告书》至林芝市生态环境局进行审批</w:t>
      </w:r>
      <w:r>
        <w:rPr>
          <w:rFonts w:hint="default" w:ascii="Times New Roman" w:hAnsi="Times New Roman" w:cs="Times New Roman"/>
          <w:color w:val="auto"/>
          <w:highlight w:val="none"/>
        </w:rPr>
        <w:t>。</w:t>
      </w:r>
    </w:p>
    <w:p w14:paraId="248EE801">
      <w:pPr>
        <w:pStyle w:val="3"/>
        <w:spacing w:before="156" w:after="156"/>
        <w:rPr>
          <w:rFonts w:hint="default" w:ascii="Times New Roman" w:hAnsi="Times New Roman" w:cs="Times New Roman"/>
          <w:color w:val="auto"/>
          <w:highlight w:val="none"/>
        </w:rPr>
      </w:pPr>
      <w:bookmarkStart w:id="16" w:name="_Toc32361"/>
      <w:r>
        <w:rPr>
          <w:rFonts w:hint="default" w:ascii="Times New Roman" w:hAnsi="Times New Roman" w:cs="Times New Roman"/>
          <w:color w:val="auto"/>
          <w:highlight w:val="none"/>
        </w:rPr>
        <w:t>评价依据</w:t>
      </w:r>
      <w:bookmarkEnd w:id="15"/>
      <w:bookmarkEnd w:id="16"/>
    </w:p>
    <w:p w14:paraId="196731BA">
      <w:pPr>
        <w:pStyle w:val="4"/>
        <w:spacing w:before="156" w:after="156"/>
        <w:rPr>
          <w:rFonts w:hint="default" w:ascii="Times New Roman" w:hAnsi="Times New Roman" w:cs="Times New Roman"/>
          <w:color w:val="auto"/>
          <w:highlight w:val="none"/>
        </w:rPr>
      </w:pPr>
      <w:bookmarkStart w:id="17" w:name="_Toc9092635"/>
      <w:bookmarkStart w:id="18" w:name="_Toc528221008"/>
      <w:r>
        <w:rPr>
          <w:rFonts w:hint="default" w:ascii="Times New Roman" w:hAnsi="Times New Roman" w:cs="Times New Roman"/>
          <w:color w:val="auto"/>
          <w:highlight w:val="none"/>
        </w:rPr>
        <w:t>法律</w:t>
      </w:r>
      <w:bookmarkEnd w:id="17"/>
      <w:bookmarkEnd w:id="18"/>
      <w:r>
        <w:rPr>
          <w:rFonts w:hint="default" w:ascii="Times New Roman" w:hAnsi="Times New Roman" w:cs="Times New Roman"/>
          <w:color w:val="auto"/>
          <w:highlight w:val="none"/>
        </w:rPr>
        <w:t>法规</w:t>
      </w:r>
    </w:p>
    <w:p w14:paraId="26EB6B5D">
      <w:pPr>
        <w:autoSpaceDE w:val="0"/>
        <w:autoSpaceDN w:val="0"/>
        <w:spacing w:line="360" w:lineRule="auto"/>
        <w:ind w:firstLine="480" w:firstLineChars="200"/>
        <w:rPr>
          <w:rFonts w:hint="default" w:ascii="Times New Roman" w:hAnsi="Times New Roman" w:cs="Times New Roman" w:eastAsiaTheme="minorEastAsia"/>
          <w:color w:val="auto"/>
          <w:kern w:val="24"/>
          <w:sz w:val="24"/>
          <w:highlight w:val="none"/>
        </w:rPr>
      </w:pPr>
      <w:r>
        <w:rPr>
          <w:rFonts w:hint="default" w:ascii="Times New Roman" w:hAnsi="Times New Roman" w:cs="Times New Roman" w:eastAsiaTheme="minorEastAsia"/>
          <w:bCs/>
          <w:color w:val="auto"/>
          <w:kern w:val="0"/>
          <w:sz w:val="24"/>
          <w:highlight w:val="none"/>
        </w:rPr>
        <w:t>（</w:t>
      </w:r>
      <w:r>
        <w:rPr>
          <w:rFonts w:hint="default" w:ascii="Times New Roman" w:hAnsi="Times New Roman" w:cs="Times New Roman" w:eastAsiaTheme="minorEastAsia"/>
          <w:color w:val="auto"/>
          <w:kern w:val="0"/>
          <w:sz w:val="24"/>
          <w:highlight w:val="none"/>
        </w:rPr>
        <w:t>1）</w:t>
      </w:r>
      <w:r>
        <w:rPr>
          <w:rFonts w:hint="default" w:ascii="Times New Roman" w:hAnsi="Times New Roman" w:cs="Times New Roman" w:eastAsiaTheme="minorEastAsia"/>
          <w:color w:val="auto"/>
          <w:kern w:val="24"/>
          <w:sz w:val="24"/>
          <w:highlight w:val="none"/>
        </w:rPr>
        <w:t>《中华人民共和国环境保护法》，2015年1月1日起施行；</w:t>
      </w:r>
    </w:p>
    <w:p w14:paraId="30828A81">
      <w:pPr>
        <w:autoSpaceDE w:val="0"/>
        <w:autoSpaceDN w:val="0"/>
        <w:spacing w:line="360" w:lineRule="auto"/>
        <w:ind w:firstLine="480" w:firstLineChars="200"/>
        <w:rPr>
          <w:rFonts w:hint="default" w:ascii="Times New Roman" w:hAnsi="Times New Roman" w:cs="Times New Roman" w:eastAsiaTheme="minorEastAsia"/>
          <w:color w:val="auto"/>
          <w:kern w:val="24"/>
          <w:sz w:val="24"/>
          <w:highlight w:val="none"/>
        </w:rPr>
      </w:pPr>
      <w:r>
        <w:rPr>
          <w:rFonts w:hint="default" w:ascii="Times New Roman" w:hAnsi="Times New Roman" w:cs="Times New Roman" w:eastAsiaTheme="minorEastAsia"/>
          <w:bCs/>
          <w:color w:val="auto"/>
          <w:kern w:val="0"/>
          <w:sz w:val="24"/>
          <w:highlight w:val="none"/>
        </w:rPr>
        <w:t>（</w:t>
      </w:r>
      <w:r>
        <w:rPr>
          <w:rFonts w:hint="default" w:ascii="Times New Roman" w:hAnsi="Times New Roman" w:cs="Times New Roman" w:eastAsiaTheme="minorEastAsia"/>
          <w:color w:val="auto"/>
          <w:kern w:val="0"/>
          <w:sz w:val="24"/>
          <w:highlight w:val="none"/>
        </w:rPr>
        <w:t>2）</w:t>
      </w:r>
      <w:r>
        <w:rPr>
          <w:rFonts w:hint="default" w:ascii="Times New Roman" w:hAnsi="Times New Roman" w:cs="Times New Roman" w:eastAsiaTheme="minorEastAsia"/>
          <w:color w:val="auto"/>
          <w:kern w:val="24"/>
          <w:sz w:val="24"/>
          <w:highlight w:val="none"/>
        </w:rPr>
        <w:t>《中华人民共和国环境影响评价法》，2003年9月1日起施行，2018年12月29日修正；</w:t>
      </w:r>
    </w:p>
    <w:p w14:paraId="1B0847CA">
      <w:pPr>
        <w:autoSpaceDE w:val="0"/>
        <w:autoSpaceDN w:val="0"/>
        <w:spacing w:line="360" w:lineRule="auto"/>
        <w:ind w:firstLine="480" w:firstLineChars="200"/>
        <w:rPr>
          <w:rFonts w:hint="default" w:ascii="Times New Roman" w:hAnsi="Times New Roman" w:cs="Times New Roman" w:eastAsiaTheme="minorEastAsia"/>
          <w:color w:val="auto"/>
          <w:kern w:val="24"/>
          <w:sz w:val="24"/>
          <w:highlight w:val="none"/>
        </w:rPr>
      </w:pPr>
      <w:r>
        <w:rPr>
          <w:rFonts w:hint="default" w:ascii="Times New Roman" w:hAnsi="Times New Roman" w:cs="Times New Roman" w:eastAsiaTheme="minorEastAsia"/>
          <w:bCs/>
          <w:color w:val="auto"/>
          <w:kern w:val="0"/>
          <w:sz w:val="24"/>
          <w:highlight w:val="none"/>
        </w:rPr>
        <w:t>（</w:t>
      </w:r>
      <w:r>
        <w:rPr>
          <w:rFonts w:hint="default" w:ascii="Times New Roman" w:hAnsi="Times New Roman" w:cs="Times New Roman" w:eastAsiaTheme="minorEastAsia"/>
          <w:color w:val="auto"/>
          <w:kern w:val="0"/>
          <w:sz w:val="24"/>
          <w:highlight w:val="none"/>
        </w:rPr>
        <w:t>3）</w:t>
      </w:r>
      <w:r>
        <w:rPr>
          <w:rFonts w:hint="default" w:ascii="Times New Roman" w:hAnsi="Times New Roman" w:cs="Times New Roman" w:eastAsiaTheme="minorEastAsia"/>
          <w:color w:val="auto"/>
          <w:kern w:val="24"/>
          <w:sz w:val="24"/>
          <w:highlight w:val="none"/>
        </w:rPr>
        <w:t>《中华人民共和国大气污染防治法》，2016年1月1日起施行，2018年10月26日修正；</w:t>
      </w:r>
    </w:p>
    <w:p w14:paraId="27B6CA74">
      <w:pPr>
        <w:autoSpaceDE w:val="0"/>
        <w:autoSpaceDN w:val="0"/>
        <w:spacing w:line="360" w:lineRule="auto"/>
        <w:ind w:firstLine="480" w:firstLineChars="200"/>
        <w:rPr>
          <w:rFonts w:hint="default" w:ascii="Times New Roman" w:hAnsi="Times New Roman" w:cs="Times New Roman" w:eastAsiaTheme="minorEastAsia"/>
          <w:color w:val="auto"/>
          <w:kern w:val="24"/>
          <w:sz w:val="24"/>
          <w:highlight w:val="none"/>
        </w:rPr>
      </w:pPr>
      <w:r>
        <w:rPr>
          <w:rFonts w:hint="default" w:ascii="Times New Roman" w:hAnsi="Times New Roman" w:cs="Times New Roman" w:eastAsiaTheme="minorEastAsia"/>
          <w:bCs/>
          <w:color w:val="auto"/>
          <w:kern w:val="0"/>
          <w:sz w:val="24"/>
          <w:highlight w:val="none"/>
        </w:rPr>
        <w:t>（</w:t>
      </w:r>
      <w:r>
        <w:rPr>
          <w:rFonts w:hint="default" w:ascii="Times New Roman" w:hAnsi="Times New Roman" w:cs="Times New Roman" w:eastAsiaTheme="minorEastAsia"/>
          <w:color w:val="auto"/>
          <w:kern w:val="0"/>
          <w:sz w:val="24"/>
          <w:highlight w:val="none"/>
        </w:rPr>
        <w:t>4）</w:t>
      </w:r>
      <w:r>
        <w:rPr>
          <w:rFonts w:hint="default" w:ascii="Times New Roman" w:hAnsi="Times New Roman" w:cs="Times New Roman" w:eastAsiaTheme="minorEastAsia"/>
          <w:color w:val="auto"/>
          <w:kern w:val="24"/>
          <w:sz w:val="24"/>
          <w:highlight w:val="none"/>
        </w:rPr>
        <w:t>《中华人民共和国水污染防治法》，2008年6月1日起施行，2017年6月27日修正；</w:t>
      </w:r>
    </w:p>
    <w:p w14:paraId="2A819537">
      <w:pPr>
        <w:autoSpaceDE w:val="0"/>
        <w:autoSpaceDN w:val="0"/>
        <w:spacing w:line="360" w:lineRule="auto"/>
        <w:ind w:firstLine="480" w:firstLineChars="200"/>
        <w:rPr>
          <w:rFonts w:hint="default" w:ascii="Times New Roman" w:hAnsi="Times New Roman" w:cs="Times New Roman" w:eastAsiaTheme="minorEastAsia"/>
          <w:color w:val="auto"/>
          <w:kern w:val="24"/>
          <w:sz w:val="24"/>
          <w:highlight w:val="none"/>
        </w:rPr>
      </w:pPr>
      <w:r>
        <w:rPr>
          <w:rFonts w:hint="default" w:ascii="Times New Roman" w:hAnsi="Times New Roman" w:cs="Times New Roman" w:eastAsiaTheme="minorEastAsia"/>
          <w:bCs/>
          <w:color w:val="auto"/>
          <w:kern w:val="0"/>
          <w:sz w:val="24"/>
          <w:highlight w:val="none"/>
        </w:rPr>
        <w:t>（</w:t>
      </w:r>
      <w:r>
        <w:rPr>
          <w:rFonts w:hint="default" w:ascii="Times New Roman" w:hAnsi="Times New Roman" w:cs="Times New Roman" w:eastAsiaTheme="minorEastAsia"/>
          <w:color w:val="auto"/>
          <w:kern w:val="0"/>
          <w:sz w:val="24"/>
          <w:highlight w:val="none"/>
        </w:rPr>
        <w:t>5）</w:t>
      </w:r>
      <w:r>
        <w:rPr>
          <w:rFonts w:hint="default" w:ascii="Times New Roman" w:hAnsi="Times New Roman" w:cs="Times New Roman" w:eastAsiaTheme="minorEastAsia"/>
          <w:color w:val="auto"/>
          <w:kern w:val="24"/>
          <w:sz w:val="24"/>
          <w:highlight w:val="none"/>
        </w:rPr>
        <w:t>《中华人民共和国噪声污染防治法》，2022年6月5日起施行，2021年12月24日修正；</w:t>
      </w:r>
    </w:p>
    <w:p w14:paraId="484626FD">
      <w:pPr>
        <w:autoSpaceDE w:val="0"/>
        <w:autoSpaceDN w:val="0"/>
        <w:spacing w:line="360" w:lineRule="auto"/>
        <w:ind w:firstLine="480" w:firstLineChars="200"/>
        <w:rPr>
          <w:rFonts w:hint="default" w:ascii="Times New Roman" w:hAnsi="Times New Roman" w:cs="Times New Roman" w:eastAsiaTheme="minorEastAsia"/>
          <w:color w:val="auto"/>
          <w:kern w:val="24"/>
          <w:sz w:val="24"/>
          <w:highlight w:val="none"/>
        </w:rPr>
      </w:pPr>
      <w:r>
        <w:rPr>
          <w:rFonts w:hint="default" w:ascii="Times New Roman" w:hAnsi="Times New Roman" w:cs="Times New Roman" w:eastAsiaTheme="minorEastAsia"/>
          <w:bCs/>
          <w:color w:val="auto"/>
          <w:kern w:val="0"/>
          <w:sz w:val="24"/>
          <w:highlight w:val="none"/>
        </w:rPr>
        <w:t>（</w:t>
      </w:r>
      <w:r>
        <w:rPr>
          <w:rFonts w:hint="default" w:ascii="Times New Roman" w:hAnsi="Times New Roman" w:cs="Times New Roman" w:eastAsiaTheme="minorEastAsia"/>
          <w:color w:val="auto"/>
          <w:kern w:val="0"/>
          <w:sz w:val="24"/>
          <w:highlight w:val="none"/>
        </w:rPr>
        <w:t>6）</w:t>
      </w:r>
      <w:r>
        <w:rPr>
          <w:rFonts w:hint="default" w:ascii="Times New Roman" w:hAnsi="Times New Roman" w:cs="Times New Roman" w:eastAsiaTheme="minorEastAsia"/>
          <w:color w:val="auto"/>
          <w:kern w:val="24"/>
          <w:sz w:val="24"/>
          <w:highlight w:val="none"/>
        </w:rPr>
        <w:t>《中华人民共和国固体废物污染环境防治法》，2020年9月1日起施行；</w:t>
      </w:r>
    </w:p>
    <w:p w14:paraId="465280BE">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bCs/>
          <w:color w:val="auto"/>
          <w:kern w:val="0"/>
          <w:szCs w:val="24"/>
          <w:highlight w:val="none"/>
        </w:rPr>
        <w:t>（</w:t>
      </w:r>
      <w:r>
        <w:rPr>
          <w:rFonts w:hint="default" w:ascii="Times New Roman" w:hAnsi="Times New Roman" w:cs="Times New Roman" w:eastAsiaTheme="minorEastAsia"/>
          <w:color w:val="auto"/>
          <w:kern w:val="0"/>
          <w:szCs w:val="24"/>
          <w:highlight w:val="none"/>
        </w:rPr>
        <w:t>7）《中华人民共和国环境土壤污染防治法》，2019年1月1日起施行；</w:t>
      </w:r>
    </w:p>
    <w:p w14:paraId="6621C1C7">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（8）《中华人民共和国水法》，</w:t>
      </w:r>
      <w:r>
        <w:rPr>
          <w:rFonts w:hint="default" w:ascii="Times New Roman" w:hAnsi="Times New Roman" w:cs="Times New Roman" w:eastAsiaTheme="minorEastAsia"/>
          <w:color w:val="auto"/>
          <w:kern w:val="24"/>
          <w:szCs w:val="24"/>
          <w:highlight w:val="none"/>
        </w:rPr>
        <w:t>2002年10月1日起施行，2016年7月2日修正</w:t>
      </w:r>
      <w:r>
        <w:rPr>
          <w:rFonts w:hint="default" w:ascii="Times New Roman" w:hAnsi="Times New Roman" w:cs="Times New Roman" w:eastAsiaTheme="minorEastAsia"/>
          <w:color w:val="auto"/>
          <w:szCs w:val="24"/>
          <w:highlight w:val="none"/>
        </w:rPr>
        <w:t>；</w:t>
      </w:r>
    </w:p>
    <w:p w14:paraId="3813D772">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（9）《中华人民共和国矿产资源法》，</w:t>
      </w:r>
      <w:r>
        <w:rPr>
          <w:rFonts w:hint="default" w:ascii="Times New Roman" w:hAnsi="Times New Roman" w:cs="Times New Roman" w:eastAsiaTheme="minorEastAsia"/>
          <w:bCs/>
          <w:color w:val="auto"/>
          <w:kern w:val="0"/>
          <w:sz w:val="24"/>
          <w:highlight w:val="none"/>
          <w:lang w:val="en-US" w:eastAsia="zh-CN"/>
        </w:rPr>
        <w:t>2024</w:t>
      </w:r>
      <w:r>
        <w:rPr>
          <w:rFonts w:hint="default" w:ascii="Times New Roman" w:hAnsi="Times New Roman" w:cs="Times New Roman" w:eastAsiaTheme="minorEastAsia"/>
          <w:bCs/>
          <w:color w:val="auto"/>
          <w:kern w:val="0"/>
          <w:sz w:val="24"/>
          <w:highlight w:val="none"/>
        </w:rPr>
        <w:t>年</w:t>
      </w:r>
      <w:r>
        <w:rPr>
          <w:rFonts w:hint="default" w:ascii="Times New Roman" w:hAnsi="Times New Roman" w:cs="Times New Roman" w:eastAsiaTheme="minorEastAsia"/>
          <w:bCs/>
          <w:color w:val="auto"/>
          <w:kern w:val="0"/>
          <w:sz w:val="24"/>
          <w:highlight w:val="none"/>
          <w:lang w:val="en-US" w:eastAsia="zh-CN"/>
        </w:rPr>
        <w:t>4</w:t>
      </w:r>
      <w:r>
        <w:rPr>
          <w:rFonts w:hint="default" w:ascii="Times New Roman" w:hAnsi="Times New Roman" w:cs="Times New Roman" w:eastAsiaTheme="minorEastAsia"/>
          <w:bCs/>
          <w:color w:val="auto"/>
          <w:kern w:val="0"/>
          <w:sz w:val="24"/>
          <w:highlight w:val="none"/>
        </w:rPr>
        <w:t>月2</w:t>
      </w:r>
      <w:r>
        <w:rPr>
          <w:rFonts w:hint="default" w:ascii="Times New Roman" w:hAnsi="Times New Roman" w:cs="Times New Roman" w:eastAsiaTheme="minorEastAsia"/>
          <w:bCs/>
          <w:color w:val="auto"/>
          <w:kern w:val="0"/>
          <w:sz w:val="24"/>
          <w:highlight w:val="none"/>
          <w:lang w:val="en-US" w:eastAsia="zh-CN"/>
        </w:rPr>
        <w:t>9</w:t>
      </w:r>
      <w:r>
        <w:rPr>
          <w:rFonts w:hint="default" w:ascii="Times New Roman" w:hAnsi="Times New Roman" w:cs="Times New Roman" w:eastAsiaTheme="minorEastAsia"/>
          <w:bCs/>
          <w:color w:val="auto"/>
          <w:kern w:val="0"/>
          <w:sz w:val="24"/>
          <w:highlight w:val="none"/>
        </w:rPr>
        <w:t>日修正；</w:t>
      </w:r>
    </w:p>
    <w:p w14:paraId="6C3CF652">
      <w:pPr>
        <w:pStyle w:val="691"/>
        <w:ind w:firstLine="480"/>
        <w:rPr>
          <w:rFonts w:hint="default" w:ascii="Times New Roman" w:hAnsi="Times New Roman" w:cs="Times New Roman" w:eastAsiaTheme="minorEastAsia"/>
          <w:color w:val="auto"/>
          <w:kern w:val="0"/>
          <w:szCs w:val="24"/>
          <w:highlight w:val="none"/>
        </w:rPr>
      </w:pPr>
      <w:r>
        <w:rPr>
          <w:rFonts w:hint="default" w:ascii="Times New Roman" w:hAnsi="Times New Roman" w:cs="Times New Roman" w:eastAsiaTheme="minorEastAsia"/>
          <w:color w:val="auto"/>
          <w:szCs w:val="24"/>
          <w:highlight w:val="none"/>
        </w:rPr>
        <w:t>（10）</w:t>
      </w:r>
      <w:r>
        <w:rPr>
          <w:rFonts w:hint="default" w:ascii="Times New Roman" w:hAnsi="Times New Roman" w:cs="Times New Roman" w:eastAsiaTheme="minorEastAsia"/>
          <w:color w:val="auto"/>
          <w:kern w:val="0"/>
          <w:szCs w:val="24"/>
          <w:highlight w:val="none"/>
        </w:rPr>
        <w:t>《中华人民共和国森林法》，2020年7月1日起施行；</w:t>
      </w:r>
    </w:p>
    <w:p w14:paraId="79C293AF">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bCs/>
          <w:color w:val="auto"/>
          <w:kern w:val="0"/>
          <w:szCs w:val="24"/>
          <w:highlight w:val="none"/>
        </w:rPr>
        <w:t>（</w:t>
      </w:r>
      <w:r>
        <w:rPr>
          <w:rFonts w:hint="default" w:ascii="Times New Roman" w:hAnsi="Times New Roman" w:cs="Times New Roman" w:eastAsiaTheme="minorEastAsia"/>
          <w:color w:val="auto"/>
          <w:kern w:val="0"/>
          <w:szCs w:val="24"/>
          <w:highlight w:val="none"/>
        </w:rPr>
        <w:t>11）《</w:t>
      </w:r>
      <w:r>
        <w:rPr>
          <w:rFonts w:hint="default" w:ascii="Times New Roman" w:hAnsi="Times New Roman" w:cs="Times New Roman" w:eastAsiaTheme="minorEastAsia"/>
          <w:color w:val="auto"/>
          <w:szCs w:val="24"/>
          <w:highlight w:val="none"/>
        </w:rPr>
        <w:t>中华人民共和国草原法</w:t>
      </w:r>
      <w:r>
        <w:rPr>
          <w:rFonts w:hint="default" w:ascii="Times New Roman" w:hAnsi="Times New Roman" w:cs="Times New Roman" w:eastAsiaTheme="minorEastAsia"/>
          <w:color w:val="auto"/>
          <w:kern w:val="0"/>
          <w:szCs w:val="24"/>
          <w:highlight w:val="none"/>
        </w:rPr>
        <w:t>》，</w:t>
      </w:r>
      <w:r>
        <w:rPr>
          <w:rFonts w:hint="default" w:ascii="Times New Roman" w:hAnsi="Times New Roman" w:cs="Times New Roman" w:eastAsiaTheme="minorEastAsia"/>
          <w:color w:val="auto"/>
          <w:szCs w:val="24"/>
          <w:highlight w:val="none"/>
        </w:rPr>
        <w:t>2003年3月1日起施行，2021年4月29日修正；</w:t>
      </w:r>
    </w:p>
    <w:p w14:paraId="38A88FFE">
      <w:pPr>
        <w:pStyle w:val="691"/>
        <w:ind w:firstLine="480"/>
        <w:rPr>
          <w:rFonts w:hint="default" w:ascii="Times New Roman" w:hAnsi="Times New Roman" w:cs="Times New Roman" w:eastAsiaTheme="minorEastAsia"/>
          <w:color w:val="auto"/>
          <w:kern w:val="0"/>
          <w:szCs w:val="24"/>
          <w:highlight w:val="none"/>
        </w:rPr>
      </w:pPr>
      <w:r>
        <w:rPr>
          <w:rFonts w:hint="default" w:ascii="Times New Roman" w:hAnsi="Times New Roman" w:cs="Times New Roman" w:eastAsiaTheme="minorEastAsia"/>
          <w:color w:val="auto"/>
          <w:szCs w:val="24"/>
          <w:highlight w:val="none"/>
        </w:rPr>
        <w:t>（12）《中华人民共和国文物保护法》，2002年10月28日起施行，2</w:t>
      </w:r>
      <w:r>
        <w:rPr>
          <w:rFonts w:hint="default" w:ascii="Times New Roman" w:hAnsi="Times New Roman" w:cs="Times New Roman" w:eastAsiaTheme="minorEastAsia"/>
          <w:color w:val="auto"/>
          <w:kern w:val="0"/>
          <w:szCs w:val="24"/>
          <w:highlight w:val="none"/>
        </w:rPr>
        <w:t>017年11月4日修正</w:t>
      </w:r>
      <w:r>
        <w:rPr>
          <w:rFonts w:hint="default" w:ascii="Times New Roman" w:hAnsi="Times New Roman" w:cs="Times New Roman" w:eastAsiaTheme="minorEastAsia"/>
          <w:color w:val="auto"/>
          <w:szCs w:val="24"/>
          <w:highlight w:val="none"/>
        </w:rPr>
        <w:t>；</w:t>
      </w:r>
    </w:p>
    <w:p w14:paraId="35A8E102">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（13）</w:t>
      </w:r>
      <w:r>
        <w:rPr>
          <w:rFonts w:hint="default" w:ascii="Times New Roman" w:hAnsi="Times New Roman" w:cs="Times New Roman" w:eastAsiaTheme="minorEastAsia"/>
          <w:color w:val="auto"/>
          <w:kern w:val="0"/>
          <w:szCs w:val="24"/>
          <w:highlight w:val="none"/>
        </w:rPr>
        <w:t>《中华人民共和国野生动物保护法》，</w:t>
      </w:r>
      <w:r>
        <w:rPr>
          <w:rFonts w:hint="default" w:ascii="Times New Roman" w:hAnsi="Times New Roman" w:cs="Times New Roman" w:eastAsiaTheme="minorEastAsia"/>
          <w:color w:val="auto"/>
          <w:szCs w:val="24"/>
          <w:highlight w:val="none"/>
          <w:lang w:val="en-US" w:eastAsia="zh-CN"/>
        </w:rPr>
        <w:t>2022</w:t>
      </w:r>
      <w:r>
        <w:rPr>
          <w:rFonts w:hint="default" w:ascii="Times New Roman" w:hAnsi="Times New Roman" w:cs="Times New Roman" w:eastAsiaTheme="minorEastAsia"/>
          <w:color w:val="auto"/>
          <w:kern w:val="0"/>
          <w:szCs w:val="24"/>
          <w:highlight w:val="none"/>
        </w:rPr>
        <w:t>年</w:t>
      </w:r>
      <w:r>
        <w:rPr>
          <w:rFonts w:hint="default" w:ascii="Times New Roman" w:hAnsi="Times New Roman" w:cs="Times New Roman" w:eastAsiaTheme="minorEastAsia"/>
          <w:color w:val="auto"/>
          <w:kern w:val="0"/>
          <w:szCs w:val="24"/>
          <w:highlight w:val="none"/>
          <w:lang w:val="en-US" w:eastAsia="zh-CN"/>
        </w:rPr>
        <w:t>12</w:t>
      </w:r>
      <w:r>
        <w:rPr>
          <w:rFonts w:hint="default" w:ascii="Times New Roman" w:hAnsi="Times New Roman" w:cs="Times New Roman" w:eastAsiaTheme="minorEastAsia"/>
          <w:color w:val="auto"/>
          <w:kern w:val="0"/>
          <w:szCs w:val="24"/>
          <w:highlight w:val="none"/>
        </w:rPr>
        <w:t>月</w:t>
      </w:r>
      <w:r>
        <w:rPr>
          <w:rFonts w:hint="default" w:ascii="Times New Roman" w:hAnsi="Times New Roman" w:cs="Times New Roman" w:eastAsiaTheme="minorEastAsia"/>
          <w:color w:val="auto"/>
          <w:kern w:val="0"/>
          <w:szCs w:val="24"/>
          <w:highlight w:val="none"/>
          <w:lang w:val="en-US" w:eastAsia="zh-CN"/>
        </w:rPr>
        <w:t>30</w:t>
      </w:r>
      <w:r>
        <w:rPr>
          <w:rFonts w:hint="default" w:ascii="Times New Roman" w:hAnsi="Times New Roman" w:cs="Times New Roman" w:eastAsiaTheme="minorEastAsia"/>
          <w:color w:val="auto"/>
          <w:kern w:val="0"/>
          <w:szCs w:val="24"/>
          <w:highlight w:val="none"/>
        </w:rPr>
        <w:t>日修正；</w:t>
      </w:r>
    </w:p>
    <w:p w14:paraId="2ACCEC7C">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（14）《中华人民共和国水土保持法》，</w:t>
      </w:r>
      <w:r>
        <w:rPr>
          <w:rFonts w:hint="default" w:ascii="Times New Roman" w:hAnsi="Times New Roman" w:cs="Times New Roman" w:eastAsiaTheme="minorEastAsia"/>
          <w:color w:val="auto"/>
          <w:kern w:val="24"/>
          <w:szCs w:val="24"/>
          <w:highlight w:val="none"/>
        </w:rPr>
        <w:t>2011年3月1日起施行</w:t>
      </w:r>
      <w:r>
        <w:rPr>
          <w:rFonts w:hint="default" w:ascii="Times New Roman" w:hAnsi="Times New Roman" w:cs="Times New Roman" w:eastAsiaTheme="minorEastAsia"/>
          <w:color w:val="auto"/>
          <w:szCs w:val="24"/>
          <w:highlight w:val="none"/>
        </w:rPr>
        <w:t>；</w:t>
      </w:r>
    </w:p>
    <w:p w14:paraId="129913F6">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（15）《中华人民共和国城乡规划法》，2008年1月1日起施行，2019年4月23日修订；</w:t>
      </w:r>
    </w:p>
    <w:p w14:paraId="159F7FB7">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（16）《中华人民共和国土地管理法》，1999年1月1日起施行，2019年8月26日修订；</w:t>
      </w:r>
    </w:p>
    <w:p w14:paraId="22F33D90">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（17）《中华人民共和国循环经济促进法》，</w:t>
      </w:r>
      <w:r>
        <w:rPr>
          <w:rFonts w:hint="default" w:ascii="Times New Roman" w:hAnsi="Times New Roman" w:cs="Times New Roman" w:eastAsiaTheme="minorEastAsia"/>
          <w:color w:val="auto"/>
          <w:kern w:val="24"/>
          <w:szCs w:val="24"/>
          <w:highlight w:val="none"/>
        </w:rPr>
        <w:t>2009年1月1日起施行，2018年10月26日修正</w:t>
      </w:r>
      <w:r>
        <w:rPr>
          <w:rFonts w:hint="default" w:ascii="Times New Roman" w:hAnsi="Times New Roman" w:cs="Times New Roman" w:eastAsiaTheme="minorEastAsia"/>
          <w:color w:val="auto"/>
          <w:szCs w:val="24"/>
          <w:highlight w:val="none"/>
        </w:rPr>
        <w:t>；</w:t>
      </w:r>
    </w:p>
    <w:p w14:paraId="688D8BFC">
      <w:pPr>
        <w:pStyle w:val="691"/>
        <w:ind w:firstLine="480"/>
        <w:rPr>
          <w:rFonts w:hint="default" w:ascii="Times New Roman" w:hAnsi="Times New Roman" w:cs="Times New Roman" w:eastAsiaTheme="minorEastAsia"/>
          <w:color w:val="auto"/>
          <w:kern w:val="0"/>
          <w:szCs w:val="24"/>
          <w:highlight w:val="none"/>
        </w:rPr>
      </w:pPr>
      <w:r>
        <w:rPr>
          <w:rFonts w:hint="default" w:ascii="Times New Roman" w:hAnsi="Times New Roman" w:cs="Times New Roman" w:eastAsiaTheme="minorEastAsia"/>
          <w:color w:val="auto"/>
          <w:szCs w:val="24"/>
          <w:highlight w:val="none"/>
        </w:rPr>
        <w:t>（18）</w:t>
      </w:r>
      <w:r>
        <w:rPr>
          <w:rFonts w:hint="default" w:ascii="Times New Roman" w:hAnsi="Times New Roman" w:cs="Times New Roman" w:eastAsiaTheme="minorEastAsia"/>
          <w:color w:val="auto"/>
          <w:kern w:val="0"/>
          <w:szCs w:val="24"/>
          <w:highlight w:val="none"/>
        </w:rPr>
        <w:t>《中华人民共和国旅游法》，</w:t>
      </w:r>
      <w:r>
        <w:rPr>
          <w:rFonts w:hint="default" w:ascii="Times New Roman" w:hAnsi="Times New Roman" w:cs="Times New Roman" w:eastAsiaTheme="minorEastAsia"/>
          <w:color w:val="auto"/>
          <w:kern w:val="24"/>
          <w:szCs w:val="24"/>
          <w:highlight w:val="none"/>
        </w:rPr>
        <w:t>2013年10月1日起施行，</w:t>
      </w:r>
      <w:r>
        <w:rPr>
          <w:rFonts w:hint="default" w:ascii="Times New Roman" w:hAnsi="Times New Roman" w:cs="Times New Roman" w:eastAsiaTheme="minorEastAsia"/>
          <w:color w:val="auto"/>
          <w:kern w:val="0"/>
          <w:szCs w:val="24"/>
          <w:highlight w:val="none"/>
        </w:rPr>
        <w:t>2018年10月26日修正；</w:t>
      </w:r>
    </w:p>
    <w:p w14:paraId="1940381D">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（19）《建设项目环境保护管理条例》（国令第682号），2017年10月1日起施行；</w:t>
      </w:r>
    </w:p>
    <w:p w14:paraId="4FB563C9">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（20）《规划环境影响评价条例》，2009年10月1日起施行；</w:t>
      </w:r>
    </w:p>
    <w:p w14:paraId="7CC1F925">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（21）《地质灾害防治条例》，2004年3月1日实施；</w:t>
      </w:r>
    </w:p>
    <w:p w14:paraId="38800C8F">
      <w:pPr>
        <w:pStyle w:val="691"/>
        <w:ind w:firstLine="480"/>
        <w:rPr>
          <w:rFonts w:hint="default" w:ascii="Times New Roman" w:hAnsi="Times New Roman" w:cs="Times New Roman" w:eastAsiaTheme="minorEastAsia"/>
          <w:color w:val="auto"/>
          <w:kern w:val="0"/>
          <w:szCs w:val="24"/>
          <w:highlight w:val="none"/>
        </w:rPr>
      </w:pPr>
      <w:r>
        <w:rPr>
          <w:rFonts w:hint="default" w:ascii="Times New Roman" w:hAnsi="Times New Roman" w:cs="Times New Roman" w:eastAsiaTheme="minorEastAsia"/>
          <w:color w:val="auto"/>
          <w:szCs w:val="24"/>
          <w:highlight w:val="none"/>
        </w:rPr>
        <w:t>（22）《基本农田保护条例》，</w:t>
      </w:r>
      <w:r>
        <w:rPr>
          <w:rFonts w:hint="default" w:ascii="Times New Roman" w:hAnsi="Times New Roman" w:cs="Times New Roman" w:eastAsiaTheme="minorEastAsia"/>
          <w:color w:val="auto"/>
          <w:kern w:val="0"/>
          <w:szCs w:val="24"/>
          <w:highlight w:val="none"/>
        </w:rPr>
        <w:t>2011年1月8日修订</w:t>
      </w:r>
      <w:r>
        <w:rPr>
          <w:rFonts w:hint="default" w:ascii="Times New Roman" w:hAnsi="Times New Roman" w:cs="Times New Roman" w:eastAsiaTheme="minorEastAsia"/>
          <w:color w:val="auto"/>
          <w:szCs w:val="24"/>
          <w:highlight w:val="none"/>
        </w:rPr>
        <w:t>；</w:t>
      </w:r>
    </w:p>
    <w:p w14:paraId="236E9734">
      <w:pPr>
        <w:pStyle w:val="691"/>
        <w:ind w:firstLine="480"/>
        <w:rPr>
          <w:rFonts w:hint="default" w:ascii="Times New Roman" w:hAnsi="Times New Roman" w:cs="Times New Roman" w:eastAsiaTheme="minorEastAsia"/>
          <w:color w:val="auto"/>
          <w:kern w:val="0"/>
          <w:szCs w:val="24"/>
          <w:highlight w:val="none"/>
        </w:rPr>
      </w:pPr>
      <w:r>
        <w:rPr>
          <w:rFonts w:hint="default" w:ascii="Times New Roman" w:hAnsi="Times New Roman" w:cs="Times New Roman" w:eastAsiaTheme="minorEastAsia"/>
          <w:color w:val="auto"/>
          <w:szCs w:val="24"/>
          <w:highlight w:val="none"/>
        </w:rPr>
        <w:t>（23）</w:t>
      </w:r>
      <w:r>
        <w:rPr>
          <w:rFonts w:hint="default" w:ascii="Times New Roman" w:hAnsi="Times New Roman" w:cs="Times New Roman" w:eastAsiaTheme="minorEastAsia"/>
          <w:color w:val="auto"/>
          <w:kern w:val="0"/>
          <w:szCs w:val="24"/>
          <w:highlight w:val="none"/>
        </w:rPr>
        <w:t>《中华人民共和国陆生野生动物保护实施条例》，2016年2月6日修订；</w:t>
      </w:r>
    </w:p>
    <w:p w14:paraId="7DCFE3EF">
      <w:pPr>
        <w:pStyle w:val="691"/>
        <w:ind w:firstLine="480"/>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w:t>
      </w:r>
      <w:r>
        <w:rPr>
          <w:rFonts w:hint="default" w:ascii="Times New Roman" w:hAnsi="Times New Roman" w:cs="Times New Roman" w:eastAsiaTheme="minorEastAsia"/>
          <w:color w:val="auto"/>
          <w:kern w:val="0"/>
          <w:szCs w:val="24"/>
          <w:highlight w:val="none"/>
          <w:lang w:val="en-US" w:eastAsia="zh-CN"/>
        </w:rPr>
        <w:t>24</w:t>
      </w:r>
      <w:r>
        <w:rPr>
          <w:rFonts w:hint="default" w:ascii="Times New Roman" w:hAnsi="Times New Roman" w:cs="Times New Roman" w:eastAsiaTheme="minorEastAsia"/>
          <w:color w:val="auto"/>
          <w:kern w:val="0"/>
          <w:szCs w:val="24"/>
          <w:highlight w:val="none"/>
          <w:lang w:eastAsia="zh-CN"/>
        </w:rPr>
        <w:t>）《</w:t>
      </w:r>
      <w:r>
        <w:rPr>
          <w:rFonts w:hint="default" w:ascii="Times New Roman" w:hAnsi="Times New Roman" w:cs="Times New Roman" w:eastAsiaTheme="minorEastAsia"/>
          <w:color w:val="auto"/>
          <w:kern w:val="0"/>
          <w:szCs w:val="24"/>
          <w:highlight w:val="none"/>
        </w:rPr>
        <w:t>中华人民共和国野生动物保护</w:t>
      </w:r>
      <w:r>
        <w:rPr>
          <w:rFonts w:hint="default" w:ascii="Times New Roman" w:hAnsi="Times New Roman" w:cs="Times New Roman" w:eastAsiaTheme="minorEastAsia"/>
          <w:color w:val="auto"/>
          <w:kern w:val="0"/>
          <w:szCs w:val="24"/>
          <w:highlight w:val="none"/>
          <w:lang w:val="en-US" w:eastAsia="zh-CN"/>
        </w:rPr>
        <w:t>法</w:t>
      </w:r>
      <w:r>
        <w:rPr>
          <w:rFonts w:hint="default" w:ascii="Times New Roman" w:hAnsi="Times New Roman" w:cs="Times New Roman" w:eastAsiaTheme="minorEastAsia"/>
          <w:color w:val="auto"/>
          <w:kern w:val="0"/>
          <w:szCs w:val="24"/>
          <w:highlight w:val="none"/>
          <w:lang w:eastAsia="zh-CN"/>
        </w:rPr>
        <w:t>》，</w:t>
      </w:r>
      <w:r>
        <w:rPr>
          <w:rFonts w:hint="default" w:ascii="Times New Roman" w:hAnsi="Times New Roman" w:cs="Times New Roman" w:eastAsiaTheme="minorEastAsia"/>
          <w:color w:val="auto"/>
          <w:szCs w:val="24"/>
          <w:highlight w:val="none"/>
        </w:rPr>
        <w:t>20</w:t>
      </w:r>
      <w:r>
        <w:rPr>
          <w:rFonts w:hint="default" w:ascii="Times New Roman" w:hAnsi="Times New Roman" w:cs="Times New Roman" w:eastAsiaTheme="minorEastAsia"/>
          <w:color w:val="auto"/>
          <w:szCs w:val="24"/>
          <w:highlight w:val="none"/>
          <w:lang w:val="en-US" w:eastAsia="zh-CN"/>
        </w:rPr>
        <w:t>23</w:t>
      </w:r>
      <w:r>
        <w:rPr>
          <w:rFonts w:hint="default" w:ascii="Times New Roman" w:hAnsi="Times New Roman" w:cs="Times New Roman" w:eastAsiaTheme="minorEastAsia"/>
          <w:color w:val="auto"/>
          <w:szCs w:val="24"/>
          <w:highlight w:val="none"/>
        </w:rPr>
        <w:t>年</w:t>
      </w:r>
      <w:r>
        <w:rPr>
          <w:rFonts w:hint="default" w:ascii="Times New Roman" w:hAnsi="Times New Roman" w:cs="Times New Roman" w:eastAsiaTheme="minorEastAsia"/>
          <w:color w:val="auto"/>
          <w:szCs w:val="24"/>
          <w:highlight w:val="none"/>
          <w:lang w:val="en-US" w:eastAsia="zh-CN"/>
        </w:rPr>
        <w:t>5</w:t>
      </w:r>
      <w:r>
        <w:rPr>
          <w:rFonts w:hint="default" w:ascii="Times New Roman" w:hAnsi="Times New Roman" w:cs="Times New Roman" w:eastAsiaTheme="minorEastAsia"/>
          <w:color w:val="auto"/>
          <w:szCs w:val="24"/>
          <w:highlight w:val="none"/>
        </w:rPr>
        <w:t>月1日执行</w:t>
      </w:r>
      <w:r>
        <w:rPr>
          <w:rFonts w:hint="default" w:ascii="Times New Roman" w:hAnsi="Times New Roman" w:cs="Times New Roman" w:eastAsiaTheme="minorEastAsia"/>
          <w:color w:val="auto"/>
          <w:szCs w:val="24"/>
          <w:highlight w:val="none"/>
          <w:lang w:eastAsia="zh-CN"/>
        </w:rPr>
        <w:t>；</w:t>
      </w:r>
    </w:p>
    <w:p w14:paraId="64AB63C8">
      <w:pPr>
        <w:pStyle w:val="691"/>
        <w:ind w:firstLine="480"/>
        <w:rPr>
          <w:rFonts w:hint="default" w:ascii="Times New Roman" w:hAnsi="Times New Roman" w:cs="Times New Roman" w:eastAsiaTheme="minorEastAsia"/>
          <w:color w:val="auto"/>
          <w:kern w:val="0"/>
          <w:szCs w:val="24"/>
          <w:highlight w:val="none"/>
        </w:rPr>
      </w:pPr>
      <w:r>
        <w:rPr>
          <w:rFonts w:hint="default" w:ascii="Times New Roman" w:hAnsi="Times New Roman" w:cs="Times New Roman" w:eastAsiaTheme="minorEastAsia"/>
          <w:color w:val="auto"/>
          <w:szCs w:val="24"/>
          <w:highlight w:val="none"/>
        </w:rPr>
        <w:t>（2</w:t>
      </w:r>
      <w:r>
        <w:rPr>
          <w:rFonts w:hint="default" w:ascii="Times New Roman" w:hAnsi="Times New Roman" w:cs="Times New Roman" w:eastAsiaTheme="minorEastAsia"/>
          <w:color w:val="auto"/>
          <w:szCs w:val="24"/>
          <w:highlight w:val="none"/>
          <w:lang w:val="en-US" w:eastAsia="zh-CN"/>
        </w:rPr>
        <w:t>5</w:t>
      </w:r>
      <w:r>
        <w:rPr>
          <w:rFonts w:hint="default" w:ascii="Times New Roman" w:hAnsi="Times New Roman" w:cs="Times New Roman" w:eastAsiaTheme="minorEastAsia"/>
          <w:color w:val="auto"/>
          <w:szCs w:val="24"/>
          <w:highlight w:val="none"/>
        </w:rPr>
        <w:t>）</w:t>
      </w:r>
      <w:r>
        <w:rPr>
          <w:rFonts w:hint="default" w:ascii="Times New Roman" w:hAnsi="Times New Roman" w:cs="Times New Roman" w:eastAsiaTheme="minorEastAsia"/>
          <w:color w:val="auto"/>
          <w:kern w:val="0"/>
          <w:szCs w:val="24"/>
          <w:highlight w:val="none"/>
        </w:rPr>
        <w:t>《中华人民共和国野生植物保护条例》，2017年10月7日修订；</w:t>
      </w:r>
    </w:p>
    <w:p w14:paraId="44B59C7B">
      <w:pPr>
        <w:pStyle w:val="691"/>
        <w:ind w:firstLine="480"/>
        <w:rPr>
          <w:rFonts w:hint="default" w:ascii="Times New Roman" w:hAnsi="Times New Roman" w:cs="Times New Roman" w:eastAsiaTheme="minorEastAsia"/>
          <w:color w:val="auto"/>
          <w:kern w:val="0"/>
          <w:szCs w:val="24"/>
          <w:highlight w:val="none"/>
        </w:rPr>
      </w:pPr>
      <w:r>
        <w:rPr>
          <w:rFonts w:hint="default" w:ascii="Times New Roman" w:hAnsi="Times New Roman" w:cs="Times New Roman" w:eastAsiaTheme="minorEastAsia"/>
          <w:color w:val="auto"/>
          <w:szCs w:val="24"/>
          <w:highlight w:val="none"/>
        </w:rPr>
        <w:t>（2</w:t>
      </w:r>
      <w:r>
        <w:rPr>
          <w:rFonts w:hint="default" w:ascii="Times New Roman" w:hAnsi="Times New Roman" w:cs="Times New Roman" w:eastAsiaTheme="minorEastAsia"/>
          <w:color w:val="auto"/>
          <w:szCs w:val="24"/>
          <w:highlight w:val="none"/>
          <w:lang w:val="en-US" w:eastAsia="zh-CN"/>
        </w:rPr>
        <w:t>6</w:t>
      </w:r>
      <w:r>
        <w:rPr>
          <w:rFonts w:hint="default" w:ascii="Times New Roman" w:hAnsi="Times New Roman" w:cs="Times New Roman" w:eastAsiaTheme="minorEastAsia"/>
          <w:color w:val="auto"/>
          <w:szCs w:val="24"/>
          <w:highlight w:val="none"/>
        </w:rPr>
        <w:t>）《中华人民共和国文物保护法实施条例》，2016</w:t>
      </w:r>
      <w:r>
        <w:rPr>
          <w:rFonts w:hint="default" w:ascii="Times New Roman" w:hAnsi="Times New Roman" w:cs="Times New Roman" w:eastAsiaTheme="minorEastAsia"/>
          <w:color w:val="auto"/>
          <w:kern w:val="0"/>
          <w:szCs w:val="24"/>
          <w:highlight w:val="none"/>
        </w:rPr>
        <w:t>年</w:t>
      </w:r>
      <w:r>
        <w:rPr>
          <w:rFonts w:hint="default" w:ascii="Times New Roman" w:hAnsi="Times New Roman" w:cs="Times New Roman" w:eastAsiaTheme="minorEastAsia"/>
          <w:color w:val="auto"/>
          <w:szCs w:val="24"/>
          <w:highlight w:val="none"/>
        </w:rPr>
        <w:t>1</w:t>
      </w:r>
      <w:r>
        <w:rPr>
          <w:rFonts w:hint="default" w:ascii="Times New Roman" w:hAnsi="Times New Roman" w:cs="Times New Roman" w:eastAsiaTheme="minorEastAsia"/>
          <w:color w:val="auto"/>
          <w:kern w:val="0"/>
          <w:szCs w:val="24"/>
          <w:highlight w:val="none"/>
        </w:rPr>
        <w:t>月</w:t>
      </w:r>
      <w:r>
        <w:rPr>
          <w:rFonts w:hint="default" w:ascii="Times New Roman" w:hAnsi="Times New Roman" w:cs="Times New Roman" w:eastAsiaTheme="minorEastAsia"/>
          <w:color w:val="auto"/>
          <w:szCs w:val="24"/>
          <w:highlight w:val="none"/>
        </w:rPr>
        <w:t>13</w:t>
      </w:r>
      <w:r>
        <w:rPr>
          <w:rFonts w:hint="default" w:ascii="Times New Roman" w:hAnsi="Times New Roman" w:cs="Times New Roman" w:eastAsiaTheme="minorEastAsia"/>
          <w:color w:val="auto"/>
          <w:kern w:val="0"/>
          <w:szCs w:val="24"/>
          <w:highlight w:val="none"/>
        </w:rPr>
        <w:t>日</w:t>
      </w:r>
      <w:r>
        <w:rPr>
          <w:rFonts w:hint="default" w:ascii="Times New Roman" w:hAnsi="Times New Roman" w:cs="Times New Roman" w:eastAsiaTheme="minorEastAsia"/>
          <w:color w:val="auto"/>
          <w:szCs w:val="24"/>
          <w:highlight w:val="none"/>
        </w:rPr>
        <w:t>修订；</w:t>
      </w:r>
    </w:p>
    <w:p w14:paraId="0640F6A0">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w:t>
      </w:r>
      <w:r>
        <w:rPr>
          <w:rFonts w:hint="default" w:ascii="Times New Roman" w:hAnsi="Times New Roman" w:cs="Times New Roman" w:eastAsiaTheme="minorEastAsia"/>
          <w:color w:val="auto"/>
          <w:szCs w:val="24"/>
          <w:highlight w:val="none"/>
          <w:lang w:val="en-US" w:eastAsia="zh-CN"/>
        </w:rPr>
        <w:t>7</w:t>
      </w:r>
      <w:r>
        <w:rPr>
          <w:rFonts w:hint="default" w:ascii="Times New Roman" w:hAnsi="Times New Roman" w:cs="Times New Roman" w:eastAsiaTheme="minorEastAsia"/>
          <w:color w:val="auto"/>
          <w:szCs w:val="24"/>
          <w:highlight w:val="none"/>
        </w:rPr>
        <w:t>）《中华人民共和国湿地保护法》，2021年12月24日</w:t>
      </w:r>
      <w:r>
        <w:rPr>
          <w:rFonts w:hint="default" w:ascii="Times New Roman" w:hAnsi="Times New Roman" w:cs="Times New Roman" w:eastAsiaTheme="minorEastAsia"/>
          <w:color w:val="auto"/>
          <w:szCs w:val="24"/>
          <w:highlight w:val="none"/>
          <w:lang w:val="en-US" w:eastAsia="zh-CN"/>
        </w:rPr>
        <w:t>修订</w:t>
      </w:r>
      <w:r>
        <w:rPr>
          <w:rFonts w:hint="default" w:ascii="Times New Roman" w:hAnsi="Times New Roman" w:cs="Times New Roman" w:eastAsiaTheme="minorEastAsia"/>
          <w:color w:val="auto"/>
          <w:szCs w:val="24"/>
          <w:highlight w:val="none"/>
        </w:rPr>
        <w:t>；</w:t>
      </w:r>
    </w:p>
    <w:p w14:paraId="054206BC">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w:t>
      </w:r>
      <w:r>
        <w:rPr>
          <w:rFonts w:hint="default" w:ascii="Times New Roman" w:hAnsi="Times New Roman" w:cs="Times New Roman" w:eastAsiaTheme="minorEastAsia"/>
          <w:color w:val="auto"/>
          <w:szCs w:val="24"/>
          <w:highlight w:val="none"/>
          <w:lang w:val="en-US" w:eastAsia="zh-CN"/>
        </w:rPr>
        <w:t>8</w:t>
      </w:r>
      <w:r>
        <w:rPr>
          <w:rFonts w:hint="default" w:ascii="Times New Roman" w:hAnsi="Times New Roman" w:cs="Times New Roman" w:eastAsiaTheme="minorEastAsia"/>
          <w:color w:val="auto"/>
          <w:szCs w:val="24"/>
          <w:highlight w:val="none"/>
        </w:rPr>
        <w:t>）《中华人民共和国河道管理条例》，2017年3月1日修订；</w:t>
      </w:r>
    </w:p>
    <w:p w14:paraId="15E67025">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w:t>
      </w:r>
      <w:r>
        <w:rPr>
          <w:rFonts w:hint="default" w:ascii="Times New Roman" w:hAnsi="Times New Roman" w:cs="Times New Roman" w:eastAsiaTheme="minorEastAsia"/>
          <w:color w:val="auto"/>
          <w:szCs w:val="24"/>
          <w:highlight w:val="none"/>
          <w:lang w:val="en-US" w:eastAsia="zh-CN"/>
        </w:rPr>
        <w:t>9</w:t>
      </w:r>
      <w:r>
        <w:rPr>
          <w:rFonts w:hint="default" w:ascii="Times New Roman" w:hAnsi="Times New Roman" w:cs="Times New Roman" w:eastAsiaTheme="minorEastAsia"/>
          <w:color w:val="auto"/>
          <w:szCs w:val="24"/>
          <w:highlight w:val="none"/>
        </w:rPr>
        <w:t>）《城市古树名木保护管理办法》，2000年9月1日执行；</w:t>
      </w:r>
    </w:p>
    <w:p w14:paraId="7B15686D">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w:t>
      </w:r>
      <w:r>
        <w:rPr>
          <w:rFonts w:hint="default" w:ascii="Times New Roman" w:hAnsi="Times New Roman" w:cs="Times New Roman" w:eastAsiaTheme="minorEastAsia"/>
          <w:color w:val="auto"/>
          <w:szCs w:val="24"/>
          <w:highlight w:val="none"/>
          <w:lang w:val="en-US" w:eastAsia="zh-CN"/>
        </w:rPr>
        <w:t>30</w:t>
      </w:r>
      <w:r>
        <w:rPr>
          <w:rFonts w:hint="default" w:ascii="Times New Roman" w:hAnsi="Times New Roman" w:cs="Times New Roman" w:eastAsiaTheme="minorEastAsia"/>
          <w:color w:val="auto"/>
          <w:szCs w:val="24"/>
          <w:highlight w:val="none"/>
        </w:rPr>
        <w:t>）《中华人民共和国青藏高原生态保护法》，2023年9月1日执行。</w:t>
      </w:r>
    </w:p>
    <w:p w14:paraId="7F540E70">
      <w:pPr>
        <w:pStyle w:val="4"/>
        <w:spacing w:before="156" w:after="156"/>
        <w:rPr>
          <w:rFonts w:hint="default" w:ascii="Times New Roman" w:hAnsi="Times New Roman" w:cs="Times New Roman"/>
          <w:color w:val="auto"/>
          <w:highlight w:val="none"/>
        </w:rPr>
      </w:pPr>
      <w:bookmarkStart w:id="19" w:name="_Toc9092636"/>
      <w:r>
        <w:rPr>
          <w:rFonts w:hint="default" w:ascii="Times New Roman" w:hAnsi="Times New Roman" w:cs="Times New Roman"/>
          <w:color w:val="auto"/>
          <w:highlight w:val="none"/>
        </w:rPr>
        <w:t>部门规章</w:t>
      </w:r>
      <w:bookmarkEnd w:id="19"/>
    </w:p>
    <w:p w14:paraId="56BACDCE">
      <w:pPr>
        <w:pStyle w:val="691"/>
        <w:ind w:firstLine="480"/>
        <w:rPr>
          <w:rFonts w:hint="default" w:ascii="Times New Roman" w:hAnsi="Times New Roman" w:cs="Times New Roman" w:eastAsiaTheme="minorEastAsia"/>
          <w:color w:val="auto"/>
          <w:szCs w:val="24"/>
          <w:highlight w:val="none"/>
        </w:rPr>
      </w:pPr>
      <w:bookmarkStart w:id="20" w:name="_Hlk63347421"/>
      <w:r>
        <w:rPr>
          <w:rFonts w:hint="default" w:ascii="Times New Roman" w:hAnsi="Times New Roman" w:cs="Times New Roman" w:eastAsiaTheme="minorEastAsia"/>
          <w:color w:val="auto"/>
          <w:szCs w:val="24"/>
          <w:highlight w:val="none"/>
        </w:rPr>
        <w:t>（1）《国务院关于落实科学发展观加强环境保护的决定》（国发[2005]39号）；</w:t>
      </w:r>
    </w:p>
    <w:p w14:paraId="5776400F">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（2）《国务院关于加强环境保护重点工作的意见》（国发[2011]35号）；</w:t>
      </w:r>
    </w:p>
    <w:p w14:paraId="6E8472B0">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（3）《国务院关于促进旅游业改革发展的若干意见》（国发[2014]31号）；</w:t>
      </w:r>
    </w:p>
    <w:p w14:paraId="6A30B1B6">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（4）国务院关于印发《大气污染防治行动计划》的通知（国发[2013]37号）；</w:t>
      </w:r>
    </w:p>
    <w:p w14:paraId="691E82FC">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（5）国务院关于印发《水污染防治行动计划》的通知（国发[2015]17号）；</w:t>
      </w:r>
    </w:p>
    <w:p w14:paraId="5293DEA7">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（6）国务院关于印发《土壤污染防治行动计划》的通知（国发[2016]31号）；</w:t>
      </w:r>
    </w:p>
    <w:p w14:paraId="3C77E000">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（8）《西部地区鼓励类产业目录（2020年本）》（国家发展和改革委员会令第40号）；</w:t>
      </w:r>
    </w:p>
    <w:p w14:paraId="5DD92C33">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（9）《产业结构调整指导目录（20</w:t>
      </w:r>
      <w:r>
        <w:rPr>
          <w:rFonts w:hint="default" w:ascii="Times New Roman" w:hAnsi="Times New Roman" w:cs="Times New Roman" w:eastAsiaTheme="minorEastAsia"/>
          <w:color w:val="auto"/>
          <w:szCs w:val="24"/>
          <w:highlight w:val="none"/>
          <w:lang w:val="en-US" w:eastAsia="zh-CN"/>
        </w:rPr>
        <w:t>24</w:t>
      </w:r>
      <w:r>
        <w:rPr>
          <w:rFonts w:hint="default" w:ascii="Times New Roman" w:hAnsi="Times New Roman" w:cs="Times New Roman" w:eastAsiaTheme="minorEastAsia"/>
          <w:color w:val="auto"/>
          <w:szCs w:val="24"/>
          <w:highlight w:val="none"/>
        </w:rPr>
        <w:t>年本）》，20</w:t>
      </w:r>
      <w:r>
        <w:rPr>
          <w:rFonts w:hint="default" w:ascii="Times New Roman" w:hAnsi="Times New Roman" w:cs="Times New Roman" w:eastAsiaTheme="minorEastAsia"/>
          <w:color w:val="auto"/>
          <w:szCs w:val="24"/>
          <w:highlight w:val="none"/>
          <w:lang w:val="en-US" w:eastAsia="zh-CN"/>
        </w:rPr>
        <w:t>24</w:t>
      </w:r>
      <w:r>
        <w:rPr>
          <w:rFonts w:hint="default" w:ascii="Times New Roman" w:hAnsi="Times New Roman" w:cs="Times New Roman" w:eastAsiaTheme="minorEastAsia"/>
          <w:color w:val="auto"/>
          <w:szCs w:val="24"/>
          <w:highlight w:val="none"/>
        </w:rPr>
        <w:t>年</w:t>
      </w:r>
      <w:r>
        <w:rPr>
          <w:rFonts w:hint="default" w:ascii="Times New Roman" w:hAnsi="Times New Roman" w:cs="Times New Roman" w:eastAsiaTheme="minorEastAsia"/>
          <w:color w:val="auto"/>
          <w:szCs w:val="24"/>
          <w:highlight w:val="none"/>
          <w:lang w:val="en-US" w:eastAsia="zh-CN"/>
        </w:rPr>
        <w:t>2</w:t>
      </w:r>
      <w:r>
        <w:rPr>
          <w:rFonts w:hint="default" w:ascii="Times New Roman" w:hAnsi="Times New Roman" w:cs="Times New Roman" w:eastAsiaTheme="minorEastAsia"/>
          <w:color w:val="auto"/>
          <w:szCs w:val="24"/>
          <w:highlight w:val="none"/>
        </w:rPr>
        <w:t>月</w:t>
      </w:r>
      <w:r>
        <w:rPr>
          <w:rFonts w:hint="default" w:ascii="Times New Roman" w:hAnsi="Times New Roman" w:cs="Times New Roman" w:eastAsiaTheme="minorEastAsia"/>
          <w:color w:val="auto"/>
          <w:szCs w:val="24"/>
          <w:highlight w:val="none"/>
          <w:lang w:val="en-US" w:eastAsia="zh-CN"/>
        </w:rPr>
        <w:t>1</w:t>
      </w:r>
      <w:r>
        <w:rPr>
          <w:rFonts w:hint="default" w:ascii="Times New Roman" w:hAnsi="Times New Roman" w:cs="Times New Roman" w:eastAsiaTheme="minorEastAsia"/>
          <w:color w:val="auto"/>
          <w:szCs w:val="24"/>
          <w:highlight w:val="none"/>
        </w:rPr>
        <w:t>日；</w:t>
      </w:r>
    </w:p>
    <w:p w14:paraId="6F819650">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（10）《限制用地项目目录（2012年本）》和《禁止用地项目目录（2012年本）》（国土资源部、国家发展和改革委员会），2012年5月23日；</w:t>
      </w:r>
    </w:p>
    <w:p w14:paraId="59706995">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（11）《产业转移指导目录（2018年本）》（中华人民共和国工业和信息化部公告2018年第66号）；</w:t>
      </w:r>
    </w:p>
    <w:p w14:paraId="488F4FF8">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（12）《环境空气细颗粒物污染综合防治技术政策》（环境保护部公告2013年第59号），2013年9月13日；</w:t>
      </w:r>
    </w:p>
    <w:p w14:paraId="3CFBCAF0">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（13）《环境影响评价公众参与办法》（生态环境部令第4号），2018年7月16日；</w:t>
      </w:r>
    </w:p>
    <w:p w14:paraId="22A53DF8">
      <w:pPr>
        <w:pStyle w:val="691"/>
        <w:ind w:firstLine="480"/>
        <w:rPr>
          <w:rFonts w:hint="default" w:ascii="Times New Roman" w:hAnsi="Times New Roman" w:cs="Times New Roman" w:eastAsiaTheme="minorEastAsia"/>
          <w:color w:val="auto"/>
          <w:szCs w:val="24"/>
          <w:highlight w:val="none"/>
        </w:rPr>
      </w:pPr>
      <w:bookmarkStart w:id="21" w:name="_Hlk63347057"/>
      <w:r>
        <w:rPr>
          <w:rFonts w:hint="default" w:ascii="Times New Roman" w:hAnsi="Times New Roman" w:cs="Times New Roman" w:eastAsiaTheme="minorEastAsia"/>
          <w:color w:val="auto"/>
          <w:szCs w:val="24"/>
          <w:highlight w:val="none"/>
        </w:rPr>
        <w:t>（14</w:t>
      </w:r>
      <w:bookmarkEnd w:id="21"/>
      <w:r>
        <w:rPr>
          <w:rFonts w:hint="default" w:ascii="Times New Roman" w:hAnsi="Times New Roman" w:cs="Times New Roman" w:eastAsiaTheme="minorEastAsia"/>
          <w:color w:val="auto"/>
          <w:szCs w:val="24"/>
          <w:highlight w:val="none"/>
        </w:rPr>
        <w:t>）《关于进一步加强规划环境影响评价工作的通知》（环发[2011]99号）；</w:t>
      </w:r>
    </w:p>
    <w:p w14:paraId="38471256">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（15）《关于加强西部地区环境影响评价工作的通知》（环发[2011]150号）；</w:t>
      </w:r>
    </w:p>
    <w:p w14:paraId="19972C69">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（16）《关于加强规划环境影响评价与建设项目环境影响评价联动工作的意见》（环发[2015]178号）；</w:t>
      </w:r>
    </w:p>
    <w:p w14:paraId="578F7057">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（17）《关于落实大气污染防治行动计划严格环境影响评价准入的通知》（环办[2014]30号）；</w:t>
      </w:r>
    </w:p>
    <w:p w14:paraId="34D59C49">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（18）《关于规划环境影响评价加强空间管制、总量管控和环境准入的指导意见（试行）》（环办环评[2016]14号）；</w:t>
      </w:r>
    </w:p>
    <w:p w14:paraId="01D97ED4">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（19）《关于加强和规范声环境功能区划分管理工作的通知》（环办大气函[2017]1709号）；</w:t>
      </w:r>
    </w:p>
    <w:p w14:paraId="0FE34A7C">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（20）关于印发《“十四五”环境影响评价与排污许可工作实施方案》的通知（环环评[2022]26号）；</w:t>
      </w:r>
    </w:p>
    <w:p w14:paraId="1DAD24C2">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（21）《</w:t>
      </w:r>
      <w:bookmarkStart w:id="22" w:name="OLE_LINK31"/>
      <w:bookmarkStart w:id="23" w:name="OLE_LINK30"/>
      <w:r>
        <w:rPr>
          <w:rFonts w:hint="default" w:ascii="Times New Roman" w:hAnsi="Times New Roman" w:cs="Times New Roman" w:eastAsiaTheme="minorEastAsia"/>
          <w:color w:val="auto"/>
          <w:szCs w:val="24"/>
          <w:highlight w:val="none"/>
        </w:rPr>
        <w:t>关于以改善环境质量为核心加强环境影响评价管理的通知</w:t>
      </w:r>
      <w:bookmarkEnd w:id="22"/>
      <w:bookmarkEnd w:id="23"/>
      <w:r>
        <w:rPr>
          <w:rFonts w:hint="default" w:ascii="Times New Roman" w:hAnsi="Times New Roman" w:cs="Times New Roman" w:eastAsiaTheme="minorEastAsia"/>
          <w:color w:val="auto"/>
          <w:szCs w:val="24"/>
          <w:highlight w:val="none"/>
        </w:rPr>
        <w:t>》（环环评[2016]150号）；</w:t>
      </w:r>
    </w:p>
    <w:p w14:paraId="1667E951">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（22）《关于进一步加强旅游生态环境保护工作的通知》（旅计财发[2005]5号）；</w:t>
      </w:r>
    </w:p>
    <w:p w14:paraId="5629E033">
      <w:pPr>
        <w:pStyle w:val="691"/>
        <w:ind w:firstLine="439" w:firstLineChars="183"/>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（23）《关于加强生态保护红线管理的通知（试行）》（</w:t>
      </w:r>
      <w:r>
        <w:rPr>
          <w:rFonts w:hint="default" w:ascii="Times New Roman" w:hAnsi="Times New Roman" w:cs="Times New Roman" w:eastAsiaTheme="minorEastAsia"/>
          <w:color w:val="auto"/>
          <w:highlight w:val="none"/>
        </w:rPr>
        <w:t>自然资发〔2022〕142号</w:t>
      </w:r>
      <w:r>
        <w:rPr>
          <w:rFonts w:hint="default" w:ascii="Times New Roman" w:hAnsi="Times New Roman" w:cs="Times New Roman" w:eastAsiaTheme="minorEastAsia"/>
          <w:color w:val="auto"/>
          <w:szCs w:val="24"/>
          <w:highlight w:val="none"/>
        </w:rPr>
        <w:t>）；</w:t>
      </w:r>
    </w:p>
    <w:p w14:paraId="08386883">
      <w:pPr>
        <w:pStyle w:val="691"/>
        <w:ind w:firstLine="439" w:firstLineChars="183"/>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（24）《国家林业和草原局关于加强生态保护红线管理的通知（试行）》（2022年8月16日）；</w:t>
      </w:r>
    </w:p>
    <w:p w14:paraId="770E2275">
      <w:pPr>
        <w:pStyle w:val="691"/>
        <w:ind w:firstLine="439" w:firstLineChars="183"/>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（25）《水产种质资源保护区管理办法》（2016年5月30日施行）；</w:t>
      </w:r>
    </w:p>
    <w:p w14:paraId="22D5A2D0">
      <w:pPr>
        <w:pStyle w:val="691"/>
        <w:ind w:firstLine="439" w:firstLineChars="183"/>
        <w:rPr>
          <w:rFonts w:hint="default" w:ascii="Times New Roman" w:hAnsi="Times New Roman" w:cs="Times New Roman" w:eastAsiaTheme="minorEastAsia"/>
          <w:color w:val="auto"/>
          <w:szCs w:val="24"/>
          <w:highlight w:val="none"/>
          <w:lang w:eastAsia="zh-CN"/>
        </w:rPr>
      </w:pPr>
      <w:r>
        <w:rPr>
          <w:rFonts w:hint="default" w:ascii="Times New Roman" w:hAnsi="Times New Roman" w:cs="Times New Roman" w:eastAsiaTheme="minorEastAsia"/>
          <w:color w:val="auto"/>
          <w:szCs w:val="24"/>
          <w:highlight w:val="none"/>
        </w:rPr>
        <w:t>（26）中共中央办公厅国务院办公厅印发《关于加强文物保护利用改革的若干意见》，2018.10</w:t>
      </w:r>
      <w:r>
        <w:rPr>
          <w:rFonts w:hint="default" w:ascii="Times New Roman" w:hAnsi="Times New Roman" w:cs="Times New Roman" w:eastAsiaTheme="minorEastAsia"/>
          <w:color w:val="auto"/>
          <w:szCs w:val="24"/>
          <w:highlight w:val="none"/>
          <w:lang w:eastAsia="zh-CN"/>
        </w:rPr>
        <w:t>；</w:t>
      </w:r>
    </w:p>
    <w:p w14:paraId="06C20BAF">
      <w:pPr>
        <w:pStyle w:val="691"/>
        <w:ind w:firstLine="439" w:firstLineChars="183"/>
        <w:rPr>
          <w:rFonts w:hint="default" w:ascii="Times New Roman" w:hAnsi="Times New Roman" w:cs="Times New Roman" w:eastAsiaTheme="minorEastAsia"/>
          <w:color w:val="auto"/>
          <w:szCs w:val="24"/>
          <w:highlight w:val="none"/>
          <w:lang w:eastAsia="zh-CN"/>
        </w:rPr>
      </w:pPr>
      <w:r>
        <w:rPr>
          <w:rFonts w:hint="default" w:ascii="Times New Roman" w:hAnsi="Times New Roman" w:cs="Times New Roman" w:eastAsiaTheme="minorEastAsia"/>
          <w:color w:val="auto"/>
          <w:szCs w:val="24"/>
          <w:highlight w:val="none"/>
          <w:lang w:eastAsia="zh-CN"/>
        </w:rPr>
        <w:t>（27）《中华人民共和国自然保护区条例》（2026年）；</w:t>
      </w:r>
    </w:p>
    <w:p w14:paraId="6A38492D">
      <w:pPr>
        <w:pStyle w:val="691"/>
        <w:ind w:firstLine="439" w:firstLineChars="183"/>
        <w:rPr>
          <w:rFonts w:hint="default" w:ascii="Times New Roman" w:hAnsi="Times New Roman" w:cs="Times New Roman" w:eastAsiaTheme="minorEastAsia"/>
          <w:color w:val="auto"/>
          <w:szCs w:val="24"/>
          <w:highlight w:val="none"/>
          <w:lang w:eastAsia="zh-CN"/>
        </w:rPr>
      </w:pPr>
      <w:r>
        <w:rPr>
          <w:rFonts w:hint="default" w:ascii="Times New Roman" w:hAnsi="Times New Roman" w:cs="Times New Roman" w:eastAsiaTheme="minorEastAsia"/>
          <w:color w:val="auto"/>
          <w:szCs w:val="24"/>
          <w:highlight w:val="none"/>
          <w:lang w:eastAsia="zh-CN"/>
        </w:rPr>
        <w:t>（28）《自然资源部 生态环境部 国家林业和草原局关于加强生态保护红线管理的通知》（自然资发〔2022〕142号）；</w:t>
      </w:r>
    </w:p>
    <w:p w14:paraId="20B356EF">
      <w:pPr>
        <w:pStyle w:val="691"/>
        <w:ind w:firstLine="439" w:firstLineChars="183"/>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lang w:eastAsia="zh-CN"/>
        </w:rPr>
        <w:t>（</w:t>
      </w:r>
      <w:r>
        <w:rPr>
          <w:rFonts w:hint="default" w:ascii="Times New Roman" w:hAnsi="Times New Roman" w:cs="Times New Roman" w:eastAsiaTheme="minorEastAsia"/>
          <w:color w:val="auto"/>
          <w:szCs w:val="24"/>
          <w:highlight w:val="none"/>
          <w:lang w:val="en-US" w:eastAsia="zh-CN"/>
        </w:rPr>
        <w:t>29</w:t>
      </w:r>
      <w:r>
        <w:rPr>
          <w:rFonts w:hint="default" w:ascii="Times New Roman" w:hAnsi="Times New Roman" w:cs="Times New Roman" w:eastAsiaTheme="minorEastAsia"/>
          <w:color w:val="auto"/>
          <w:szCs w:val="24"/>
          <w:highlight w:val="none"/>
          <w:lang w:eastAsia="zh-CN"/>
        </w:rPr>
        <w:t>）《生态保护红线生态环境监督办法（试行）》（国环规生态〔2022〕2号）</w:t>
      </w:r>
      <w:r>
        <w:rPr>
          <w:rFonts w:hint="default" w:ascii="Times New Roman" w:hAnsi="Times New Roman" w:cs="Times New Roman" w:eastAsiaTheme="minorEastAsia"/>
          <w:color w:val="auto"/>
          <w:szCs w:val="24"/>
          <w:highlight w:val="none"/>
        </w:rPr>
        <w:t>。</w:t>
      </w:r>
    </w:p>
    <w:bookmarkEnd w:id="20"/>
    <w:p w14:paraId="1B1AE18C">
      <w:pPr>
        <w:pStyle w:val="4"/>
        <w:spacing w:before="156" w:after="156"/>
        <w:rPr>
          <w:rFonts w:hint="default" w:ascii="Times New Roman" w:hAnsi="Times New Roman" w:cs="Times New Roman"/>
          <w:color w:val="auto"/>
          <w:highlight w:val="none"/>
        </w:rPr>
      </w:pPr>
      <w:bookmarkStart w:id="24" w:name="_Toc9092637"/>
      <w:r>
        <w:rPr>
          <w:rFonts w:hint="default" w:ascii="Times New Roman" w:hAnsi="Times New Roman" w:cs="Times New Roman"/>
          <w:color w:val="auto"/>
          <w:highlight w:val="none"/>
        </w:rPr>
        <w:t>地方法规、规章</w:t>
      </w:r>
      <w:bookmarkEnd w:id="24"/>
    </w:p>
    <w:p w14:paraId="714B7FB7">
      <w:pPr>
        <w:pStyle w:val="691"/>
        <w:ind w:firstLine="480"/>
        <w:rPr>
          <w:rFonts w:hint="default" w:ascii="Times New Roman" w:hAnsi="Times New Roman" w:cs="Times New Roman" w:eastAsiaTheme="minorEastAsia"/>
          <w:color w:val="auto"/>
          <w:szCs w:val="24"/>
          <w:highlight w:val="none"/>
        </w:rPr>
      </w:pPr>
      <w:bookmarkStart w:id="25" w:name="_Hlk63347085"/>
      <w:r>
        <w:rPr>
          <w:rFonts w:hint="default" w:ascii="Times New Roman" w:hAnsi="Times New Roman" w:cs="Times New Roman" w:eastAsiaTheme="minorEastAsia"/>
          <w:color w:val="auto"/>
          <w:szCs w:val="24"/>
          <w:highlight w:val="none"/>
        </w:rPr>
        <w:t>（1）</w:t>
      </w:r>
      <w:r>
        <w:rPr>
          <w:rFonts w:hint="default" w:ascii="Times New Roman" w:hAnsi="Times New Roman" w:cs="Times New Roman"/>
          <w:color w:val="auto"/>
          <w:highlight w:val="none"/>
        </w:rPr>
        <w:t>《西藏自治区大气污染防治条例》</w:t>
      </w:r>
      <w:r>
        <w:rPr>
          <w:rFonts w:hint="default" w:ascii="Times New Roman" w:hAnsi="Times New Roman" w:cs="Times New Roman" w:eastAsiaTheme="minorEastAsia"/>
          <w:color w:val="auto"/>
          <w:szCs w:val="24"/>
          <w:highlight w:val="none"/>
        </w:rPr>
        <w:t>2018年12月24日起实施；</w:t>
      </w:r>
    </w:p>
    <w:p w14:paraId="786F70BC">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（2）《西藏自治区旅游管理条例》，2002年10月1日起实施；</w:t>
      </w:r>
    </w:p>
    <w:p w14:paraId="6644D3CE">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（3）《西藏自治区文物保护条例》，2007年8月20日起实施；</w:t>
      </w:r>
    </w:p>
    <w:p w14:paraId="797E7B3F">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（4）《西藏自治区公路条例》，2010年7月30日起实施；</w:t>
      </w:r>
    </w:p>
    <w:p w14:paraId="044B11EE">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（5）《西藏自治区旅游条例》，2011年1月1日起实施；</w:t>
      </w:r>
    </w:p>
    <w:p w14:paraId="4EFB9C9F">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（6）《西藏自治区地质环境管理条例》，2003年5月1日起施行；</w:t>
      </w:r>
    </w:p>
    <w:p w14:paraId="25B44C57">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（7）《西藏自治区城乡规划条例》，2012年6月1日起施行；</w:t>
      </w:r>
    </w:p>
    <w:p w14:paraId="10E17183">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（8）《西藏自治区环境保护条例》，2018年12月1日起施行；</w:t>
      </w:r>
    </w:p>
    <w:p w14:paraId="33CC6224">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（9）《西藏自治区实施&lt;中华人民共和国野生动物保护法&gt;办法》，2002年1月20日起施行；</w:t>
      </w:r>
    </w:p>
    <w:p w14:paraId="42DDD7B8">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（10）《西藏自治区饮用水水源环境保护管理办法》，2005年1月1日起施行；</w:t>
      </w:r>
    </w:p>
    <w:p w14:paraId="53A9831C">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（11）《西藏自治区野生植物保护办法》，2009年10月1日起施行；</w:t>
      </w:r>
    </w:p>
    <w:p w14:paraId="2917BE23">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（12）《西藏自治区林地管理办法》，2009年10月1日起实施；</w:t>
      </w:r>
    </w:p>
    <w:p w14:paraId="0EE60CF3">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（13）《西藏自治区生态环境保护监督管理办法》，2013年7月25日起施行；</w:t>
      </w:r>
    </w:p>
    <w:p w14:paraId="2A8B7DA7">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（14）《西藏自治区实施〈中华人民共和国防洪法〉办法》，2007年3月1日起实施；</w:t>
      </w:r>
    </w:p>
    <w:p w14:paraId="44602C0F">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（15）《西藏自治区实施&lt;中华人民共和国土地管理法&gt;办法》，2011年11月24日起施行；</w:t>
      </w:r>
    </w:p>
    <w:p w14:paraId="388724B9">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（16）《西藏自治区实施&lt;中华人民共和国水土保持法&gt;办法》，2013年10月1日起施行；</w:t>
      </w:r>
    </w:p>
    <w:p w14:paraId="3398AEEA">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（17）《西藏自治区实施&lt;中华人民共和国水法&gt;办法》，2013年10月1日起施行；</w:t>
      </w:r>
    </w:p>
    <w:p w14:paraId="037B1B75">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（18）</w:t>
      </w:r>
      <w:r>
        <w:rPr>
          <w:rFonts w:hint="default" w:ascii="Times New Roman" w:hAnsi="Times New Roman" w:cs="Times New Roman"/>
          <w:color w:val="auto"/>
          <w:kern w:val="0"/>
          <w:szCs w:val="24"/>
          <w:highlight w:val="none"/>
        </w:rPr>
        <w:t>《西藏自治区生物多样性保护战略与行动计划》（</w:t>
      </w:r>
      <w:r>
        <w:rPr>
          <w:rFonts w:hint="default" w:ascii="Times New Roman" w:hAnsi="Times New Roman" w:cs="Times New Roman" w:eastAsiaTheme="minorEastAsia"/>
          <w:color w:val="auto"/>
          <w:szCs w:val="24"/>
          <w:highlight w:val="none"/>
        </w:rPr>
        <w:t>西藏自治区人民政府，2014年6月</w:t>
      </w:r>
      <w:r>
        <w:rPr>
          <w:rFonts w:hint="default" w:ascii="Times New Roman" w:hAnsi="Times New Roman" w:cs="Times New Roman"/>
          <w:color w:val="auto"/>
          <w:kern w:val="0"/>
          <w:szCs w:val="24"/>
          <w:highlight w:val="none"/>
        </w:rPr>
        <w:t>）；</w:t>
      </w:r>
    </w:p>
    <w:p w14:paraId="24D8FFD1">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（19）《实施国务院关于落实科学发展观加强环境保护的决定的意见》（藏政发[2007]15号）；</w:t>
      </w:r>
    </w:p>
    <w:p w14:paraId="33DAC420">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（20）</w:t>
      </w:r>
      <w:r>
        <w:rPr>
          <w:rFonts w:hint="default" w:ascii="Times New Roman" w:hAnsi="Times New Roman" w:cs="Times New Roman" w:eastAsiaTheme="minorEastAsia"/>
          <w:bCs/>
          <w:color w:val="auto"/>
          <w:szCs w:val="24"/>
          <w:highlight w:val="none"/>
        </w:rPr>
        <w:t>西藏自治区人民政府关于印发</w:t>
      </w:r>
      <w:r>
        <w:rPr>
          <w:rFonts w:hint="default" w:ascii="Times New Roman" w:hAnsi="Times New Roman" w:cs="Times New Roman" w:eastAsiaTheme="minorEastAsia"/>
          <w:color w:val="auto"/>
          <w:szCs w:val="24"/>
          <w:highlight w:val="none"/>
        </w:rPr>
        <w:t>《</w:t>
      </w:r>
      <w:r>
        <w:rPr>
          <w:rFonts w:hint="default" w:ascii="Times New Roman" w:hAnsi="Times New Roman" w:cs="Times New Roman" w:eastAsiaTheme="minorEastAsia"/>
          <w:bCs/>
          <w:color w:val="auto"/>
          <w:szCs w:val="24"/>
          <w:highlight w:val="none"/>
        </w:rPr>
        <w:t>西藏自治区“三线一单”生态环境分区管控方案</w:t>
      </w:r>
      <w:r>
        <w:rPr>
          <w:rFonts w:hint="default" w:ascii="Times New Roman" w:hAnsi="Times New Roman" w:cs="Times New Roman" w:eastAsiaTheme="minorEastAsia"/>
          <w:color w:val="auto"/>
          <w:szCs w:val="24"/>
          <w:highlight w:val="none"/>
        </w:rPr>
        <w:t>》的通知（藏政发[2020]11号）；</w:t>
      </w:r>
    </w:p>
    <w:p w14:paraId="0474DC4B">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（21）《西藏自治区水污染防治行动计划工作方案》（西藏自治区人民政府办公厅秘书处2015年12月25日印发）；</w:t>
      </w:r>
    </w:p>
    <w:p w14:paraId="334433BF">
      <w:pPr>
        <w:pStyle w:val="691"/>
        <w:ind w:firstLine="480"/>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szCs w:val="24"/>
          <w:highlight w:val="none"/>
        </w:rPr>
        <w:t>（22）林芝市人民政府关于印发《林芝市“三线一单”生态环境分区管控实施意见》的通知。</w:t>
      </w:r>
      <w:bookmarkEnd w:id="25"/>
    </w:p>
    <w:p w14:paraId="5A81E374">
      <w:pPr>
        <w:pStyle w:val="4"/>
        <w:spacing w:before="156" w:after="156"/>
        <w:rPr>
          <w:rFonts w:hint="default" w:ascii="Times New Roman" w:hAnsi="Times New Roman" w:cs="Times New Roman"/>
          <w:color w:val="auto"/>
          <w:highlight w:val="none"/>
        </w:rPr>
      </w:pPr>
      <w:bookmarkStart w:id="26" w:name="_Toc9092639"/>
      <w:bookmarkStart w:id="27" w:name="_Toc9092638"/>
      <w:r>
        <w:rPr>
          <w:rFonts w:hint="default" w:ascii="Times New Roman" w:hAnsi="Times New Roman" w:cs="Times New Roman"/>
          <w:color w:val="auto"/>
          <w:highlight w:val="none"/>
        </w:rPr>
        <w:t>技术导则与规范</w:t>
      </w:r>
      <w:bookmarkEnd w:id="26"/>
    </w:p>
    <w:p w14:paraId="43FFB467">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bookmarkStart w:id="28" w:name="_Hlk63347555"/>
      <w:r>
        <w:rPr>
          <w:rFonts w:hint="default" w:ascii="Times New Roman" w:hAnsi="Times New Roman" w:cs="Times New Roman" w:eastAsiaTheme="minorEastAsia"/>
          <w:bCs/>
          <w:color w:val="auto"/>
          <w:kern w:val="0"/>
          <w:sz w:val="24"/>
          <w:highlight w:val="none"/>
        </w:rPr>
        <w:t>（1）《规划环境影响评价技术导则</w:t>
      </w:r>
      <w:r>
        <w:rPr>
          <w:rFonts w:hint="default" w:ascii="Times New Roman" w:hAnsi="Times New Roman" w:cs="Times New Roman" w:eastAsiaTheme="minorEastAsia"/>
          <w:bCs/>
          <w:color w:val="auto"/>
          <w:kern w:val="0"/>
          <w:sz w:val="24"/>
          <w:highlight w:val="none"/>
          <w:lang w:val="en-US" w:eastAsia="zh-CN"/>
        </w:rPr>
        <w:t xml:space="preserve"> </w:t>
      </w:r>
      <w:r>
        <w:rPr>
          <w:rFonts w:hint="default" w:ascii="Times New Roman" w:hAnsi="Times New Roman" w:cs="Times New Roman" w:eastAsiaTheme="minorEastAsia"/>
          <w:bCs/>
          <w:color w:val="auto"/>
          <w:kern w:val="0"/>
          <w:sz w:val="24"/>
          <w:highlight w:val="none"/>
        </w:rPr>
        <w:t>总纲》（HJ130-2019）；</w:t>
      </w:r>
    </w:p>
    <w:p w14:paraId="203A3EDF">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（2）《环境影响评价技术导则</w:t>
      </w:r>
      <w:r>
        <w:rPr>
          <w:rFonts w:hint="default" w:ascii="Times New Roman" w:hAnsi="Times New Roman" w:cs="Times New Roman" w:eastAsiaTheme="minorEastAsia"/>
          <w:bCs/>
          <w:color w:val="auto"/>
          <w:kern w:val="0"/>
          <w:sz w:val="24"/>
          <w:highlight w:val="none"/>
          <w:lang w:val="en-US" w:eastAsia="zh-CN"/>
        </w:rPr>
        <w:t xml:space="preserve"> </w:t>
      </w:r>
      <w:r>
        <w:rPr>
          <w:rFonts w:hint="default" w:ascii="Times New Roman" w:hAnsi="Times New Roman" w:cs="Times New Roman" w:eastAsiaTheme="minorEastAsia"/>
          <w:bCs/>
          <w:color w:val="auto"/>
          <w:kern w:val="0"/>
          <w:sz w:val="24"/>
          <w:highlight w:val="none"/>
        </w:rPr>
        <w:t>总纲》（HJ2.1-2016）；</w:t>
      </w:r>
    </w:p>
    <w:p w14:paraId="758AC65A">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（3）《环境影响评价技术导则</w:t>
      </w:r>
      <w:r>
        <w:rPr>
          <w:rFonts w:hint="default" w:ascii="Times New Roman" w:hAnsi="Times New Roman" w:cs="Times New Roman" w:eastAsiaTheme="minorEastAsia"/>
          <w:bCs/>
          <w:color w:val="auto"/>
          <w:kern w:val="0"/>
          <w:sz w:val="24"/>
          <w:highlight w:val="none"/>
          <w:lang w:val="en-US" w:eastAsia="zh-CN"/>
        </w:rPr>
        <w:t xml:space="preserve"> </w:t>
      </w:r>
      <w:r>
        <w:rPr>
          <w:rFonts w:hint="default" w:ascii="Times New Roman" w:hAnsi="Times New Roman" w:cs="Times New Roman" w:eastAsiaTheme="minorEastAsia"/>
          <w:bCs/>
          <w:color w:val="auto"/>
          <w:kern w:val="0"/>
          <w:sz w:val="24"/>
          <w:highlight w:val="none"/>
        </w:rPr>
        <w:t>大气环境》（HJ2.2-2018）；</w:t>
      </w:r>
    </w:p>
    <w:p w14:paraId="67E866A0">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（4）《环境影响评价技术导则</w:t>
      </w:r>
      <w:r>
        <w:rPr>
          <w:rFonts w:hint="default" w:ascii="Times New Roman" w:hAnsi="Times New Roman" w:cs="Times New Roman" w:eastAsiaTheme="minorEastAsia"/>
          <w:bCs/>
          <w:color w:val="auto"/>
          <w:kern w:val="0"/>
          <w:sz w:val="24"/>
          <w:highlight w:val="none"/>
          <w:lang w:val="en-US" w:eastAsia="zh-CN"/>
        </w:rPr>
        <w:t xml:space="preserve"> </w:t>
      </w:r>
      <w:r>
        <w:rPr>
          <w:rFonts w:hint="default" w:ascii="Times New Roman" w:hAnsi="Times New Roman" w:cs="Times New Roman" w:eastAsiaTheme="minorEastAsia"/>
          <w:bCs/>
          <w:color w:val="auto"/>
          <w:kern w:val="0"/>
          <w:sz w:val="24"/>
          <w:highlight w:val="none"/>
        </w:rPr>
        <w:t>地表水环境》（HJ2.3-2018）；</w:t>
      </w:r>
    </w:p>
    <w:p w14:paraId="59B5F2BF">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（5）《环境影响评价技术导则</w:t>
      </w:r>
      <w:r>
        <w:rPr>
          <w:rFonts w:hint="default" w:ascii="Times New Roman" w:hAnsi="Times New Roman" w:cs="Times New Roman" w:eastAsiaTheme="minorEastAsia"/>
          <w:bCs/>
          <w:color w:val="auto"/>
          <w:kern w:val="0"/>
          <w:sz w:val="24"/>
          <w:highlight w:val="none"/>
          <w:lang w:val="en-US" w:eastAsia="zh-CN"/>
        </w:rPr>
        <w:t xml:space="preserve"> </w:t>
      </w:r>
      <w:r>
        <w:rPr>
          <w:rFonts w:hint="default" w:ascii="Times New Roman" w:hAnsi="Times New Roman" w:cs="Times New Roman" w:eastAsiaTheme="minorEastAsia"/>
          <w:bCs/>
          <w:color w:val="auto"/>
          <w:kern w:val="0"/>
          <w:sz w:val="24"/>
          <w:highlight w:val="none"/>
        </w:rPr>
        <w:t>地下水环境》（HJ610-2016）；</w:t>
      </w:r>
    </w:p>
    <w:p w14:paraId="342E756F">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（6）《环境影响评价技术导则</w:t>
      </w:r>
      <w:r>
        <w:rPr>
          <w:rFonts w:hint="default" w:ascii="Times New Roman" w:hAnsi="Times New Roman" w:cs="Times New Roman" w:eastAsiaTheme="minorEastAsia"/>
          <w:bCs/>
          <w:color w:val="auto"/>
          <w:kern w:val="0"/>
          <w:sz w:val="24"/>
          <w:highlight w:val="none"/>
          <w:lang w:val="en-US" w:eastAsia="zh-CN"/>
        </w:rPr>
        <w:t xml:space="preserve"> </w:t>
      </w:r>
      <w:r>
        <w:rPr>
          <w:rFonts w:hint="default" w:ascii="Times New Roman" w:hAnsi="Times New Roman" w:cs="Times New Roman" w:eastAsiaTheme="minorEastAsia"/>
          <w:bCs/>
          <w:color w:val="auto"/>
          <w:kern w:val="0"/>
          <w:sz w:val="24"/>
          <w:highlight w:val="none"/>
        </w:rPr>
        <w:t>声环境》（HJ2.4-2021）；</w:t>
      </w:r>
    </w:p>
    <w:p w14:paraId="755BFA50">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（7）《环境影响评价技术导则</w:t>
      </w:r>
      <w:r>
        <w:rPr>
          <w:rFonts w:hint="default" w:ascii="Times New Roman" w:hAnsi="Times New Roman" w:cs="Times New Roman" w:eastAsiaTheme="minorEastAsia"/>
          <w:bCs/>
          <w:color w:val="auto"/>
          <w:kern w:val="0"/>
          <w:sz w:val="24"/>
          <w:highlight w:val="none"/>
          <w:lang w:val="en-US" w:eastAsia="zh-CN"/>
        </w:rPr>
        <w:t xml:space="preserve"> </w:t>
      </w:r>
      <w:r>
        <w:rPr>
          <w:rFonts w:hint="default" w:ascii="Times New Roman" w:hAnsi="Times New Roman" w:cs="Times New Roman" w:eastAsiaTheme="minorEastAsia"/>
          <w:bCs/>
          <w:color w:val="auto"/>
          <w:kern w:val="0"/>
          <w:sz w:val="24"/>
          <w:highlight w:val="none"/>
        </w:rPr>
        <w:t>生态影响》（HJ19-2022）；</w:t>
      </w:r>
    </w:p>
    <w:p w14:paraId="649ECAD8">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（8）《环境影响评价技术导则</w:t>
      </w:r>
      <w:r>
        <w:rPr>
          <w:rFonts w:hint="default" w:ascii="Times New Roman" w:hAnsi="Times New Roman" w:cs="Times New Roman" w:eastAsiaTheme="minorEastAsia"/>
          <w:bCs/>
          <w:color w:val="auto"/>
          <w:kern w:val="0"/>
          <w:sz w:val="24"/>
          <w:highlight w:val="none"/>
          <w:lang w:val="en-US" w:eastAsia="zh-CN"/>
        </w:rPr>
        <w:t xml:space="preserve"> </w:t>
      </w:r>
      <w:r>
        <w:rPr>
          <w:rFonts w:hint="default" w:ascii="Times New Roman" w:hAnsi="Times New Roman" w:cs="Times New Roman" w:eastAsiaTheme="minorEastAsia"/>
          <w:bCs/>
          <w:color w:val="auto"/>
          <w:kern w:val="0"/>
          <w:sz w:val="24"/>
          <w:highlight w:val="none"/>
        </w:rPr>
        <w:t>土壤环境（试行）》（HJ 964-2018）；</w:t>
      </w:r>
    </w:p>
    <w:p w14:paraId="3AD89D01">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（9）《建设项目环境风险评价技术导则》（HJ169-2018）；</w:t>
      </w:r>
    </w:p>
    <w:p w14:paraId="230C15B8">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（10）《环境空气质量功能区划分原则与技术方法》（HJ 14-1996）；</w:t>
      </w:r>
    </w:p>
    <w:p w14:paraId="21A9EBF8">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（11）《旅游景区质量等级的划分与评定》（GB/T17775-2003）；</w:t>
      </w:r>
    </w:p>
    <w:p w14:paraId="193E5B7B">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（12）《区域生物多样性评价标准》（HJ623-2011）；</w:t>
      </w:r>
    </w:p>
    <w:p w14:paraId="08483CC7">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（13）《声环境功能区划分技术规范》（GB/T 15190-2014）；</w:t>
      </w:r>
    </w:p>
    <w:p w14:paraId="56504F85">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（14）《生态环境状况评价技术规范》（HJ192-2015）；</w:t>
      </w:r>
    </w:p>
    <w:p w14:paraId="10C41827">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（15）《旅游资源分类、调查与评价》（GB/T18972-2017）；</w:t>
      </w:r>
    </w:p>
    <w:p w14:paraId="0CB69A23">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（16）《旅游规划通则》（GB/T18971-2003）；</w:t>
      </w:r>
    </w:p>
    <w:p w14:paraId="6207881E">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（17）《景区最大承载量核定导则》（LB/T034-2014）。</w:t>
      </w:r>
    </w:p>
    <w:bookmarkEnd w:id="28"/>
    <w:p w14:paraId="55FDC8D4">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相关规划</w:t>
      </w:r>
      <w:bookmarkEnd w:id="27"/>
    </w:p>
    <w:p w14:paraId="040E565E">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bookmarkStart w:id="29" w:name="_Hlk63347580"/>
      <w:r>
        <w:rPr>
          <w:rFonts w:hint="default" w:ascii="Times New Roman" w:hAnsi="Times New Roman" w:cs="Times New Roman" w:eastAsiaTheme="minorEastAsia"/>
          <w:bCs/>
          <w:color w:val="auto"/>
          <w:kern w:val="0"/>
          <w:sz w:val="24"/>
          <w:highlight w:val="none"/>
        </w:rPr>
        <w:t>（1）《全国生态旅游发展规划》（2016-2025年）；</w:t>
      </w:r>
    </w:p>
    <w:p w14:paraId="35141676">
      <w:pPr>
        <w:autoSpaceDE w:val="0"/>
        <w:autoSpaceDN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（2）</w:t>
      </w:r>
      <w:r>
        <w:rPr>
          <w:rFonts w:hint="default" w:ascii="Times New Roman" w:hAnsi="Times New Roman" w:cs="Times New Roman"/>
          <w:color w:val="auto"/>
          <w:kern w:val="0"/>
          <w:sz w:val="24"/>
          <w:highlight w:val="none"/>
        </w:rPr>
        <w:t>《</w:t>
      </w:r>
      <w:r>
        <w:rPr>
          <w:rFonts w:hint="default" w:ascii="Times New Roman" w:hAnsi="Times New Roman" w:cs="Times New Roman" w:eastAsiaTheme="minorEastAsia"/>
          <w:color w:val="auto"/>
          <w:kern w:val="0"/>
          <w:sz w:val="24"/>
          <w:highlight w:val="none"/>
        </w:rPr>
        <w:t>“十</w:t>
      </w:r>
      <w:r>
        <w:rPr>
          <w:rFonts w:hint="default" w:ascii="Times New Roman" w:hAnsi="Times New Roman" w:cs="Times New Roman" w:eastAsiaTheme="minorEastAsia"/>
          <w:color w:val="auto"/>
          <w:kern w:val="0"/>
          <w:sz w:val="24"/>
          <w:highlight w:val="none"/>
          <w:lang w:val="en-US" w:eastAsia="zh-CN"/>
        </w:rPr>
        <w:t>五</w:t>
      </w:r>
      <w:r>
        <w:rPr>
          <w:rFonts w:hint="default" w:ascii="Times New Roman" w:hAnsi="Times New Roman" w:cs="Times New Roman" w:eastAsiaTheme="minorEastAsia"/>
          <w:color w:val="auto"/>
          <w:kern w:val="0"/>
          <w:sz w:val="24"/>
          <w:highlight w:val="none"/>
        </w:rPr>
        <w:t>五”</w:t>
      </w:r>
      <w:r>
        <w:rPr>
          <w:rFonts w:hint="default" w:ascii="Times New Roman" w:hAnsi="Times New Roman" w:cs="Times New Roman"/>
          <w:color w:val="auto"/>
          <w:kern w:val="0"/>
          <w:sz w:val="24"/>
          <w:highlight w:val="none"/>
        </w:rPr>
        <w:t>全国旅游业发展规划》；</w:t>
      </w:r>
    </w:p>
    <w:p w14:paraId="5EAE7D30">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（3）《西藏自治区主体功能区规划》；</w:t>
      </w:r>
    </w:p>
    <w:p w14:paraId="67058FD9">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（4）《西藏自治区生态功能区划》；</w:t>
      </w:r>
    </w:p>
    <w:p w14:paraId="5B6C69DF">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（5）《西藏自治区“十四五”时期旅游综合发展规划》；</w:t>
      </w:r>
    </w:p>
    <w:p w14:paraId="69267B62">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（6）《西藏自治区“十四五”时期生态环境保护规划》；</w:t>
      </w:r>
    </w:p>
    <w:p w14:paraId="0458439C">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（7）</w:t>
      </w:r>
      <w:r>
        <w:rPr>
          <w:rStyle w:val="103"/>
          <w:rFonts w:hint="default" w:ascii="Times New Roman" w:hAnsi="Times New Roman" w:cs="Times New Roman"/>
          <w:color w:val="auto"/>
          <w:highlight w:val="none"/>
        </w:rPr>
        <w:t>《西藏自治区国民经济和社会发展第十四个五年规划和二〇三五年远景目标纲要》；</w:t>
      </w:r>
    </w:p>
    <w:p w14:paraId="447CCAC1">
      <w:pPr>
        <w:widowControl/>
        <w:adjustRightInd w:val="0"/>
        <w:spacing w:line="360" w:lineRule="auto"/>
        <w:ind w:firstLine="480" w:firstLineChars="200"/>
        <w:jc w:val="left"/>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（8）《西藏自治区“十四五”时期生态环境保护规划》；</w:t>
      </w:r>
    </w:p>
    <w:p w14:paraId="027B3A17">
      <w:pPr>
        <w:widowControl/>
        <w:adjustRightInd w:val="0"/>
        <w:spacing w:line="360" w:lineRule="auto"/>
        <w:ind w:firstLine="480" w:firstLineChars="200"/>
        <w:jc w:val="left"/>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（9）《西藏自治区“十四五”时期旅游综合发展规划》；</w:t>
      </w:r>
    </w:p>
    <w:p w14:paraId="49266574">
      <w:pPr>
        <w:spacing w:line="360" w:lineRule="auto"/>
        <w:ind w:firstLine="480" w:firstLineChars="200"/>
        <w:rPr>
          <w:rStyle w:val="103"/>
          <w:rFonts w:hint="default" w:ascii="Times New Roman" w:hAnsi="Times New Roman" w:cs="Times New Roman"/>
          <w:color w:val="auto"/>
          <w:highlight w:val="none"/>
        </w:rPr>
      </w:pPr>
      <w:r>
        <w:rPr>
          <w:rFonts w:hint="default" w:ascii="Times New Roman" w:hAnsi="Times New Roman" w:cs="Times New Roman"/>
          <w:color w:val="auto"/>
          <w:kern w:val="0"/>
          <w:sz w:val="24"/>
          <w:szCs w:val="20"/>
          <w:highlight w:val="none"/>
        </w:rPr>
        <w:t>（10）《</w:t>
      </w:r>
      <w:r>
        <w:rPr>
          <w:rFonts w:hint="default" w:ascii="Times New Roman" w:hAnsi="Times New Roman" w:cs="Times New Roman"/>
          <w:color w:val="auto"/>
          <w:kern w:val="0"/>
          <w:sz w:val="24"/>
          <w:szCs w:val="20"/>
          <w:highlight w:val="none"/>
          <w:lang w:eastAsia="zh-CN"/>
        </w:rPr>
        <w:t>林芝市</w:t>
      </w:r>
      <w:r>
        <w:rPr>
          <w:rFonts w:hint="default" w:ascii="Times New Roman" w:hAnsi="Times New Roman" w:cs="Times New Roman"/>
          <w:color w:val="auto"/>
          <w:kern w:val="0"/>
          <w:sz w:val="24"/>
          <w:szCs w:val="20"/>
          <w:highlight w:val="none"/>
        </w:rPr>
        <w:t>国民经济和社会发展第十四个五年规划和二〇三五年远景目标纲要》；</w:t>
      </w:r>
    </w:p>
    <w:p w14:paraId="189DAD08">
      <w:pPr>
        <w:widowControl/>
        <w:adjustRightInd w:val="0"/>
        <w:spacing w:line="360" w:lineRule="auto"/>
        <w:ind w:firstLine="480" w:firstLineChars="200"/>
        <w:jc w:val="left"/>
        <w:rPr>
          <w:rFonts w:hint="default" w:ascii="Times New Roman" w:hAnsi="Times New Roman" w:eastAsia="宋体"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rPr>
        <w:t>（11）《西藏自治区文化旅游产业发展规划（2025-2035年）》</w:t>
      </w:r>
      <w:r>
        <w:rPr>
          <w:rFonts w:hint="default" w:ascii="Times New Roman" w:hAnsi="Times New Roman" w:cs="Times New Roman"/>
          <w:color w:val="auto"/>
          <w:kern w:val="0"/>
          <w:sz w:val="24"/>
          <w:szCs w:val="20"/>
          <w:highlight w:val="none"/>
          <w:lang w:eastAsia="zh-CN"/>
        </w:rPr>
        <w:t>；</w:t>
      </w:r>
    </w:p>
    <w:p w14:paraId="7D8F589D">
      <w:pPr>
        <w:widowControl/>
        <w:adjustRightInd w:val="0"/>
        <w:spacing w:line="360" w:lineRule="auto"/>
        <w:ind w:firstLine="480" w:firstLineChars="200"/>
        <w:jc w:val="left"/>
        <w:rPr>
          <w:rFonts w:hint="default" w:ascii="Times New Roman" w:hAnsi="Times New Roman" w:eastAsia="宋体"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12</w:t>
      </w: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rPr>
        <w:t>《西藏自治区推进拉萨</w:t>
      </w:r>
      <w:r>
        <w:rPr>
          <w:rFonts w:hint="default" w:ascii="Times New Roman" w:hAnsi="Times New Roman" w:cs="Times New Roman"/>
          <w:color w:val="auto"/>
          <w:kern w:val="0"/>
          <w:sz w:val="24"/>
          <w:szCs w:val="20"/>
          <w:highlight w:val="none"/>
          <w:lang w:eastAsia="zh-CN"/>
        </w:rPr>
        <w:t>波密</w:t>
      </w:r>
      <w:r>
        <w:rPr>
          <w:rFonts w:hint="default" w:ascii="Times New Roman" w:hAnsi="Times New Roman" w:cs="Times New Roman"/>
          <w:color w:val="auto"/>
          <w:kern w:val="0"/>
          <w:sz w:val="24"/>
          <w:szCs w:val="20"/>
          <w:highlight w:val="none"/>
        </w:rPr>
        <w:t>经济一体化发展规划》</w:t>
      </w:r>
      <w:r>
        <w:rPr>
          <w:rFonts w:hint="default" w:ascii="Times New Roman" w:hAnsi="Times New Roman" w:cs="Times New Roman"/>
          <w:color w:val="auto"/>
          <w:kern w:val="0"/>
          <w:sz w:val="24"/>
          <w:szCs w:val="20"/>
          <w:highlight w:val="none"/>
          <w:lang w:eastAsia="zh-CN"/>
        </w:rPr>
        <w:t>；</w:t>
      </w:r>
    </w:p>
    <w:p w14:paraId="19AB4031">
      <w:pPr>
        <w:widowControl/>
        <w:adjustRightInd w:val="0"/>
        <w:spacing w:line="360" w:lineRule="auto"/>
        <w:ind w:firstLine="480" w:firstLineChars="200"/>
        <w:jc w:val="left"/>
        <w:rPr>
          <w:rFonts w:hint="default" w:ascii="Times New Roman" w:hAnsi="Times New Roman" w:eastAsia="宋体"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14</w:t>
      </w: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rPr>
        <w:t>《西藏自治区提振消费专项行动政策措施（2025年）》</w:t>
      </w:r>
      <w:r>
        <w:rPr>
          <w:rFonts w:hint="default" w:ascii="Times New Roman" w:hAnsi="Times New Roman" w:cs="Times New Roman"/>
          <w:color w:val="auto"/>
          <w:kern w:val="0"/>
          <w:sz w:val="24"/>
          <w:szCs w:val="20"/>
          <w:highlight w:val="none"/>
          <w:lang w:eastAsia="zh-CN"/>
        </w:rPr>
        <w:t>；</w:t>
      </w:r>
    </w:p>
    <w:p w14:paraId="080AE037">
      <w:pPr>
        <w:widowControl/>
        <w:adjustRightInd w:val="0"/>
        <w:spacing w:line="360" w:lineRule="auto"/>
        <w:ind w:firstLine="480" w:firstLineChars="200"/>
        <w:jc w:val="left"/>
        <w:rPr>
          <w:rFonts w:hint="default" w:ascii="Times New Roman" w:hAnsi="Times New Roman" w:eastAsia="宋体"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15</w:t>
      </w: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rPr>
        <w:t>《</w:t>
      </w:r>
      <w:r>
        <w:rPr>
          <w:rFonts w:hint="default" w:ascii="Times New Roman" w:hAnsi="Times New Roman" w:cs="Times New Roman"/>
          <w:color w:val="auto"/>
          <w:kern w:val="0"/>
          <w:sz w:val="24"/>
          <w:szCs w:val="20"/>
          <w:highlight w:val="none"/>
          <w:lang w:eastAsia="zh-CN"/>
        </w:rPr>
        <w:t>林芝市</w:t>
      </w:r>
      <w:r>
        <w:rPr>
          <w:rFonts w:hint="default" w:ascii="Times New Roman" w:hAnsi="Times New Roman" w:cs="Times New Roman"/>
          <w:color w:val="auto"/>
          <w:kern w:val="0"/>
          <w:sz w:val="24"/>
          <w:szCs w:val="20"/>
          <w:highlight w:val="none"/>
        </w:rPr>
        <w:t>国土空间总体规划（2021-2035年）》</w:t>
      </w:r>
      <w:r>
        <w:rPr>
          <w:rFonts w:hint="default" w:ascii="Times New Roman" w:hAnsi="Times New Roman" w:cs="Times New Roman"/>
          <w:color w:val="auto"/>
          <w:kern w:val="0"/>
          <w:sz w:val="24"/>
          <w:szCs w:val="20"/>
          <w:highlight w:val="none"/>
          <w:lang w:eastAsia="zh-CN"/>
        </w:rPr>
        <w:t>；</w:t>
      </w:r>
    </w:p>
    <w:p w14:paraId="25884964">
      <w:pPr>
        <w:widowControl/>
        <w:adjustRightInd w:val="0"/>
        <w:spacing w:line="360" w:lineRule="auto"/>
        <w:ind w:firstLine="480" w:firstLineChars="200"/>
        <w:jc w:val="left"/>
        <w:rPr>
          <w:rFonts w:hint="default" w:ascii="Times New Roman" w:hAnsi="Times New Roman" w:eastAsia="宋体"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16</w:t>
      </w: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rPr>
        <w:t>《关于促进森林康养产业发展的意见》（林改发〔2019〕20号）</w:t>
      </w:r>
      <w:r>
        <w:rPr>
          <w:rFonts w:hint="default" w:ascii="Times New Roman" w:hAnsi="Times New Roman" w:cs="Times New Roman"/>
          <w:color w:val="auto"/>
          <w:kern w:val="0"/>
          <w:sz w:val="24"/>
          <w:szCs w:val="20"/>
          <w:highlight w:val="none"/>
          <w:lang w:eastAsia="zh-CN"/>
        </w:rPr>
        <w:t>；</w:t>
      </w:r>
    </w:p>
    <w:p w14:paraId="325C1446">
      <w:pPr>
        <w:widowControl/>
        <w:adjustRightInd w:val="0"/>
        <w:spacing w:line="360" w:lineRule="auto"/>
        <w:ind w:firstLine="480" w:firstLineChars="200"/>
        <w:jc w:val="left"/>
        <w:rPr>
          <w:rFonts w:hint="default" w:ascii="Times New Roman" w:hAnsi="Times New Roman"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17</w:t>
      </w: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rPr>
        <w:t>《国民旅游休闲纲要（2013-2020年）》</w:t>
      </w:r>
      <w:r>
        <w:rPr>
          <w:rFonts w:hint="default" w:ascii="Times New Roman" w:hAnsi="Times New Roman" w:cs="Times New Roman"/>
          <w:color w:val="auto"/>
          <w:kern w:val="0"/>
          <w:sz w:val="24"/>
          <w:szCs w:val="20"/>
          <w:highlight w:val="none"/>
          <w:lang w:eastAsia="zh-CN"/>
        </w:rPr>
        <w:t>；</w:t>
      </w:r>
    </w:p>
    <w:p w14:paraId="1DD87289">
      <w:pPr>
        <w:widowControl/>
        <w:adjustRightInd w:val="0"/>
        <w:spacing w:line="360" w:lineRule="auto"/>
        <w:ind w:firstLine="480" w:firstLineChars="200"/>
        <w:jc w:val="left"/>
        <w:rPr>
          <w:rFonts w:hint="default" w:ascii="Times New Roman" w:hAnsi="Times New Roman"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18</w:t>
      </w:r>
      <w:r>
        <w:rPr>
          <w:rFonts w:hint="default" w:ascii="Times New Roman" w:hAnsi="Times New Roman" w:cs="Times New Roman"/>
          <w:color w:val="auto"/>
          <w:kern w:val="0"/>
          <w:sz w:val="24"/>
          <w:szCs w:val="20"/>
          <w:highlight w:val="none"/>
          <w:lang w:eastAsia="zh-CN"/>
        </w:rPr>
        <w:t>）《国民旅游休闲纲要（2013-2020年）》；</w:t>
      </w:r>
    </w:p>
    <w:p w14:paraId="68E673D4">
      <w:pPr>
        <w:widowControl/>
        <w:adjustRightInd w:val="0"/>
        <w:spacing w:line="360" w:lineRule="auto"/>
        <w:ind w:firstLine="480" w:firstLineChars="200"/>
        <w:jc w:val="left"/>
        <w:rPr>
          <w:rFonts w:hint="default" w:ascii="Times New Roman" w:hAnsi="Times New Roman"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19</w:t>
      </w:r>
      <w:r>
        <w:rPr>
          <w:rFonts w:hint="default" w:ascii="Times New Roman" w:hAnsi="Times New Roman" w:cs="Times New Roman"/>
          <w:color w:val="auto"/>
          <w:kern w:val="0"/>
          <w:sz w:val="24"/>
          <w:szCs w:val="20"/>
          <w:highlight w:val="none"/>
          <w:lang w:eastAsia="zh-CN"/>
        </w:rPr>
        <w:t>）《关于促进旅游业改革发展的若干意见》；</w:t>
      </w:r>
    </w:p>
    <w:p w14:paraId="149E684C">
      <w:pPr>
        <w:widowControl/>
        <w:adjustRightInd w:val="0"/>
        <w:spacing w:line="360" w:lineRule="auto"/>
        <w:ind w:firstLine="480" w:firstLineChars="200"/>
        <w:jc w:val="left"/>
        <w:rPr>
          <w:rFonts w:hint="default" w:ascii="Times New Roman" w:hAnsi="Times New Roman"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20</w:t>
      </w:r>
      <w:r>
        <w:rPr>
          <w:rFonts w:hint="default" w:ascii="Times New Roman" w:hAnsi="Times New Roman" w:cs="Times New Roman"/>
          <w:color w:val="auto"/>
          <w:kern w:val="0"/>
          <w:sz w:val="24"/>
          <w:szCs w:val="20"/>
          <w:highlight w:val="none"/>
          <w:lang w:eastAsia="zh-CN"/>
        </w:rPr>
        <w:t>）《关于进一步促进旅游投资和消费的若干意见》；</w:t>
      </w:r>
    </w:p>
    <w:p w14:paraId="643B42BA">
      <w:pPr>
        <w:widowControl/>
        <w:adjustRightInd w:val="0"/>
        <w:spacing w:line="360" w:lineRule="auto"/>
        <w:ind w:firstLine="480" w:firstLineChars="200"/>
        <w:jc w:val="left"/>
        <w:rPr>
          <w:rFonts w:hint="default" w:ascii="Times New Roman" w:hAnsi="Times New Roman"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21</w:t>
      </w:r>
      <w:r>
        <w:rPr>
          <w:rFonts w:hint="default" w:ascii="Times New Roman" w:hAnsi="Times New Roman" w:cs="Times New Roman"/>
          <w:color w:val="auto"/>
          <w:kern w:val="0"/>
          <w:sz w:val="24"/>
          <w:szCs w:val="20"/>
          <w:highlight w:val="none"/>
          <w:lang w:eastAsia="zh-CN"/>
        </w:rPr>
        <w:t>）《关于推进中小学生研学旅行的意见》；</w:t>
      </w:r>
    </w:p>
    <w:p w14:paraId="35E20BB5">
      <w:pPr>
        <w:widowControl/>
        <w:adjustRightInd w:val="0"/>
        <w:spacing w:line="360" w:lineRule="auto"/>
        <w:ind w:firstLine="480" w:firstLineChars="200"/>
        <w:jc w:val="left"/>
        <w:rPr>
          <w:rFonts w:hint="default" w:ascii="Times New Roman" w:hAnsi="Times New Roman"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22</w:t>
      </w:r>
      <w:r>
        <w:rPr>
          <w:rFonts w:hint="default" w:ascii="Times New Roman" w:hAnsi="Times New Roman" w:cs="Times New Roman"/>
          <w:color w:val="auto"/>
          <w:kern w:val="0"/>
          <w:sz w:val="24"/>
          <w:szCs w:val="20"/>
          <w:highlight w:val="none"/>
          <w:lang w:eastAsia="zh-CN"/>
        </w:rPr>
        <w:t>）《教育部办公厅关于商请推荐“全国中小学生研学实践教育基地”的函》；</w:t>
      </w:r>
    </w:p>
    <w:p w14:paraId="15BEE9A0">
      <w:pPr>
        <w:widowControl/>
        <w:adjustRightInd w:val="0"/>
        <w:spacing w:line="360" w:lineRule="auto"/>
        <w:ind w:firstLine="480" w:firstLineChars="200"/>
        <w:jc w:val="left"/>
        <w:rPr>
          <w:rFonts w:hint="default" w:ascii="Times New Roman" w:hAnsi="Times New Roman"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23</w:t>
      </w:r>
      <w:r>
        <w:rPr>
          <w:rFonts w:hint="default" w:ascii="Times New Roman" w:hAnsi="Times New Roman" w:cs="Times New Roman"/>
          <w:color w:val="auto"/>
          <w:kern w:val="0"/>
          <w:sz w:val="24"/>
          <w:szCs w:val="20"/>
          <w:highlight w:val="none"/>
          <w:lang w:eastAsia="zh-CN"/>
        </w:rPr>
        <w:t>）《教育部2018年工作要点》；</w:t>
      </w:r>
    </w:p>
    <w:p w14:paraId="1C545818">
      <w:pPr>
        <w:widowControl/>
        <w:adjustRightInd w:val="0"/>
        <w:spacing w:line="360" w:lineRule="auto"/>
        <w:ind w:firstLine="480" w:firstLineChars="200"/>
        <w:jc w:val="left"/>
        <w:rPr>
          <w:rFonts w:hint="default" w:ascii="Times New Roman" w:hAnsi="Times New Roman" w:cs="Times New Roman"/>
          <w:color w:val="auto"/>
          <w:kern w:val="0"/>
          <w:sz w:val="24"/>
          <w:szCs w:val="20"/>
          <w:highlight w:val="none"/>
          <w:lang w:eastAsia="zh-CN"/>
        </w:rPr>
      </w:pPr>
      <w:r>
        <w:rPr>
          <w:rFonts w:hint="default"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24</w:t>
      </w:r>
      <w:r>
        <w:rPr>
          <w:rFonts w:hint="default" w:ascii="Times New Roman" w:hAnsi="Times New Roman" w:cs="Times New Roman"/>
          <w:color w:val="auto"/>
          <w:kern w:val="0"/>
          <w:sz w:val="24"/>
          <w:szCs w:val="20"/>
          <w:highlight w:val="none"/>
          <w:lang w:eastAsia="zh-CN"/>
        </w:rPr>
        <w:t>）《普通高等学校高等职业教育（专科）专业目录》；</w:t>
      </w:r>
    </w:p>
    <w:p w14:paraId="55C79EC2">
      <w:pPr>
        <w:widowControl/>
        <w:adjustRightInd w:val="0"/>
        <w:spacing w:line="360" w:lineRule="auto"/>
        <w:ind w:firstLine="480" w:firstLineChars="200"/>
        <w:jc w:val="left"/>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25</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《西藏雅鲁藏布大峡谷国家级自然保护区规划</w:t>
      </w:r>
      <w:r>
        <w:rPr>
          <w:rFonts w:hint="default" w:ascii="Times New Roman" w:hAnsi="Times New Roman" w:cs="Times New Roman"/>
          <w:color w:val="auto"/>
          <w:kern w:val="0"/>
          <w:sz w:val="24"/>
          <w:highlight w:val="none"/>
          <w:lang w:eastAsia="zh-CN"/>
        </w:rPr>
        <w:t>》；</w:t>
      </w:r>
    </w:p>
    <w:p w14:paraId="75715FBC">
      <w:pPr>
        <w:widowControl/>
        <w:adjustRightInd w:val="0"/>
        <w:spacing w:line="360" w:lineRule="auto"/>
        <w:ind w:firstLine="480" w:firstLineChars="200"/>
        <w:jc w:val="left"/>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26</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《林芝国际生态旅游区发展总体规划（2016-2030）</w:t>
      </w:r>
      <w:r>
        <w:rPr>
          <w:rFonts w:hint="default" w:ascii="Times New Roman" w:hAnsi="Times New Roman" w:cs="Times New Roman"/>
          <w:color w:val="auto"/>
          <w:kern w:val="0"/>
          <w:sz w:val="24"/>
          <w:highlight w:val="none"/>
          <w:lang w:eastAsia="zh-CN"/>
        </w:rPr>
        <w:t>》；</w:t>
      </w:r>
    </w:p>
    <w:p w14:paraId="5622C451">
      <w:pPr>
        <w:widowControl/>
        <w:adjustRightInd w:val="0"/>
        <w:spacing w:line="360" w:lineRule="auto"/>
        <w:ind w:firstLine="480" w:firstLineChars="200"/>
        <w:jc w:val="left"/>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27</w:t>
      </w:r>
      <w:r>
        <w:rPr>
          <w:rFonts w:hint="default" w:ascii="Times New Roman" w:hAnsi="Times New Roman" w:cs="Times New Roman"/>
          <w:color w:val="auto"/>
          <w:kern w:val="0"/>
          <w:sz w:val="24"/>
          <w:highlight w:val="none"/>
          <w:lang w:eastAsia="zh-CN"/>
        </w:rPr>
        <w:t>）《波密县国土空间总体规划（2021-2035年）》；</w:t>
      </w:r>
    </w:p>
    <w:p w14:paraId="21BCC5A8">
      <w:pPr>
        <w:widowControl/>
        <w:adjustRightInd w:val="0"/>
        <w:spacing w:line="360" w:lineRule="auto"/>
        <w:ind w:firstLine="480" w:firstLineChars="200"/>
        <w:jc w:val="left"/>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28</w:t>
      </w:r>
      <w:r>
        <w:rPr>
          <w:rFonts w:hint="default" w:ascii="Times New Roman" w:hAnsi="Times New Roman" w:cs="Times New Roman"/>
          <w:color w:val="auto"/>
          <w:kern w:val="0"/>
          <w:sz w:val="24"/>
          <w:highlight w:val="none"/>
          <w:lang w:eastAsia="zh-CN"/>
        </w:rPr>
        <w:t>）《波密县全域旅游发展总体规划（2021-2030）》；</w:t>
      </w:r>
    </w:p>
    <w:p w14:paraId="6B9FC008">
      <w:pPr>
        <w:widowControl/>
        <w:adjustRightInd w:val="0"/>
        <w:spacing w:line="360" w:lineRule="auto"/>
        <w:ind w:firstLine="480" w:firstLineChars="200"/>
        <w:jc w:val="left"/>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29</w:t>
      </w:r>
      <w:r>
        <w:rPr>
          <w:rFonts w:hint="default" w:ascii="Times New Roman" w:hAnsi="Times New Roman" w:cs="Times New Roman"/>
          <w:color w:val="auto"/>
          <w:kern w:val="0"/>
          <w:sz w:val="24"/>
          <w:highlight w:val="none"/>
          <w:lang w:eastAsia="zh-CN"/>
        </w:rPr>
        <w:t>）《波密县古乡巴卡村“多规合一”实用性村庄规划（2023-2035年）》；</w:t>
      </w:r>
    </w:p>
    <w:p w14:paraId="70375337">
      <w:pPr>
        <w:widowControl/>
        <w:adjustRightInd w:val="0"/>
        <w:spacing w:line="360" w:lineRule="auto"/>
        <w:ind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30</w:t>
      </w:r>
      <w:r>
        <w:rPr>
          <w:rFonts w:hint="default" w:ascii="Times New Roman" w:hAnsi="Times New Roman" w:cs="Times New Roman"/>
          <w:color w:val="auto"/>
          <w:kern w:val="0"/>
          <w:sz w:val="24"/>
          <w:highlight w:val="none"/>
          <w:lang w:eastAsia="zh-CN"/>
        </w:rPr>
        <w:t>）《波密县扎木镇岗巴村“多规合一”实用性村庄规划（2023-2035年）》</w:t>
      </w:r>
      <w:r>
        <w:rPr>
          <w:rFonts w:hint="default" w:ascii="Times New Roman" w:hAnsi="Times New Roman" w:cs="Times New Roman"/>
          <w:color w:val="auto"/>
          <w:kern w:val="0"/>
          <w:sz w:val="24"/>
          <w:highlight w:val="none"/>
        </w:rPr>
        <w:t>。</w:t>
      </w:r>
    </w:p>
    <w:bookmarkEnd w:id="29"/>
    <w:p w14:paraId="15805B5F">
      <w:pPr>
        <w:pStyle w:val="4"/>
        <w:spacing w:before="156" w:after="156"/>
        <w:rPr>
          <w:rFonts w:hint="default" w:ascii="Times New Roman" w:hAnsi="Times New Roman" w:cs="Times New Roman"/>
          <w:color w:val="auto"/>
          <w:highlight w:val="none"/>
        </w:rPr>
      </w:pPr>
      <w:bookmarkStart w:id="30" w:name="_Toc9092640"/>
      <w:r>
        <w:rPr>
          <w:rFonts w:hint="default" w:ascii="Times New Roman" w:hAnsi="Times New Roman" w:cs="Times New Roman"/>
          <w:color w:val="auto"/>
          <w:highlight w:val="none"/>
        </w:rPr>
        <w:t>其他资料</w:t>
      </w:r>
      <w:bookmarkEnd w:id="30"/>
    </w:p>
    <w:p w14:paraId="783DFEAF">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w:t>
      </w:r>
      <w:bookmarkStart w:id="31" w:name="_Toc256663375"/>
      <w:bookmarkStart w:id="32" w:name="_Toc256253669"/>
      <w:bookmarkStart w:id="33" w:name="_Toc445882923"/>
      <w:bookmarkStart w:id="34" w:name="_Toc415574864"/>
      <w:bookmarkStart w:id="35" w:name="_Toc432591406"/>
      <w:bookmarkStart w:id="36" w:name="_Toc266688826"/>
      <w:bookmarkStart w:id="37" w:name="_Toc446077651"/>
      <w:bookmarkStart w:id="38" w:name="_Toc445971409"/>
      <w:bookmarkStart w:id="39" w:name="_Toc256514661"/>
      <w:bookmarkStart w:id="40" w:name="_Toc445186390"/>
      <w:bookmarkStart w:id="41" w:name="_Toc441051379"/>
      <w:bookmarkStart w:id="42" w:name="_Toc266688635"/>
      <w:bookmarkStart w:id="43" w:name="_Toc446064096"/>
      <w:bookmarkStart w:id="44" w:name="_Toc256514754"/>
      <w:bookmarkStart w:id="45" w:name="_Toc256411256"/>
      <w:bookmarkStart w:id="46" w:name="_Toc445971334"/>
      <w:bookmarkStart w:id="47" w:name="_Toc446056598"/>
      <w:bookmarkStart w:id="48" w:name="_Toc442364196"/>
      <w:bookmarkStart w:id="49" w:name="_Toc301086016"/>
      <w:bookmarkStart w:id="50" w:name="_Toc256663482"/>
      <w:bookmarkStart w:id="51" w:name="_Toc414008776"/>
      <w:r>
        <w:rPr>
          <w:rFonts w:hint="default" w:ascii="Times New Roman" w:hAnsi="Times New Roman" w:cs="Times New Roman"/>
          <w:color w:val="auto"/>
          <w:kern w:val="0"/>
          <w:sz w:val="24"/>
          <w:highlight w:val="none"/>
        </w:rPr>
        <w:t>《波密县岗云杉林生态旅游景区总体规划暨控制性详细规划》（2025-2035年），</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hint="default" w:ascii="Times New Roman" w:hAnsi="Times New Roman" w:cs="Times New Roman"/>
          <w:color w:val="auto"/>
          <w:kern w:val="0"/>
          <w:sz w:val="24"/>
          <w:highlight w:val="none"/>
        </w:rPr>
        <w:t>成都景圆旅游规划设计有限公司；</w:t>
      </w:r>
    </w:p>
    <w:p w14:paraId="17F45D8D">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（2）环境质量监测报告；</w:t>
      </w:r>
    </w:p>
    <w:p w14:paraId="14B59C81">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（3）建设单位提供的其他相关资料。</w:t>
      </w:r>
    </w:p>
    <w:p w14:paraId="1641AFC5">
      <w:pPr>
        <w:pStyle w:val="3"/>
        <w:adjustRightInd/>
        <w:spacing w:before="156" w:after="156"/>
        <w:ind w:left="764" w:hanging="764" w:hangingChars="273"/>
        <w:rPr>
          <w:rFonts w:hint="default" w:ascii="Times New Roman" w:hAnsi="Times New Roman" w:cs="Times New Roman"/>
          <w:color w:val="auto"/>
          <w:highlight w:val="none"/>
        </w:rPr>
      </w:pPr>
      <w:bookmarkStart w:id="52" w:name="_Toc472881882"/>
      <w:bookmarkStart w:id="53" w:name="_Toc519260188"/>
      <w:bookmarkStart w:id="54" w:name="_Toc22346"/>
      <w:r>
        <w:rPr>
          <w:rFonts w:hint="default" w:ascii="Times New Roman" w:hAnsi="Times New Roman" w:cs="Times New Roman"/>
          <w:color w:val="auto"/>
          <w:highlight w:val="none"/>
        </w:rPr>
        <w:t>评价</w:t>
      </w:r>
      <w:bookmarkEnd w:id="52"/>
      <w:bookmarkEnd w:id="53"/>
      <w:r>
        <w:rPr>
          <w:rFonts w:hint="default" w:ascii="Times New Roman" w:hAnsi="Times New Roman" w:cs="Times New Roman"/>
          <w:color w:val="auto"/>
          <w:highlight w:val="none"/>
        </w:rPr>
        <w:t>目的与原则</w:t>
      </w:r>
      <w:bookmarkEnd w:id="54"/>
    </w:p>
    <w:p w14:paraId="7100E72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评价目的</w:t>
      </w:r>
    </w:p>
    <w:p w14:paraId="4AB124DA">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根据</w:t>
      </w:r>
      <w:r>
        <w:rPr>
          <w:rFonts w:hint="default" w:ascii="Times New Roman" w:hAnsi="Times New Roman" w:cs="Times New Roman" w:eastAsiaTheme="minorEastAsia"/>
          <w:color w:val="auto"/>
          <w:sz w:val="24"/>
          <w:highlight w:val="none"/>
          <w:lang w:eastAsia="zh-CN"/>
        </w:rPr>
        <w:t>岗云杉林</w:t>
      </w:r>
      <w:r>
        <w:rPr>
          <w:rFonts w:hint="default" w:ascii="Times New Roman" w:hAnsi="Times New Roman" w:cs="Times New Roman" w:eastAsiaTheme="minorEastAsia"/>
          <w:color w:val="auto"/>
          <w:sz w:val="24"/>
          <w:highlight w:val="none"/>
          <w:lang w:val="en-US" w:eastAsia="zh-CN"/>
        </w:rPr>
        <w:t>旅游</w:t>
      </w:r>
      <w:r>
        <w:rPr>
          <w:rFonts w:hint="default" w:ascii="Times New Roman" w:hAnsi="Times New Roman" w:cs="Times New Roman" w:eastAsiaTheme="minorEastAsia"/>
          <w:color w:val="auto"/>
          <w:sz w:val="24"/>
          <w:highlight w:val="none"/>
          <w:lang w:eastAsia="zh-CN"/>
        </w:rPr>
        <w:t>景区</w:t>
      </w:r>
      <w:r>
        <w:rPr>
          <w:rFonts w:hint="default" w:ascii="Times New Roman" w:hAnsi="Times New Roman" w:cs="Times New Roman" w:eastAsiaTheme="minorEastAsia"/>
          <w:color w:val="auto"/>
          <w:sz w:val="24"/>
          <w:highlight w:val="none"/>
        </w:rPr>
        <w:t>的性质和类型，结合景区资源特点、开发现状、区域环境概况等，本次评价的主要目的包括：</w:t>
      </w:r>
    </w:p>
    <w:p w14:paraId="08DF9CEF">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（1）对景区进行环境影响回顾性分析，识别景区开发过</w:t>
      </w:r>
      <w:r>
        <w:rPr>
          <w:rFonts w:hint="default" w:ascii="Times New Roman" w:hAnsi="Times New Roman" w:cs="Times New Roman" w:eastAsiaTheme="minorEastAsia"/>
          <w:color w:val="auto"/>
          <w:sz w:val="24"/>
          <w:highlight w:val="none"/>
          <w:lang w:eastAsia="zh-CN"/>
        </w:rPr>
        <w:t>程中</w:t>
      </w:r>
      <w:r>
        <w:rPr>
          <w:rFonts w:hint="default" w:ascii="Times New Roman" w:hAnsi="Times New Roman" w:cs="Times New Roman" w:eastAsiaTheme="minorEastAsia"/>
          <w:color w:val="auto"/>
          <w:sz w:val="24"/>
          <w:highlight w:val="none"/>
        </w:rPr>
        <w:t>主要环境影响及环境问题。</w:t>
      </w:r>
    </w:p>
    <w:p w14:paraId="05943938">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（2）论证</w:t>
      </w:r>
      <w:r>
        <w:rPr>
          <w:rFonts w:hint="default" w:ascii="Times New Roman" w:hAnsi="Times New Roman" w:cs="Times New Roman" w:eastAsiaTheme="minorEastAsia"/>
          <w:color w:val="auto"/>
          <w:sz w:val="24"/>
          <w:highlight w:val="none"/>
          <w:lang w:eastAsia="zh-CN"/>
        </w:rPr>
        <w:t>岗云杉林景区</w:t>
      </w:r>
      <w:r>
        <w:rPr>
          <w:rFonts w:hint="default" w:ascii="Times New Roman" w:hAnsi="Times New Roman" w:cs="Times New Roman" w:eastAsiaTheme="minorEastAsia"/>
          <w:color w:val="auto"/>
          <w:sz w:val="24"/>
          <w:highlight w:val="none"/>
        </w:rPr>
        <w:t>规划方案的生态环境合理性和环境效益，针对规划中可能降低环境质量或破坏生态安全的方案提出优化调整建议。</w:t>
      </w:r>
    </w:p>
    <w:p w14:paraId="2263DC42">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3）充分考虑规划实施可能带来的环境影响及生态问题，提出针对性的环境影响减缓措施或生态环境保护建议和管控要求，实现经济、社会与环境协调发展，并为规划决策和规划实施过程中的生态环境管理提供依据。</w:t>
      </w:r>
    </w:p>
    <w:p w14:paraId="6C058B51">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评价原则</w:t>
      </w:r>
    </w:p>
    <w:p w14:paraId="2BBE9D3C">
      <w:pPr>
        <w:spacing w:line="360" w:lineRule="auto"/>
        <w:ind w:left="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（1）突出重点、生态优先</w:t>
      </w:r>
    </w:p>
    <w:p w14:paraId="4AA2D58C">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本规划为生态旅游规划，位于西藏自治区</w:t>
      </w:r>
      <w:r>
        <w:rPr>
          <w:rFonts w:hint="default" w:ascii="Times New Roman" w:hAnsi="Times New Roman" w:cs="Times New Roman" w:eastAsiaTheme="minorEastAsia"/>
          <w:color w:val="auto"/>
          <w:sz w:val="24"/>
          <w:highlight w:val="none"/>
          <w:lang w:eastAsia="zh-CN"/>
        </w:rPr>
        <w:t>林芝市波密县</w:t>
      </w:r>
      <w:r>
        <w:rPr>
          <w:rFonts w:hint="default" w:ascii="Times New Roman" w:hAnsi="Times New Roman" w:cs="Times New Roman" w:eastAsiaTheme="minorEastAsia"/>
          <w:color w:val="auto"/>
          <w:sz w:val="24"/>
          <w:highlight w:val="none"/>
        </w:rPr>
        <w:t>，同时</w:t>
      </w:r>
      <w:r>
        <w:rPr>
          <w:rFonts w:hint="default" w:ascii="Times New Roman" w:hAnsi="Times New Roman" w:cs="Times New Roman" w:eastAsiaTheme="minorEastAsia"/>
          <w:color w:val="auto"/>
          <w:sz w:val="24"/>
          <w:highlight w:val="none"/>
          <w:lang w:val="en-US" w:eastAsia="zh-CN"/>
        </w:rPr>
        <w:t>部分规划区部分位于雅鲁藏布大峡谷国家级自然保护区</w:t>
      </w:r>
      <w:r>
        <w:rPr>
          <w:rFonts w:hint="default" w:ascii="Times New Roman" w:hAnsi="Times New Roman" w:cs="Times New Roman" w:eastAsiaTheme="minorEastAsia"/>
          <w:color w:val="auto"/>
          <w:sz w:val="24"/>
          <w:highlight w:val="none"/>
          <w:lang w:eastAsia="zh-CN"/>
        </w:rPr>
        <w:t>、西藏嘎朗国家湿地公园、生态保护红线</w:t>
      </w:r>
      <w:r>
        <w:rPr>
          <w:rFonts w:hint="default" w:ascii="Times New Roman" w:hAnsi="Times New Roman" w:cs="Times New Roman"/>
          <w:color w:val="auto"/>
          <w:kern w:val="0"/>
          <w:sz w:val="24"/>
          <w:highlight w:val="none"/>
        </w:rPr>
        <w:t>内</w:t>
      </w:r>
      <w:r>
        <w:rPr>
          <w:rFonts w:hint="default" w:ascii="Times New Roman" w:hAnsi="Times New Roman" w:cs="Times New Roman" w:eastAsiaTheme="minorEastAsia"/>
          <w:color w:val="auto"/>
          <w:sz w:val="24"/>
          <w:highlight w:val="none"/>
        </w:rPr>
        <w:t>。考虑西藏是青藏高原主体，生态环境相对脆弱，绝大部分区域处于原生态状态的特点，评价坚持以生态系统保护、严控人类活动、优化开发布局与强度为前提，充分衔接西藏自治区和</w:t>
      </w:r>
      <w:r>
        <w:rPr>
          <w:rFonts w:hint="default" w:ascii="Times New Roman" w:hAnsi="Times New Roman" w:cs="Times New Roman" w:eastAsiaTheme="minorEastAsia"/>
          <w:color w:val="auto"/>
          <w:sz w:val="24"/>
          <w:highlight w:val="none"/>
          <w:lang w:eastAsia="zh-CN"/>
        </w:rPr>
        <w:t>林芝市</w:t>
      </w:r>
      <w:r>
        <w:rPr>
          <w:rFonts w:hint="default" w:ascii="Times New Roman" w:hAnsi="Times New Roman" w:cs="Times New Roman" w:eastAsiaTheme="minorEastAsia"/>
          <w:color w:val="auto"/>
          <w:sz w:val="24"/>
          <w:highlight w:val="none"/>
        </w:rPr>
        <w:t>“</w:t>
      </w:r>
      <w:r>
        <w:rPr>
          <w:rFonts w:hint="default" w:ascii="Times New Roman" w:hAnsi="Times New Roman" w:cs="Times New Roman" w:eastAsiaTheme="minorEastAsia"/>
          <w:color w:val="auto"/>
          <w:sz w:val="24"/>
          <w:highlight w:val="none"/>
          <w:lang w:val="en-US" w:eastAsia="zh-CN"/>
        </w:rPr>
        <w:t>生态环境管控分区</w:t>
      </w:r>
      <w:r>
        <w:rPr>
          <w:rFonts w:hint="default" w:ascii="Times New Roman" w:hAnsi="Times New Roman" w:cs="Times New Roman" w:eastAsiaTheme="minorEastAsia"/>
          <w:color w:val="auto"/>
          <w:sz w:val="24"/>
          <w:highlight w:val="none"/>
        </w:rPr>
        <w:t>”成果，分类指导规划所包含建设项目的布局和生态环境准入。</w:t>
      </w:r>
    </w:p>
    <w:p w14:paraId="63E73206">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kern w:val="0"/>
          <w:sz w:val="24"/>
          <w:highlight w:val="none"/>
        </w:rPr>
        <w:t>（2）</w:t>
      </w:r>
      <w:r>
        <w:rPr>
          <w:rFonts w:hint="default" w:ascii="Times New Roman" w:hAnsi="Times New Roman" w:cs="Times New Roman" w:eastAsiaTheme="minorEastAsia"/>
          <w:color w:val="auto"/>
          <w:sz w:val="24"/>
          <w:highlight w:val="none"/>
        </w:rPr>
        <w:t>客观评价、结论科学</w:t>
      </w:r>
    </w:p>
    <w:p w14:paraId="37770C09">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依据现有知识水平和技术条件对</w:t>
      </w:r>
      <w:r>
        <w:rPr>
          <w:rFonts w:hint="default" w:ascii="Times New Roman" w:hAnsi="Times New Roman" w:cs="Times New Roman" w:eastAsiaTheme="minorEastAsia"/>
          <w:color w:val="auto"/>
          <w:sz w:val="24"/>
          <w:highlight w:val="none"/>
          <w:lang w:eastAsia="zh-CN"/>
        </w:rPr>
        <w:t>岗云杉林景区</w:t>
      </w:r>
      <w:r>
        <w:rPr>
          <w:rFonts w:hint="default" w:ascii="Times New Roman" w:hAnsi="Times New Roman" w:cs="Times New Roman" w:eastAsiaTheme="minorEastAsia"/>
          <w:color w:val="auto"/>
          <w:sz w:val="24"/>
          <w:highlight w:val="none"/>
        </w:rPr>
        <w:t>规划实施可能产生的不良环境影响的范围和程度进行分析，使用完善可信的数据资料，选用成熟可靠的评价方法，给出具体明确的结论建议，使其具有可操作性。</w:t>
      </w:r>
    </w:p>
    <w:p w14:paraId="6D1598C6">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kern w:val="0"/>
          <w:sz w:val="24"/>
          <w:highlight w:val="none"/>
        </w:rPr>
        <w:t>（3）</w:t>
      </w:r>
      <w:r>
        <w:rPr>
          <w:rFonts w:hint="default" w:ascii="Times New Roman" w:hAnsi="Times New Roman" w:cs="Times New Roman" w:eastAsiaTheme="minorEastAsia"/>
          <w:color w:val="auto"/>
          <w:sz w:val="24"/>
          <w:highlight w:val="none"/>
        </w:rPr>
        <w:t>过程互动</w:t>
      </w:r>
    </w:p>
    <w:p w14:paraId="7092C628">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4"/>
          <w:highlight w:val="none"/>
        </w:rPr>
        <w:t>评价过程中针对</w:t>
      </w:r>
      <w:r>
        <w:rPr>
          <w:rFonts w:hint="default" w:ascii="Times New Roman" w:hAnsi="Times New Roman" w:cs="Times New Roman" w:eastAsiaTheme="minorEastAsia"/>
          <w:color w:val="auto"/>
          <w:sz w:val="24"/>
          <w:highlight w:val="none"/>
          <w:lang w:eastAsia="zh-CN"/>
        </w:rPr>
        <w:t>岗云杉林景区</w:t>
      </w:r>
      <w:r>
        <w:rPr>
          <w:rFonts w:hint="default" w:ascii="Times New Roman" w:hAnsi="Times New Roman" w:cs="Times New Roman" w:eastAsiaTheme="minorEastAsia"/>
          <w:color w:val="auto"/>
          <w:sz w:val="24"/>
          <w:highlight w:val="none"/>
        </w:rPr>
        <w:t>规划方案的占地类型、功能定位、基础设施、开发时序等与规划编制部门进行互动，优化规划方案，提高景区规划实施的环境合理性。</w:t>
      </w:r>
    </w:p>
    <w:p w14:paraId="49C8F1D4">
      <w:pPr>
        <w:pStyle w:val="3"/>
        <w:spacing w:before="156" w:after="156"/>
        <w:rPr>
          <w:rFonts w:hint="default" w:ascii="Times New Roman" w:hAnsi="Times New Roman" w:cs="Times New Roman"/>
          <w:color w:val="auto"/>
          <w:highlight w:val="none"/>
        </w:rPr>
      </w:pPr>
      <w:bookmarkStart w:id="55" w:name="_Toc19993"/>
      <w:r>
        <w:rPr>
          <w:rFonts w:hint="default" w:ascii="Times New Roman" w:hAnsi="Times New Roman" w:cs="Times New Roman"/>
          <w:color w:val="auto"/>
          <w:highlight w:val="none"/>
        </w:rPr>
        <w:t>评价对象</w:t>
      </w:r>
      <w:bookmarkEnd w:id="55"/>
    </w:p>
    <w:p w14:paraId="3CF23140">
      <w:pPr>
        <w:pStyle w:val="140"/>
        <w:ind w:firstLine="480"/>
        <w:rPr>
          <w:rFonts w:hint="default" w:ascii="Times New Roman" w:hAnsi="Times New Roman" w:cs="Times New Roman"/>
          <w:color w:val="auto"/>
          <w:highlight w:val="none"/>
        </w:rPr>
      </w:pPr>
      <w:bookmarkStart w:id="56" w:name="_Hlk63347619"/>
      <w:r>
        <w:rPr>
          <w:rFonts w:hint="default" w:ascii="Times New Roman" w:hAnsi="Times New Roman" w:cs="Times New Roman"/>
          <w:color w:val="auto"/>
          <w:highlight w:val="none"/>
        </w:rPr>
        <w:t>本次评价对象为《</w:t>
      </w:r>
      <w:r>
        <w:rPr>
          <w:rFonts w:hint="default" w:ascii="Times New Roman" w:hAnsi="Times New Roman" w:cs="Times New Roman"/>
          <w:bCs/>
          <w:color w:val="auto"/>
          <w:szCs w:val="21"/>
          <w:highlight w:val="none"/>
          <w:lang w:val="en-US" w:eastAsia="zh-CN"/>
        </w:rPr>
        <w:t>岗云杉林</w:t>
      </w:r>
      <w:r>
        <w:rPr>
          <w:rFonts w:hint="default" w:ascii="Times New Roman" w:hAnsi="Times New Roman" w:cs="Times New Roman"/>
          <w:bCs/>
          <w:color w:val="auto"/>
          <w:szCs w:val="21"/>
          <w:highlight w:val="none"/>
          <w:lang w:val="en-US"/>
        </w:rPr>
        <w:t>旅游景区控制性详细规划</w:t>
      </w:r>
      <w:r>
        <w:rPr>
          <w:rFonts w:hint="default" w:ascii="Times New Roman" w:hAnsi="Times New Roman" w:cs="Times New Roman"/>
          <w:color w:val="auto"/>
          <w:highlight w:val="none"/>
        </w:rPr>
        <w:t>》确定的</w:t>
      </w:r>
      <w:r>
        <w:rPr>
          <w:rFonts w:hint="default" w:ascii="Times New Roman" w:hAnsi="Times New Roman" w:cs="Times New Roman"/>
          <w:color w:val="auto"/>
          <w:szCs w:val="21"/>
          <w:highlight w:val="none"/>
          <w:lang w:val="en-US" w:eastAsia="zh-CN"/>
        </w:rPr>
        <w:t>6.81</w:t>
      </w:r>
      <w:r>
        <w:rPr>
          <w:rFonts w:hint="default" w:ascii="Times New Roman" w:hAnsi="Times New Roman" w:cs="Times New Roman"/>
          <w:color w:val="auto"/>
          <w:szCs w:val="21"/>
          <w:highlight w:val="none"/>
          <w:lang w:eastAsia="zh-CN"/>
        </w:rPr>
        <w:t>km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规划</w:t>
      </w:r>
      <w:r>
        <w:rPr>
          <w:rFonts w:hint="default" w:ascii="Times New Roman" w:hAnsi="Times New Roman" w:cs="Times New Roman"/>
          <w:color w:val="auto"/>
          <w:highlight w:val="none"/>
        </w:rPr>
        <w:t>范围</w:t>
      </w:r>
      <w:r>
        <w:rPr>
          <w:rFonts w:hint="default" w:ascii="Times New Roman" w:hAnsi="Times New Roman" w:cs="Times New Roman"/>
          <w:color w:val="auto"/>
          <w:szCs w:val="21"/>
          <w:highlight w:val="none"/>
        </w:rPr>
        <w:t>。</w:t>
      </w:r>
    </w:p>
    <w:bookmarkEnd w:id="56"/>
    <w:p w14:paraId="325838EC">
      <w:pPr>
        <w:pStyle w:val="3"/>
        <w:spacing w:before="156" w:after="156"/>
        <w:rPr>
          <w:rFonts w:hint="default" w:ascii="Times New Roman" w:hAnsi="Times New Roman" w:cs="Times New Roman"/>
          <w:color w:val="auto"/>
          <w:highlight w:val="none"/>
        </w:rPr>
      </w:pPr>
      <w:bookmarkStart w:id="57" w:name="_Toc7561"/>
      <w:r>
        <w:rPr>
          <w:rFonts w:hint="default" w:ascii="Times New Roman" w:hAnsi="Times New Roman" w:cs="Times New Roman"/>
          <w:color w:val="auto"/>
          <w:highlight w:val="none"/>
        </w:rPr>
        <w:t>评价重点</w:t>
      </w:r>
      <w:bookmarkEnd w:id="57"/>
    </w:p>
    <w:p w14:paraId="7D8C72F3">
      <w:pPr>
        <w:pStyle w:val="402"/>
        <w:ind w:firstLine="480"/>
        <w:rPr>
          <w:rFonts w:hint="default" w:ascii="Times New Roman" w:hAnsi="Times New Roman" w:cs="Times New Roman"/>
          <w:color w:val="auto"/>
          <w:highlight w:val="none"/>
        </w:rPr>
      </w:pPr>
      <w:bookmarkStart w:id="58" w:name="_Hlk63347818"/>
      <w:r>
        <w:rPr>
          <w:rFonts w:hint="default" w:ascii="Times New Roman" w:hAnsi="Times New Roman" w:cs="Times New Roman"/>
          <w:color w:val="auto"/>
          <w:highlight w:val="none"/>
        </w:rPr>
        <w:t>本次评价将规划符合性和协调性分析、区域资源与环境承载力、规划实施的环境影响分析及优化调整建议作为评价重点。</w:t>
      </w:r>
    </w:p>
    <w:p w14:paraId="1022BD7B">
      <w:pPr>
        <w:pStyle w:val="402"/>
        <w:ind w:left="48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（1）规划符合性和协调性分析</w:t>
      </w:r>
    </w:p>
    <w:p w14:paraId="1FCBCC10">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本次《规划》与上层规划的相符性、与同层位规划的协调性分析。</w:t>
      </w:r>
    </w:p>
    <w:p w14:paraId="68603403">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（2）资源与环境承载力分析</w:t>
      </w:r>
    </w:p>
    <w:p w14:paraId="4DB84BC1">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在掌握区域环境特征、环境现状、发展规划等资料的基础上，对规划实施的水资源、土地资源承载力、能源承载力及水环境、大气环境容量进行分析，论证发展规模的合理性。</w:t>
      </w:r>
    </w:p>
    <w:p w14:paraId="323EFDD6">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（3）环境影响预测</w:t>
      </w:r>
    </w:p>
    <w:p w14:paraId="359CC299">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对规划实施可能产生的环境影响进行预测和评价，为规划的合理性论证提供依据。</w:t>
      </w:r>
    </w:p>
    <w:p w14:paraId="59E248D6">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（4）规划调整建议和减缓措施</w:t>
      </w:r>
    </w:p>
    <w:p w14:paraId="5911311A">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用地适宜性分析、环境承载力、环境影响方面分析论证开发区规划布局、规模的合理性，从用地布局、功能定位、环保设施规划等多层次提出规划调整建议，并针对规划实施产生的不利影响和现状存在的环境问题提出可行的减缓措施和改进措施。</w:t>
      </w:r>
    </w:p>
    <w:bookmarkEnd w:id="58"/>
    <w:p w14:paraId="039599DA">
      <w:pPr>
        <w:pStyle w:val="3"/>
        <w:spacing w:before="156" w:after="156"/>
        <w:rPr>
          <w:rFonts w:hint="default" w:ascii="Times New Roman" w:hAnsi="Times New Roman" w:cs="Times New Roman"/>
          <w:color w:val="auto"/>
          <w:highlight w:val="none"/>
        </w:rPr>
      </w:pPr>
      <w:bookmarkStart w:id="59" w:name="_Toc11021"/>
      <w:r>
        <w:rPr>
          <w:rFonts w:hint="default" w:ascii="Times New Roman" w:hAnsi="Times New Roman" w:cs="Times New Roman"/>
          <w:color w:val="auto"/>
          <w:highlight w:val="none"/>
        </w:rPr>
        <w:t>评价方法</w:t>
      </w:r>
      <w:bookmarkEnd w:id="59"/>
    </w:p>
    <w:p w14:paraId="1D3BE6C9">
      <w:pPr>
        <w:pStyle w:val="698"/>
        <w:rPr>
          <w:rFonts w:hint="default" w:ascii="Times New Roman" w:hAnsi="Times New Roman" w:cs="Times New Roman"/>
          <w:color w:val="auto"/>
          <w:highlight w:val="none"/>
        </w:rPr>
      </w:pPr>
      <w:bookmarkStart w:id="60" w:name="_Hlk63347843"/>
      <w:r>
        <w:rPr>
          <w:rFonts w:hint="default" w:ascii="Times New Roman" w:hAnsi="Times New Roman" w:cs="Times New Roman"/>
          <w:color w:val="auto"/>
          <w:highlight w:val="none"/>
        </w:rPr>
        <w:t>结合评价重点，以多学科理论与方法为指导，充分应用现有科研成果及相关资料、数据，拟采取的评价方法包括：资料调研、现场监测、核查表法、多因子分析法、叠图法、类比调查法、环境数学模型法等技术。</w:t>
      </w:r>
    </w:p>
    <w:bookmarkEnd w:id="60"/>
    <w:p w14:paraId="1E117567">
      <w:pPr>
        <w:pStyle w:val="3"/>
        <w:spacing w:before="156" w:after="156"/>
        <w:rPr>
          <w:rFonts w:hint="default" w:ascii="Times New Roman" w:hAnsi="Times New Roman" w:cs="Times New Roman"/>
          <w:color w:val="auto"/>
          <w:highlight w:val="none"/>
        </w:rPr>
      </w:pPr>
      <w:bookmarkStart w:id="61" w:name="_Toc2233"/>
      <w:r>
        <w:rPr>
          <w:rFonts w:hint="default" w:ascii="Times New Roman" w:hAnsi="Times New Roman" w:cs="Times New Roman"/>
          <w:color w:val="auto"/>
          <w:highlight w:val="none"/>
        </w:rPr>
        <w:t>评价范围</w:t>
      </w:r>
      <w:bookmarkEnd w:id="61"/>
    </w:p>
    <w:p w14:paraId="1ED1B5BB">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时间维度</w:t>
      </w:r>
    </w:p>
    <w:p w14:paraId="6E357B15">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（1）规划时段</w:t>
      </w:r>
    </w:p>
    <w:p w14:paraId="14BFBEA8">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本次规划期限为2025年-2035年。</w:t>
      </w:r>
    </w:p>
    <w:p w14:paraId="7C1B956A">
      <w:pPr>
        <w:pStyle w:val="402"/>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近期：2025-2027年</w:t>
      </w:r>
      <w:r>
        <w:rPr>
          <w:rFonts w:hint="default" w:ascii="Times New Roman" w:hAnsi="Times New Roman" w:cs="Times New Roman"/>
          <w:color w:val="auto"/>
          <w:highlight w:val="none"/>
          <w:lang w:eastAsia="zh-CN"/>
        </w:rPr>
        <w:t>；</w:t>
      </w:r>
    </w:p>
    <w:p w14:paraId="31182171">
      <w:pPr>
        <w:pStyle w:val="402"/>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中期2027-2030年</w:t>
      </w:r>
      <w:r>
        <w:rPr>
          <w:rFonts w:hint="default" w:ascii="Times New Roman" w:hAnsi="Times New Roman" w:cs="Times New Roman"/>
          <w:color w:val="auto"/>
          <w:highlight w:val="none"/>
          <w:lang w:eastAsia="zh-CN"/>
        </w:rPr>
        <w:t>；</w:t>
      </w:r>
    </w:p>
    <w:p w14:paraId="21CB79A2">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远期：2031-2035年。</w:t>
      </w:r>
    </w:p>
    <w:p w14:paraId="16060E93">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（2）评价时段</w:t>
      </w:r>
    </w:p>
    <w:p w14:paraId="0169E543">
      <w:pPr>
        <w:pStyle w:val="402"/>
        <w:ind w:firstLine="480"/>
        <w:rPr>
          <w:rFonts w:hint="default" w:ascii="Times New Roman" w:hAnsi="Times New Roman" w:cs="Times New Roman"/>
          <w:color w:val="auto"/>
          <w:highlight w:val="none"/>
        </w:rPr>
      </w:pPr>
      <w:bookmarkStart w:id="62" w:name="_Hlk63347763"/>
      <w:r>
        <w:rPr>
          <w:rFonts w:hint="default" w:ascii="Times New Roman" w:hAnsi="Times New Roman" w:cs="Times New Roman"/>
          <w:color w:val="auto"/>
          <w:highlight w:val="none"/>
        </w:rPr>
        <w:t>目前为202</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年，结合景区发展情况，本次评价确定规划评价时段如下：</w:t>
      </w:r>
    </w:p>
    <w:p w14:paraId="78CF2CCB">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环境影响回顾性评</w:t>
      </w:r>
      <w:r>
        <w:rPr>
          <w:rFonts w:hint="default" w:ascii="Times New Roman" w:hAnsi="Times New Roman" w:cs="Times New Roman"/>
          <w:color w:val="auto"/>
          <w:highlight w:val="none"/>
        </w:rPr>
        <w:t>价：20</w:t>
      </w:r>
      <w:r>
        <w:rPr>
          <w:rFonts w:hint="default" w:ascii="Times New Roman" w:hAnsi="Times New Roman" w:cs="Times New Roman"/>
          <w:color w:val="auto"/>
          <w:highlight w:val="none"/>
          <w:lang w:val="en-US" w:eastAsia="zh-CN"/>
        </w:rPr>
        <w:t>22~2024年</w:t>
      </w:r>
      <w:r>
        <w:rPr>
          <w:rFonts w:hint="default" w:ascii="Times New Roman" w:hAnsi="Times New Roman" w:cs="Times New Roman"/>
          <w:color w:val="auto"/>
          <w:highlight w:val="none"/>
        </w:rPr>
        <w:t>；</w:t>
      </w:r>
    </w:p>
    <w:p w14:paraId="3EF65A9D">
      <w:pPr>
        <w:pStyle w:val="40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规划评价时段：202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35</w:t>
      </w:r>
      <w:r>
        <w:rPr>
          <w:rFonts w:hint="default" w:ascii="Times New Roman" w:hAnsi="Times New Roman" w:cs="Times New Roman"/>
          <w:color w:val="auto"/>
          <w:highlight w:val="none"/>
        </w:rPr>
        <w:t>年。</w:t>
      </w:r>
    </w:p>
    <w:bookmarkEnd w:id="62"/>
    <w:p w14:paraId="0BFEFE0C">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空间尺度</w:t>
      </w:r>
    </w:p>
    <w:p w14:paraId="5064D100">
      <w:pPr>
        <w:autoSpaceDE w:val="0"/>
        <w:autoSpaceDN w:val="0"/>
        <w:adjustRightInd w:val="0"/>
        <w:spacing w:line="360" w:lineRule="auto"/>
        <w:ind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w:t>
      </w:r>
      <w:r>
        <w:rPr>
          <w:rFonts w:hint="default" w:ascii="Times New Roman" w:hAnsi="Times New Roman" w:cs="Times New Roman"/>
          <w:color w:val="auto"/>
          <w:kern w:val="0"/>
          <w:sz w:val="24"/>
          <w:highlight w:val="none"/>
          <w:lang w:eastAsia="zh-CN"/>
        </w:rPr>
        <w:t>岗云杉林景区</w:t>
      </w:r>
      <w:r>
        <w:rPr>
          <w:rFonts w:hint="default" w:ascii="Times New Roman" w:hAnsi="Times New Roman" w:cs="Times New Roman"/>
          <w:color w:val="auto"/>
          <w:kern w:val="0"/>
          <w:sz w:val="24"/>
          <w:highlight w:val="none"/>
        </w:rPr>
        <w:t>规划范围</w:t>
      </w:r>
      <w:r>
        <w:rPr>
          <w:rFonts w:hint="default" w:ascii="Times New Roman" w:hAnsi="Times New Roman" w:cs="Times New Roman"/>
          <w:color w:val="auto"/>
          <w:kern w:val="0"/>
          <w:sz w:val="24"/>
          <w:highlight w:val="none"/>
          <w:lang w:val="en-US" w:eastAsia="zh-CN"/>
        </w:rPr>
        <w:t>6.81</w:t>
      </w:r>
      <w:r>
        <w:rPr>
          <w:rFonts w:hint="default" w:ascii="Times New Roman" w:hAnsi="Times New Roman" w:cs="Times New Roman"/>
          <w:color w:val="auto"/>
          <w:kern w:val="0"/>
          <w:sz w:val="24"/>
          <w:highlight w:val="none"/>
          <w:lang w:eastAsia="zh-CN"/>
        </w:rPr>
        <w:t>km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，充分考虑各环境要素的特征及规划实施可能造成的环境影响，确定本次评价各环境要素评价范围见表1.7-1。</w:t>
      </w:r>
    </w:p>
    <w:p w14:paraId="46B2C125">
      <w:pPr>
        <w:pStyle w:val="1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表1.7-1  评价范围一览表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5"/>
        <w:gridCol w:w="3631"/>
        <w:gridCol w:w="4336"/>
      </w:tblGrid>
      <w:tr w14:paraId="3CE9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09" w:type="pct"/>
            <w:tcMar>
              <w:left w:w="57" w:type="dxa"/>
              <w:right w:w="57" w:type="dxa"/>
            </w:tcMar>
          </w:tcPr>
          <w:p w14:paraId="52A8819B">
            <w:pPr>
              <w:pStyle w:val="118"/>
              <w:adjustRightInd/>
              <w:rPr>
                <w:rFonts w:hint="default" w:ascii="Times New Roman" w:hAnsi="Times New Roman" w:cs="Times New Roman"/>
                <w:bCs/>
                <w:color w:val="auto"/>
                <w:highlight w:val="none"/>
              </w:rPr>
            </w:pPr>
            <w:bookmarkStart w:id="63" w:name="_Hlk82860094"/>
            <w:r>
              <w:rPr>
                <w:rFonts w:hint="default" w:ascii="Times New Roman" w:hAnsi="Times New Roman" w:cs="Times New Roman"/>
                <w:bCs/>
                <w:color w:val="auto"/>
                <w:highlight w:val="none"/>
              </w:rPr>
              <w:t>评价要素</w:t>
            </w:r>
          </w:p>
        </w:tc>
        <w:tc>
          <w:tcPr>
            <w:tcW w:w="2001" w:type="pct"/>
            <w:tcMar>
              <w:left w:w="57" w:type="dxa"/>
              <w:right w:w="57" w:type="dxa"/>
            </w:tcMar>
            <w:vAlign w:val="center"/>
          </w:tcPr>
          <w:p w14:paraId="2580F6FE">
            <w:pPr>
              <w:pStyle w:val="118"/>
              <w:adjustRightInd/>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评价范围</w:t>
            </w:r>
          </w:p>
        </w:tc>
        <w:tc>
          <w:tcPr>
            <w:tcW w:w="2390" w:type="pct"/>
            <w:shd w:val="clear" w:color="auto" w:fill="auto"/>
            <w:tcMar>
              <w:left w:w="57" w:type="dxa"/>
              <w:right w:w="57" w:type="dxa"/>
            </w:tcMar>
            <w:vAlign w:val="center"/>
          </w:tcPr>
          <w:p w14:paraId="5F904663">
            <w:pPr>
              <w:pStyle w:val="118"/>
              <w:adjustRightInd/>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依据说明</w:t>
            </w:r>
          </w:p>
        </w:tc>
      </w:tr>
      <w:tr w14:paraId="2A6A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09" w:type="pct"/>
            <w:tcMar>
              <w:left w:w="57" w:type="dxa"/>
              <w:right w:w="57" w:type="dxa"/>
            </w:tcMar>
            <w:vAlign w:val="center"/>
          </w:tcPr>
          <w:p w14:paraId="59AA1128">
            <w:pPr>
              <w:pStyle w:val="118"/>
              <w:adjustRightInd/>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大气环境</w:t>
            </w:r>
          </w:p>
        </w:tc>
        <w:tc>
          <w:tcPr>
            <w:tcW w:w="2001" w:type="pct"/>
            <w:tcMar>
              <w:left w:w="57" w:type="dxa"/>
              <w:right w:w="57" w:type="dxa"/>
            </w:tcMar>
            <w:vAlign w:val="center"/>
          </w:tcPr>
          <w:p w14:paraId="6C611780">
            <w:pPr>
              <w:pStyle w:val="118"/>
              <w:adjustRightInd/>
              <w:jc w:val="lef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本次主要调查规划区范围</w:t>
            </w:r>
          </w:p>
        </w:tc>
        <w:tc>
          <w:tcPr>
            <w:tcW w:w="2390" w:type="pct"/>
            <w:shd w:val="clear" w:color="auto" w:fill="auto"/>
            <w:tcMar>
              <w:left w:w="57" w:type="dxa"/>
              <w:right w:w="57" w:type="dxa"/>
            </w:tcMar>
            <w:vAlign w:val="center"/>
          </w:tcPr>
          <w:p w14:paraId="63CF7FE3">
            <w:pPr>
              <w:pStyle w:val="118"/>
              <w:adjustRightInd/>
              <w:jc w:val="lef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规划不涉及工业项目，液化石油气燃烧废气、餐饮油烟等排放量较小，影响区域有限；施工扬尘主要影响施工场地下风向约200m内区域</w:t>
            </w:r>
          </w:p>
        </w:tc>
      </w:tr>
      <w:tr w14:paraId="09DF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09" w:type="pct"/>
            <w:tcMar>
              <w:left w:w="57" w:type="dxa"/>
              <w:right w:w="57" w:type="dxa"/>
            </w:tcMar>
            <w:vAlign w:val="center"/>
          </w:tcPr>
          <w:p w14:paraId="3FB55F87">
            <w:pPr>
              <w:pStyle w:val="118"/>
              <w:adjustRightInd/>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w:t>
            </w:r>
          </w:p>
          <w:p w14:paraId="2C1E818E">
            <w:pPr>
              <w:pStyle w:val="118"/>
              <w:adjustRightInd/>
              <w:rPr>
                <w:rFonts w:hint="default" w:ascii="Times New Roman" w:hAnsi="Times New Roman" w:cs="Times New Roman"/>
                <w:color w:val="auto"/>
                <w:highlight w:val="none"/>
              </w:rPr>
            </w:pPr>
            <w:r>
              <w:rPr>
                <w:rFonts w:hint="default" w:ascii="Times New Roman" w:hAnsi="Times New Roman" w:cs="Times New Roman"/>
                <w:color w:val="auto"/>
                <w:highlight w:val="none"/>
              </w:rPr>
              <w:t>环境</w:t>
            </w:r>
          </w:p>
        </w:tc>
        <w:tc>
          <w:tcPr>
            <w:tcW w:w="2001" w:type="pct"/>
            <w:tcMar>
              <w:left w:w="57" w:type="dxa"/>
              <w:right w:w="57" w:type="dxa"/>
            </w:tcMar>
            <w:vAlign w:val="center"/>
          </w:tcPr>
          <w:p w14:paraId="295CF150">
            <w:pPr>
              <w:pStyle w:val="118"/>
              <w:adjustRightInd/>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本次主要考虑污水处理</w:t>
            </w:r>
            <w:r>
              <w:rPr>
                <w:rFonts w:hint="default" w:ascii="Times New Roman" w:hAnsi="Times New Roman" w:cs="Times New Roman"/>
                <w:color w:val="auto"/>
                <w:highlight w:val="none"/>
                <w:lang w:val="en-US" w:eastAsia="zh-CN"/>
              </w:rPr>
              <w:t>处置可行性分析</w:t>
            </w:r>
            <w:r>
              <w:rPr>
                <w:rFonts w:hint="default" w:ascii="Times New Roman" w:hAnsi="Times New Roman" w:cs="Times New Roman"/>
                <w:color w:val="auto"/>
                <w:highlight w:val="none"/>
              </w:rPr>
              <w:t>，调查景区</w:t>
            </w:r>
            <w:r>
              <w:rPr>
                <w:rFonts w:hint="default" w:ascii="Times New Roman" w:hAnsi="Times New Roman" w:cs="Times New Roman"/>
                <w:color w:val="auto"/>
                <w:highlight w:val="none"/>
                <w:lang w:val="en-US" w:eastAsia="zh-CN"/>
              </w:rPr>
              <w:t>北</w:t>
            </w:r>
            <w:r>
              <w:rPr>
                <w:rFonts w:hint="default" w:ascii="Times New Roman" w:hAnsi="Times New Roman" w:cs="Times New Roman"/>
                <w:color w:val="auto"/>
                <w:highlight w:val="none"/>
              </w:rPr>
              <w:t>侧</w:t>
            </w:r>
            <w:r>
              <w:rPr>
                <w:rFonts w:hint="default" w:ascii="Times New Roman" w:hAnsi="Times New Roman" w:cs="Times New Roman"/>
                <w:color w:val="auto"/>
                <w:highlight w:val="none"/>
                <w:lang w:eastAsia="zh-CN"/>
              </w:rPr>
              <w:t>帕隆藏布</w:t>
            </w:r>
            <w:r>
              <w:rPr>
                <w:rFonts w:hint="default" w:ascii="Times New Roman" w:hAnsi="Times New Roman" w:cs="Times New Roman"/>
                <w:color w:val="auto"/>
                <w:highlight w:val="none"/>
              </w:rPr>
              <w:t>上游500m至下游1000m的范围</w:t>
            </w:r>
          </w:p>
        </w:tc>
        <w:tc>
          <w:tcPr>
            <w:tcW w:w="2390" w:type="pct"/>
            <w:shd w:val="clear" w:color="auto" w:fill="auto"/>
            <w:tcMar>
              <w:left w:w="57" w:type="dxa"/>
              <w:right w:w="57" w:type="dxa"/>
            </w:tcMar>
            <w:vAlign w:val="center"/>
          </w:tcPr>
          <w:p w14:paraId="6DA263E6">
            <w:pPr>
              <w:pStyle w:val="118"/>
              <w:adjustRightInd/>
              <w:jc w:val="left"/>
              <w:rPr>
                <w:rFonts w:hint="default" w:ascii="Times New Roman" w:hAnsi="Times New Roman" w:eastAsia="宋体" w:cs="Times New Roman"/>
                <w:color w:val="auto"/>
                <w:highlight w:val="none"/>
                <w:lang w:val="en-US" w:eastAsia="zh-CN"/>
              </w:rPr>
            </w:pPr>
            <w:r>
              <w:rPr>
                <w:rFonts w:hint="default" w:ascii="Times New Roman" w:hAnsi="Times New Roman" w:cs="Times New Roman"/>
                <w:bCs/>
                <w:color w:val="auto"/>
                <w:highlight w:val="none"/>
                <w:lang w:val="en-US" w:eastAsia="zh-CN"/>
              </w:rPr>
              <w:t>污水禁止排入地表水体</w:t>
            </w:r>
          </w:p>
        </w:tc>
      </w:tr>
      <w:tr w14:paraId="5A1F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09" w:type="pct"/>
            <w:tcMar>
              <w:left w:w="57" w:type="dxa"/>
              <w:right w:w="57" w:type="dxa"/>
            </w:tcMar>
            <w:vAlign w:val="center"/>
          </w:tcPr>
          <w:p w14:paraId="5A6F8865">
            <w:pPr>
              <w:pStyle w:val="118"/>
              <w:adjustRightInd/>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w:t>
            </w:r>
          </w:p>
          <w:p w14:paraId="03D066DB">
            <w:pPr>
              <w:pStyle w:val="118"/>
              <w:adjustRightInd/>
              <w:rPr>
                <w:rFonts w:hint="default" w:ascii="Times New Roman" w:hAnsi="Times New Roman" w:cs="Times New Roman"/>
                <w:color w:val="auto"/>
                <w:highlight w:val="none"/>
              </w:rPr>
            </w:pPr>
            <w:r>
              <w:rPr>
                <w:rFonts w:hint="default" w:ascii="Times New Roman" w:hAnsi="Times New Roman" w:cs="Times New Roman"/>
                <w:color w:val="auto"/>
                <w:highlight w:val="none"/>
              </w:rPr>
              <w:t>环境</w:t>
            </w:r>
          </w:p>
        </w:tc>
        <w:tc>
          <w:tcPr>
            <w:tcW w:w="2001" w:type="pct"/>
            <w:tcMar>
              <w:left w:w="57" w:type="dxa"/>
              <w:right w:w="57" w:type="dxa"/>
            </w:tcMar>
            <w:vAlign w:val="center"/>
          </w:tcPr>
          <w:p w14:paraId="6D06A311">
            <w:pPr>
              <w:pStyle w:val="118"/>
              <w:adjustRightInd/>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本次主要调查北侧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东侧、西侧</w:t>
            </w:r>
            <w:r>
              <w:rPr>
                <w:rFonts w:hint="default" w:ascii="Times New Roman" w:hAnsi="Times New Roman" w:cs="Times New Roman"/>
                <w:color w:val="auto"/>
                <w:highlight w:val="none"/>
              </w:rPr>
              <w:t>以</w:t>
            </w:r>
            <w:r>
              <w:rPr>
                <w:rFonts w:hint="default" w:ascii="Times New Roman" w:hAnsi="Times New Roman" w:cs="Times New Roman"/>
                <w:color w:val="auto"/>
                <w:highlight w:val="none"/>
                <w:lang w:eastAsia="zh-CN"/>
              </w:rPr>
              <w:t>帕隆藏布</w:t>
            </w:r>
            <w:r>
              <w:rPr>
                <w:rFonts w:hint="default" w:ascii="Times New Roman" w:hAnsi="Times New Roman" w:cs="Times New Roman"/>
                <w:color w:val="auto"/>
                <w:highlight w:val="none"/>
              </w:rPr>
              <w:t>为界；</w:t>
            </w:r>
            <w:r>
              <w:rPr>
                <w:rFonts w:hint="default" w:ascii="Times New Roman" w:hAnsi="Times New Roman" w:cs="Times New Roman"/>
                <w:color w:val="auto"/>
                <w:highlight w:val="none"/>
                <w:lang w:val="en-US" w:eastAsia="zh-CN"/>
              </w:rPr>
              <w:t>南</w:t>
            </w:r>
            <w:r>
              <w:rPr>
                <w:rFonts w:hint="default" w:ascii="Times New Roman" w:hAnsi="Times New Roman" w:cs="Times New Roman"/>
                <w:color w:val="auto"/>
                <w:highlight w:val="none"/>
              </w:rPr>
              <w:t>侧以规划范围旁山脊为界</w:t>
            </w:r>
          </w:p>
        </w:tc>
        <w:tc>
          <w:tcPr>
            <w:tcW w:w="2390" w:type="pct"/>
            <w:shd w:val="clear" w:color="auto" w:fill="auto"/>
            <w:tcMar>
              <w:left w:w="57" w:type="dxa"/>
              <w:right w:w="57" w:type="dxa"/>
            </w:tcMar>
            <w:vAlign w:val="center"/>
          </w:tcPr>
          <w:p w14:paraId="32AAB644">
            <w:pPr>
              <w:pStyle w:val="118"/>
              <w:adjustRightInd/>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以规划景区及周边水文地质单位为基准</w:t>
            </w:r>
          </w:p>
        </w:tc>
      </w:tr>
      <w:tr w14:paraId="1BF7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09" w:type="pct"/>
            <w:tcMar>
              <w:left w:w="57" w:type="dxa"/>
              <w:right w:w="57" w:type="dxa"/>
            </w:tcMar>
            <w:vAlign w:val="center"/>
          </w:tcPr>
          <w:p w14:paraId="78632E2A">
            <w:pPr>
              <w:pStyle w:val="118"/>
              <w:adjustRightInd/>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tc>
        <w:tc>
          <w:tcPr>
            <w:tcW w:w="2001" w:type="pct"/>
            <w:tcMar>
              <w:left w:w="57" w:type="dxa"/>
              <w:right w:w="57" w:type="dxa"/>
            </w:tcMar>
            <w:vAlign w:val="center"/>
          </w:tcPr>
          <w:p w14:paraId="0FEF0104">
            <w:pPr>
              <w:pStyle w:val="118"/>
              <w:adjustRightInd/>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景区规划边界外扩200m区域</w:t>
            </w:r>
          </w:p>
        </w:tc>
        <w:tc>
          <w:tcPr>
            <w:tcW w:w="2390" w:type="pct"/>
            <w:shd w:val="clear" w:color="auto" w:fill="auto"/>
            <w:tcMar>
              <w:left w:w="57" w:type="dxa"/>
              <w:right w:w="57" w:type="dxa"/>
            </w:tcMar>
            <w:vAlign w:val="center"/>
          </w:tcPr>
          <w:p w14:paraId="5F069E63">
            <w:pPr>
              <w:pStyle w:val="118"/>
              <w:adjustRightInd/>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社会生活噪声、交通噪声等影响范围主要在景区范围内；施工噪声主要影响施工场地周边200m区域</w:t>
            </w:r>
          </w:p>
        </w:tc>
      </w:tr>
      <w:tr w14:paraId="1B97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09" w:type="pct"/>
            <w:tcMar>
              <w:left w:w="57" w:type="dxa"/>
              <w:right w:w="57" w:type="dxa"/>
            </w:tcMar>
            <w:vAlign w:val="center"/>
          </w:tcPr>
          <w:p w14:paraId="75BAFB93">
            <w:pPr>
              <w:pStyle w:val="118"/>
              <w:adjustRightInd/>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w:t>
            </w:r>
          </w:p>
        </w:tc>
        <w:tc>
          <w:tcPr>
            <w:tcW w:w="2001" w:type="pct"/>
            <w:tcMar>
              <w:left w:w="57" w:type="dxa"/>
              <w:right w:w="57" w:type="dxa"/>
            </w:tcMar>
            <w:vAlign w:val="center"/>
          </w:tcPr>
          <w:p w14:paraId="21523E06">
            <w:pPr>
              <w:pStyle w:val="118"/>
              <w:adjustRightInd/>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本次主要调查景区规划占地范围</w:t>
            </w:r>
          </w:p>
        </w:tc>
        <w:tc>
          <w:tcPr>
            <w:tcW w:w="2390" w:type="pct"/>
            <w:shd w:val="clear" w:color="auto" w:fill="auto"/>
            <w:tcMar>
              <w:left w:w="57" w:type="dxa"/>
              <w:right w:w="57" w:type="dxa"/>
            </w:tcMar>
            <w:vAlign w:val="center"/>
          </w:tcPr>
          <w:p w14:paraId="6B223D53">
            <w:pPr>
              <w:pStyle w:val="118"/>
              <w:adjustRightInd/>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规划以旅游业为主导产业，没有工业项目</w:t>
            </w:r>
          </w:p>
        </w:tc>
      </w:tr>
      <w:tr w14:paraId="1F83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09" w:type="pct"/>
            <w:tcMar>
              <w:left w:w="57" w:type="dxa"/>
              <w:right w:w="57" w:type="dxa"/>
            </w:tcMar>
            <w:vAlign w:val="center"/>
          </w:tcPr>
          <w:p w14:paraId="20423CA3">
            <w:pPr>
              <w:pStyle w:val="118"/>
              <w:adjustRightInd/>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w:t>
            </w:r>
          </w:p>
        </w:tc>
        <w:tc>
          <w:tcPr>
            <w:tcW w:w="2001" w:type="pct"/>
            <w:tcMar>
              <w:left w:w="57" w:type="dxa"/>
              <w:right w:w="57" w:type="dxa"/>
            </w:tcMar>
            <w:vAlign w:val="center"/>
          </w:tcPr>
          <w:p w14:paraId="281CE9EC">
            <w:pPr>
              <w:pStyle w:val="118"/>
              <w:adjustRightInd/>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规划区边界外扩</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00m</w:t>
            </w:r>
          </w:p>
        </w:tc>
        <w:tc>
          <w:tcPr>
            <w:tcW w:w="2390" w:type="pct"/>
            <w:shd w:val="clear" w:color="auto" w:fill="auto"/>
            <w:tcMar>
              <w:left w:w="57" w:type="dxa"/>
              <w:right w:w="57" w:type="dxa"/>
            </w:tcMar>
            <w:vAlign w:val="center"/>
          </w:tcPr>
          <w:p w14:paraId="4C2AC2E4">
            <w:pPr>
              <w:pStyle w:val="118"/>
              <w:adjustRightInd/>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w:t>
            </w:r>
            <w:r>
              <w:rPr>
                <w:rFonts w:hint="default" w:ascii="Times New Roman" w:hAnsi="Times New Roman" w:cs="Times New Roman"/>
                <w:color w:val="auto"/>
                <w:highlight w:val="none"/>
                <w:lang w:val="en-US" w:eastAsia="zh-CN"/>
              </w:rPr>
              <w:t>部分</w:t>
            </w:r>
            <w:r>
              <w:rPr>
                <w:rFonts w:hint="default" w:ascii="Times New Roman" w:hAnsi="Times New Roman" w:cs="Times New Roman"/>
                <w:color w:val="auto"/>
                <w:highlight w:val="none"/>
              </w:rPr>
              <w:t>位于</w:t>
            </w:r>
            <w:r>
              <w:rPr>
                <w:rFonts w:hint="default" w:ascii="Times New Roman" w:hAnsi="Times New Roman" w:cs="Times New Roman"/>
                <w:color w:val="auto"/>
                <w:highlight w:val="none"/>
                <w:lang w:eastAsia="zh-CN"/>
              </w:rPr>
              <w:t>雅鲁藏布大峡谷国家级自然保护区、西藏嘎朗国家湿地公园、生态保护红线</w:t>
            </w:r>
            <w:r>
              <w:rPr>
                <w:rFonts w:hint="default" w:ascii="Times New Roman" w:hAnsi="Times New Roman" w:cs="Times New Roman"/>
                <w:color w:val="auto"/>
                <w:highlight w:val="none"/>
              </w:rPr>
              <w:t>内</w:t>
            </w:r>
          </w:p>
        </w:tc>
      </w:tr>
      <w:bookmarkEnd w:id="63"/>
    </w:tbl>
    <w:p w14:paraId="187B6555">
      <w:pPr>
        <w:pStyle w:val="3"/>
        <w:spacing w:before="156" w:after="156"/>
        <w:rPr>
          <w:rFonts w:hint="default" w:ascii="Times New Roman" w:hAnsi="Times New Roman" w:cs="Times New Roman"/>
          <w:color w:val="auto"/>
          <w:highlight w:val="none"/>
        </w:rPr>
      </w:pPr>
      <w:bookmarkStart w:id="64" w:name="_Toc12284"/>
      <w:r>
        <w:rPr>
          <w:rFonts w:hint="default" w:ascii="Times New Roman" w:hAnsi="Times New Roman" w:cs="Times New Roman"/>
          <w:color w:val="auto"/>
          <w:highlight w:val="none"/>
        </w:rPr>
        <w:t>环境功能区划</w:t>
      </w:r>
      <w:bookmarkEnd w:id="64"/>
    </w:p>
    <w:p w14:paraId="50EB2FD1">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p w14:paraId="699638C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规划区</w:t>
      </w:r>
      <w:r>
        <w:rPr>
          <w:rFonts w:hint="eastAsia" w:cs="Times New Roman"/>
          <w:color w:val="auto"/>
          <w:sz w:val="24"/>
          <w:highlight w:val="none"/>
          <w:lang w:val="en-US" w:eastAsia="zh-CN"/>
        </w:rPr>
        <w:t>主要</w:t>
      </w:r>
      <w:r>
        <w:rPr>
          <w:rFonts w:hint="default" w:ascii="Times New Roman" w:hAnsi="Times New Roman" w:cs="Times New Roman"/>
          <w:color w:val="auto"/>
          <w:sz w:val="24"/>
          <w:highlight w:val="none"/>
          <w:lang w:eastAsia="zh-CN"/>
        </w:rPr>
        <w:t>位于雅鲁藏布大峡谷国家级自然保护区</w:t>
      </w:r>
      <w:r>
        <w:rPr>
          <w:rFonts w:hint="default" w:ascii="Times New Roman" w:hAnsi="Times New Roman" w:cs="Times New Roman"/>
          <w:color w:val="auto"/>
          <w:kern w:val="0"/>
          <w:sz w:val="24"/>
          <w:highlight w:val="none"/>
          <w:lang w:eastAsia="zh-CN"/>
        </w:rPr>
        <w:t>、西藏嘎朗国家湿地公园、生态保护红线</w:t>
      </w:r>
      <w:r>
        <w:rPr>
          <w:rFonts w:hint="default" w:ascii="Times New Roman" w:hAnsi="Times New Roman" w:cs="Times New Roman"/>
          <w:color w:val="auto"/>
          <w:kern w:val="0"/>
          <w:sz w:val="24"/>
          <w:highlight w:val="none"/>
        </w:rPr>
        <w:t>内，</w:t>
      </w:r>
      <w:r>
        <w:rPr>
          <w:rFonts w:hint="default" w:ascii="Times New Roman" w:hAnsi="Times New Roman" w:cs="Times New Roman"/>
          <w:color w:val="auto"/>
          <w:sz w:val="24"/>
          <w:highlight w:val="none"/>
        </w:rPr>
        <w:t>所在区域未划定大气环境功能区划。根据《环境空气质量功能区划分原则与技术方法》（HJ14-1996）及《环境空气质量标准》（GB3095-20</w:t>
      </w:r>
      <w:r>
        <w:rPr>
          <w:rFonts w:hint="default" w:ascii="Times New Roman" w:hAnsi="Times New Roman" w:cs="Times New Roman"/>
          <w:color w:val="auto"/>
          <w:sz w:val="24"/>
          <w:highlight w:val="none"/>
          <w:lang w:val="en-US" w:eastAsia="zh-CN"/>
        </w:rPr>
        <w:t>26</w:t>
      </w:r>
      <w:r>
        <w:rPr>
          <w:rFonts w:hint="default" w:ascii="Times New Roman" w:hAnsi="Times New Roman" w:cs="Times New Roman"/>
          <w:color w:val="auto"/>
          <w:sz w:val="24"/>
          <w:highlight w:val="none"/>
        </w:rPr>
        <w:t>）中功能区的分类依据，确定大气环境功能区为一类区。</w:t>
      </w:r>
    </w:p>
    <w:p w14:paraId="430CC139">
      <w:pPr>
        <w:pStyle w:val="4"/>
        <w:spacing w:before="156" w:after="156"/>
        <w:rPr>
          <w:rFonts w:hint="default" w:ascii="Times New Roman" w:hAnsi="Times New Roman" w:cs="Times New Roman"/>
          <w:color w:val="auto"/>
          <w:highlight w:val="none"/>
        </w:rPr>
      </w:pPr>
      <w:bookmarkStart w:id="65" w:name="_Toc9092644"/>
      <w:r>
        <w:rPr>
          <w:rFonts w:hint="default" w:ascii="Times New Roman" w:hAnsi="Times New Roman" w:cs="Times New Roman"/>
          <w:color w:val="auto"/>
          <w:highlight w:val="none"/>
        </w:rPr>
        <w:t>地表水</w:t>
      </w:r>
      <w:bookmarkEnd w:id="65"/>
      <w:r>
        <w:rPr>
          <w:rFonts w:hint="default" w:ascii="Times New Roman" w:hAnsi="Times New Roman" w:cs="Times New Roman"/>
          <w:color w:val="auto"/>
          <w:highlight w:val="none"/>
        </w:rPr>
        <w:t>环境</w:t>
      </w:r>
    </w:p>
    <w:p w14:paraId="5B5D718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根据《全国重要江河湖泊水功能区划手册》</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规划</w:t>
      </w:r>
      <w:r>
        <w:rPr>
          <w:rFonts w:hint="default" w:ascii="Times New Roman" w:hAnsi="Times New Roman" w:cs="Times New Roman"/>
          <w:color w:val="auto"/>
          <w:sz w:val="24"/>
          <w:highlight w:val="none"/>
          <w:lang w:val="en-US" w:eastAsia="zh-CN"/>
        </w:rPr>
        <w:t>区北侧为帕隆藏布，规划范围内有数条帕隆藏布支沟，</w:t>
      </w:r>
      <w:r>
        <w:rPr>
          <w:rFonts w:hint="default" w:ascii="Times New Roman" w:hAnsi="Times New Roman" w:cs="Times New Roman"/>
          <w:color w:val="auto"/>
          <w:sz w:val="24"/>
          <w:highlight w:val="none"/>
          <w:lang w:eastAsia="zh-CN"/>
        </w:rPr>
        <w:t>规划区部分位于雅鲁藏布大峡谷国家级自然保护区</w:t>
      </w:r>
      <w:r>
        <w:rPr>
          <w:rFonts w:hint="default" w:ascii="Times New Roman" w:hAnsi="Times New Roman" w:cs="Times New Roman"/>
          <w:color w:val="auto"/>
          <w:kern w:val="0"/>
          <w:sz w:val="24"/>
          <w:highlight w:val="none"/>
          <w:lang w:eastAsia="zh-CN"/>
        </w:rPr>
        <w:t>、西藏嘎朗国家湿地公园、生态保护红线</w:t>
      </w:r>
      <w:r>
        <w:rPr>
          <w:rFonts w:hint="default" w:ascii="Times New Roman" w:hAnsi="Times New Roman" w:cs="Times New Roman"/>
          <w:color w:val="auto"/>
          <w:kern w:val="0"/>
          <w:sz w:val="24"/>
          <w:highlight w:val="none"/>
        </w:rPr>
        <w:t>内</w:t>
      </w:r>
      <w:r>
        <w:rPr>
          <w:rFonts w:hint="default" w:ascii="Times New Roman" w:hAnsi="Times New Roman" w:cs="Times New Roman"/>
          <w:color w:val="auto"/>
          <w:sz w:val="24"/>
          <w:highlight w:val="none"/>
        </w:rPr>
        <w:t>，执行《地表水环境质量标准》（GB3838-2002）</w:t>
      </w:r>
      <w:r>
        <w:rPr>
          <w:rFonts w:hint="default" w:ascii="Times New Roman" w:hAnsi="Times New Roman" w:eastAsia="宋体" w:cs="Times New Roman"/>
          <w:color w:val="auto"/>
          <w:kern w:val="0"/>
          <w:sz w:val="24"/>
          <w:highlight w:val="none"/>
        </w:rPr>
        <w:t>Ⅱ</w:t>
      </w:r>
      <w:r>
        <w:rPr>
          <w:rFonts w:hint="default" w:ascii="Times New Roman" w:hAnsi="Times New Roman" w:cs="Times New Roman"/>
          <w:color w:val="auto"/>
          <w:sz w:val="24"/>
          <w:highlight w:val="none"/>
        </w:rPr>
        <w:t>类标准。</w:t>
      </w:r>
    </w:p>
    <w:p w14:paraId="2AD88535">
      <w:pPr>
        <w:pStyle w:val="4"/>
        <w:spacing w:before="156" w:after="156"/>
        <w:rPr>
          <w:rFonts w:hint="default" w:ascii="Times New Roman" w:hAnsi="Times New Roman" w:cs="Times New Roman"/>
          <w:color w:val="auto"/>
          <w:highlight w:val="none"/>
        </w:rPr>
      </w:pPr>
      <w:bookmarkStart w:id="66" w:name="_Toc9092645"/>
      <w:r>
        <w:rPr>
          <w:rFonts w:hint="default" w:ascii="Times New Roman" w:hAnsi="Times New Roman" w:cs="Times New Roman"/>
          <w:color w:val="auto"/>
          <w:highlight w:val="none"/>
        </w:rPr>
        <w:t>地下水</w:t>
      </w:r>
      <w:bookmarkEnd w:id="66"/>
      <w:r>
        <w:rPr>
          <w:rFonts w:hint="default" w:ascii="Times New Roman" w:hAnsi="Times New Roman" w:cs="Times New Roman"/>
          <w:color w:val="auto"/>
          <w:highlight w:val="none"/>
        </w:rPr>
        <w:t>环境</w:t>
      </w:r>
    </w:p>
    <w:p w14:paraId="4F7B1B3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规划区域地下水主要功能为生活饮用水及农业用水</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现阶段暂未开发利用</w:t>
      </w:r>
      <w:r>
        <w:rPr>
          <w:rFonts w:hint="default" w:ascii="Times New Roman" w:hAnsi="Times New Roman" w:cs="Times New Roman"/>
          <w:color w:val="auto"/>
          <w:kern w:val="0"/>
          <w:sz w:val="24"/>
          <w:highlight w:val="none"/>
        </w:rPr>
        <w:t>，根据《地下水质量标准》（GB/T 14848-2017），水质功能为</w:t>
      </w:r>
      <w:r>
        <w:rPr>
          <w:rFonts w:hint="default" w:ascii="Times New Roman" w:hAnsi="Times New Roman" w:cs="Times New Roman"/>
          <w:color w:val="auto"/>
          <w:sz w:val="24"/>
          <w:highlight w:val="none"/>
        </w:rPr>
        <w:t>III类</w:t>
      </w:r>
      <w:r>
        <w:rPr>
          <w:rFonts w:hint="default" w:ascii="Times New Roman" w:hAnsi="Times New Roman" w:cs="Times New Roman"/>
          <w:color w:val="auto"/>
          <w:kern w:val="0"/>
          <w:sz w:val="24"/>
          <w:highlight w:val="none"/>
        </w:rPr>
        <w:t>。</w:t>
      </w:r>
    </w:p>
    <w:p w14:paraId="40CF17F1">
      <w:pPr>
        <w:pStyle w:val="4"/>
        <w:spacing w:before="156" w:after="156"/>
        <w:rPr>
          <w:rFonts w:hint="default" w:ascii="Times New Roman" w:hAnsi="Times New Roman" w:cs="Times New Roman"/>
          <w:color w:val="auto"/>
          <w:highlight w:val="none"/>
        </w:rPr>
      </w:pPr>
      <w:bookmarkStart w:id="67" w:name="_Toc9092646"/>
      <w:r>
        <w:rPr>
          <w:rFonts w:hint="default" w:ascii="Times New Roman" w:hAnsi="Times New Roman" w:cs="Times New Roman"/>
          <w:color w:val="auto"/>
          <w:highlight w:val="none"/>
        </w:rPr>
        <w:t>声环境</w:t>
      </w:r>
      <w:bookmarkEnd w:id="67"/>
    </w:p>
    <w:p w14:paraId="63D65D07">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规划区位于西藏</w:t>
      </w:r>
      <w:r>
        <w:rPr>
          <w:rFonts w:hint="default" w:ascii="Times New Roman" w:hAnsi="Times New Roman" w:cs="Times New Roman"/>
          <w:color w:val="auto"/>
          <w:kern w:val="0"/>
          <w:sz w:val="24"/>
          <w:highlight w:val="none"/>
          <w:lang w:eastAsia="zh-CN"/>
        </w:rPr>
        <w:t>林芝市波密县扎木镇、古乡</w:t>
      </w:r>
      <w:r>
        <w:rPr>
          <w:rFonts w:hint="default" w:ascii="Times New Roman" w:hAnsi="Times New Roman" w:cs="Times New Roman"/>
          <w:color w:val="auto"/>
          <w:kern w:val="0"/>
          <w:sz w:val="24"/>
          <w:highlight w:val="none"/>
        </w:rPr>
        <w:t>，未划分声环境功能区。根据《声环境功能区划分技术规范》（GB/T15190-2014）及《声环境质量标准》（GB3096-2008），</w:t>
      </w:r>
      <w:r>
        <w:rPr>
          <w:rFonts w:hint="eastAsia" w:cs="Times New Roman"/>
          <w:color w:val="auto"/>
          <w:kern w:val="0"/>
          <w:sz w:val="24"/>
          <w:highlight w:val="none"/>
          <w:lang w:val="en-US" w:eastAsia="zh-CN"/>
        </w:rPr>
        <w:t>东侧入口区域G318交通干线两侧35m范围内执行4a类</w:t>
      </w:r>
      <w:r>
        <w:rPr>
          <w:rFonts w:hint="default" w:ascii="Times New Roman" w:hAnsi="Times New Roman" w:cs="Times New Roman"/>
          <w:color w:val="auto"/>
          <w:kern w:val="0"/>
          <w:sz w:val="24"/>
          <w:highlight w:val="none"/>
        </w:rPr>
        <w:t>声功能区要求</w:t>
      </w:r>
      <w:r>
        <w:rPr>
          <w:rFonts w:hint="eastAsia" w:cs="Times New Roman"/>
          <w:color w:val="auto"/>
          <w:kern w:val="0"/>
          <w:sz w:val="24"/>
          <w:highlight w:val="none"/>
          <w:lang w:val="en-US" w:eastAsia="zh-CN"/>
        </w:rPr>
        <w:t>；娱乐活动区域控制为2</w:t>
      </w:r>
      <w:r>
        <w:rPr>
          <w:rFonts w:hint="default" w:ascii="Times New Roman" w:hAnsi="Times New Roman" w:cs="Times New Roman"/>
          <w:color w:val="auto"/>
          <w:kern w:val="0"/>
          <w:sz w:val="24"/>
          <w:highlight w:val="none"/>
        </w:rPr>
        <w:t>类声功能区要求</w:t>
      </w:r>
      <w:r>
        <w:rPr>
          <w:rFonts w:hint="eastAsia" w:cs="Times New Roman"/>
          <w:color w:val="auto"/>
          <w:kern w:val="0"/>
          <w:sz w:val="24"/>
          <w:highlight w:val="none"/>
          <w:lang w:val="en-US" w:eastAsia="zh-CN"/>
        </w:rPr>
        <w:t>；公共绿地、居住区域控制为1类</w:t>
      </w:r>
      <w:r>
        <w:rPr>
          <w:rFonts w:hint="default" w:ascii="Times New Roman" w:hAnsi="Times New Roman" w:cs="Times New Roman"/>
          <w:color w:val="auto"/>
          <w:kern w:val="0"/>
          <w:sz w:val="24"/>
          <w:highlight w:val="none"/>
        </w:rPr>
        <w:t>声功能区要求。</w:t>
      </w:r>
    </w:p>
    <w:p w14:paraId="31BBC5A3">
      <w:pPr>
        <w:pStyle w:val="4"/>
        <w:spacing w:before="156" w:after="156"/>
        <w:rPr>
          <w:rFonts w:hint="default" w:ascii="Times New Roman" w:hAnsi="Times New Roman" w:cs="Times New Roman"/>
          <w:color w:val="auto"/>
          <w:highlight w:val="none"/>
        </w:rPr>
      </w:pPr>
      <w:bookmarkStart w:id="68" w:name="_Toc9092647"/>
      <w:r>
        <w:rPr>
          <w:rFonts w:hint="default" w:ascii="Times New Roman" w:hAnsi="Times New Roman" w:cs="Times New Roman"/>
          <w:color w:val="auto"/>
          <w:highlight w:val="none"/>
        </w:rPr>
        <w:t>土壤</w:t>
      </w:r>
      <w:bookmarkEnd w:id="68"/>
      <w:r>
        <w:rPr>
          <w:rFonts w:hint="default" w:ascii="Times New Roman" w:hAnsi="Times New Roman" w:cs="Times New Roman"/>
          <w:color w:val="auto"/>
          <w:highlight w:val="none"/>
        </w:rPr>
        <w:t>环境</w:t>
      </w:r>
    </w:p>
    <w:p w14:paraId="0B99CDD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规划区内建设用地</w:t>
      </w:r>
      <w:r>
        <w:rPr>
          <w:rFonts w:hint="default" w:ascii="Times New Roman" w:hAnsi="Times New Roman" w:cs="Times New Roman"/>
          <w:color w:val="auto"/>
          <w:kern w:val="0"/>
          <w:sz w:val="24"/>
          <w:highlight w:val="none"/>
          <w:lang w:val="en-US" w:eastAsia="zh-CN"/>
        </w:rPr>
        <w:t>执行</w:t>
      </w:r>
      <w:r>
        <w:rPr>
          <w:rFonts w:hint="default" w:ascii="Times New Roman" w:hAnsi="Times New Roman" w:cs="Times New Roman"/>
          <w:color w:val="auto"/>
          <w:kern w:val="0"/>
          <w:sz w:val="24"/>
          <w:highlight w:val="none"/>
        </w:rPr>
        <w:t>《土壤环境质量建设用地土壤污染风险管控标准（试行）》（GB36600-2018）中的第一类用地</w:t>
      </w:r>
      <w:r>
        <w:rPr>
          <w:rFonts w:hint="default" w:ascii="Times New Roman" w:hAnsi="Times New Roman" w:cs="Times New Roman"/>
          <w:color w:val="auto"/>
          <w:kern w:val="0"/>
          <w:sz w:val="24"/>
          <w:highlight w:val="none"/>
          <w:lang w:val="en-US" w:eastAsia="zh-CN"/>
        </w:rPr>
        <w:t>和</w:t>
      </w:r>
      <w:r>
        <w:rPr>
          <w:rFonts w:hint="default" w:ascii="Times New Roman" w:hAnsi="Times New Roman" w:cs="Times New Roman"/>
          <w:color w:val="auto"/>
          <w:kern w:val="0"/>
          <w:sz w:val="24"/>
          <w:highlight w:val="none"/>
        </w:rPr>
        <w:t>第二类用地</w:t>
      </w:r>
      <w:r>
        <w:rPr>
          <w:rFonts w:hint="default" w:ascii="Times New Roman" w:hAnsi="Times New Roman" w:cs="Times New Roman"/>
          <w:color w:val="auto"/>
          <w:kern w:val="0"/>
          <w:sz w:val="24"/>
          <w:highlight w:val="none"/>
          <w:lang w:val="en-US" w:eastAsia="zh-CN"/>
        </w:rPr>
        <w:t>筛选值</w:t>
      </w:r>
      <w:r>
        <w:rPr>
          <w:rFonts w:hint="default" w:ascii="Times New Roman" w:hAnsi="Times New Roman" w:cs="Times New Roman"/>
          <w:color w:val="auto"/>
          <w:kern w:val="0"/>
          <w:sz w:val="24"/>
          <w:highlight w:val="none"/>
        </w:rPr>
        <w:t>。规划区内农用地包含</w:t>
      </w:r>
      <w:r>
        <w:rPr>
          <w:rFonts w:hint="default" w:ascii="Times New Roman" w:hAnsi="Times New Roman" w:cs="Times New Roman"/>
          <w:bCs/>
          <w:color w:val="auto"/>
          <w:kern w:val="0"/>
          <w:sz w:val="24"/>
          <w:highlight w:val="none"/>
        </w:rPr>
        <w:t>耕地、林地</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草地、湿地</w:t>
      </w:r>
      <w:r>
        <w:rPr>
          <w:rFonts w:hint="default" w:ascii="Times New Roman" w:hAnsi="Times New Roman" w:cs="Times New Roman"/>
          <w:color w:val="auto"/>
          <w:kern w:val="0"/>
          <w:sz w:val="24"/>
          <w:highlight w:val="none"/>
        </w:rPr>
        <w:t>等，执行《土壤环境质量农用地土壤污染风险管控标准（试行）》（GB15618-2018）风险筛选值标准。</w:t>
      </w:r>
    </w:p>
    <w:p w14:paraId="267B7459">
      <w:pPr>
        <w:pStyle w:val="4"/>
        <w:spacing w:before="156" w:after="156"/>
        <w:rPr>
          <w:rFonts w:hint="default" w:ascii="Times New Roman" w:hAnsi="Times New Roman" w:cs="Times New Roman"/>
          <w:color w:val="auto"/>
          <w:highlight w:val="none"/>
        </w:rPr>
      </w:pPr>
      <w:bookmarkStart w:id="69" w:name="_Toc9092648"/>
      <w:r>
        <w:rPr>
          <w:rFonts w:hint="default" w:ascii="Times New Roman" w:hAnsi="Times New Roman" w:cs="Times New Roman"/>
          <w:color w:val="auto"/>
          <w:highlight w:val="none"/>
        </w:rPr>
        <w:t>生态环境</w:t>
      </w:r>
      <w:bookmarkEnd w:id="69"/>
    </w:p>
    <w:p w14:paraId="692B44BC">
      <w:pPr>
        <w:spacing w:line="360" w:lineRule="auto"/>
        <w:ind w:firstLine="480" w:firstLineChars="200"/>
        <w:rPr>
          <w:rFonts w:hint="default" w:ascii="Times New Roman" w:hAnsi="Times New Roman" w:cs="Times New Roman"/>
          <w:color w:val="auto"/>
          <w:sz w:val="24"/>
          <w:highlight w:val="none"/>
        </w:rPr>
      </w:pPr>
      <w:r>
        <w:rPr>
          <w:rStyle w:val="103"/>
          <w:rFonts w:hint="default" w:ascii="Times New Roman" w:hAnsi="Times New Roman" w:cs="Times New Roman"/>
          <w:color w:val="auto"/>
          <w:highlight w:val="none"/>
        </w:rPr>
        <w:t>根据《西藏自治区生态功能区划》，规划区所在地属</w:t>
      </w:r>
      <w:r>
        <w:rPr>
          <w:rStyle w:val="103"/>
          <w:rFonts w:hint="default" w:ascii="Times New Roman" w:hAnsi="Times New Roman" w:cs="Times New Roman"/>
          <w:color w:val="auto"/>
          <w:highlight w:val="none"/>
          <w:lang w:val="en-US" w:eastAsia="zh-CN"/>
        </w:rPr>
        <w:t>II-藏东高山深谷温带半湿润常绿阔叶林—暗针叶林生态区、</w:t>
      </w:r>
      <w:r>
        <w:rPr>
          <w:rStyle w:val="103"/>
          <w:rFonts w:hint="default" w:ascii="Times New Roman" w:hAnsi="Times New Roman" w:cs="Times New Roman"/>
          <w:color w:val="auto"/>
          <w:highlight w:val="none"/>
        </w:rPr>
        <w:t>II</w:t>
      </w:r>
      <w:r>
        <w:rPr>
          <w:rStyle w:val="103"/>
          <w:rFonts w:hint="default" w:ascii="Times New Roman" w:hAnsi="Times New Roman" w:cs="Times New Roman"/>
          <w:color w:val="auto"/>
          <w:highlight w:val="none"/>
          <w:vertAlign w:val="subscript"/>
        </w:rPr>
        <w:t>1</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rPr>
        <w:t>念青唐古拉山南翼常绿阔叶林、云冷杉林生态亚区—</w:t>
      </w:r>
      <w:r>
        <w:rPr>
          <w:rStyle w:val="103"/>
          <w:rFonts w:hint="default" w:ascii="Times New Roman" w:hAnsi="Times New Roman" w:cs="Times New Roman"/>
          <w:color w:val="auto"/>
          <w:highlight w:val="none"/>
          <w:lang w:eastAsia="zh-CN"/>
        </w:rPr>
        <w:t>II</w:t>
      </w:r>
      <w:r>
        <w:rPr>
          <w:rStyle w:val="103"/>
          <w:rFonts w:hint="default" w:ascii="Times New Roman" w:hAnsi="Times New Roman" w:cs="Times New Roman"/>
          <w:color w:val="auto"/>
          <w:highlight w:val="none"/>
          <w:vertAlign w:val="subscript"/>
          <w:lang w:eastAsia="zh-CN"/>
        </w:rPr>
        <w:t>1-1</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lang w:eastAsia="zh-CN"/>
        </w:rPr>
        <w:t>帕隆—易贡藏布山地灾害敏感性与生物多样性保护生态功能区</w:t>
      </w:r>
      <w:r>
        <w:rPr>
          <w:rStyle w:val="103"/>
          <w:rFonts w:hint="default" w:ascii="Times New Roman" w:hAnsi="Times New Roman" w:cs="Times New Roman"/>
          <w:color w:val="auto"/>
          <w:highlight w:val="none"/>
        </w:rPr>
        <w:t>。</w:t>
      </w:r>
    </w:p>
    <w:p w14:paraId="3BF8C84C">
      <w:pPr>
        <w:pStyle w:val="691"/>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规划所涉及的生态功能分区情况见表1.8-1。</w:t>
      </w:r>
    </w:p>
    <w:p w14:paraId="5228E9F1">
      <w:pPr>
        <w:pStyle w:val="16"/>
        <w:keepNext/>
        <w:keepLines w:val="0"/>
        <w:pageBreakBefore w:val="0"/>
        <w:widowControl w:val="0"/>
        <w:kinsoku/>
        <w:wordWrap/>
        <w:overflowPunct/>
        <w:topLinePunct w:val="0"/>
        <w:autoSpaceDE/>
        <w:autoSpaceDN/>
        <w:bidi w:val="0"/>
        <w:adjustRightInd w:val="0"/>
        <w:snapToGrid/>
        <w:ind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表1.8-1  规划区所属省级生态功能分区单元</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62"/>
        <w:gridCol w:w="409"/>
        <w:gridCol w:w="1015"/>
        <w:gridCol w:w="911"/>
        <w:gridCol w:w="4401"/>
        <w:gridCol w:w="1974"/>
      </w:tblGrid>
      <w:tr w14:paraId="7246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9" w:hRule="atLeast"/>
          <w:jc w:val="center"/>
        </w:trPr>
        <w:tc>
          <w:tcPr>
            <w:tcW w:w="0" w:type="auto"/>
            <w:vAlign w:val="center"/>
          </w:tcPr>
          <w:p w14:paraId="06A3B6B2">
            <w:pPr>
              <w:pStyle w:val="118"/>
              <w:kinsoku w:val="0"/>
              <w:overflowPunct w:val="0"/>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生态区</w:t>
            </w:r>
          </w:p>
        </w:tc>
        <w:tc>
          <w:tcPr>
            <w:tcW w:w="0" w:type="auto"/>
            <w:tcMar>
              <w:left w:w="85" w:type="dxa"/>
            </w:tcMar>
            <w:vAlign w:val="center"/>
          </w:tcPr>
          <w:p w14:paraId="51A46C9B">
            <w:pPr>
              <w:pStyle w:val="118"/>
              <w:kinsoku w:val="0"/>
              <w:overflowPunct w:val="0"/>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生态亚区</w:t>
            </w:r>
          </w:p>
        </w:tc>
        <w:tc>
          <w:tcPr>
            <w:tcW w:w="0" w:type="auto"/>
            <w:vAlign w:val="center"/>
          </w:tcPr>
          <w:p w14:paraId="2BE75B04">
            <w:pPr>
              <w:pStyle w:val="118"/>
              <w:kinsoku w:val="0"/>
              <w:overflowPunct w:val="0"/>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生态功能区</w:t>
            </w:r>
          </w:p>
        </w:tc>
        <w:tc>
          <w:tcPr>
            <w:tcW w:w="0" w:type="auto"/>
            <w:vAlign w:val="center"/>
          </w:tcPr>
          <w:p w14:paraId="659B60B9">
            <w:pPr>
              <w:pStyle w:val="118"/>
              <w:kinsoku w:val="0"/>
              <w:overflowPunct w:val="0"/>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生态功能定位</w:t>
            </w:r>
          </w:p>
        </w:tc>
        <w:tc>
          <w:tcPr>
            <w:tcW w:w="4402" w:type="dxa"/>
            <w:vAlign w:val="center"/>
          </w:tcPr>
          <w:p w14:paraId="14DA82DC">
            <w:pPr>
              <w:pStyle w:val="118"/>
              <w:tabs>
                <w:tab w:val="left" w:pos="1257"/>
              </w:tabs>
              <w:kinsoku w:val="0"/>
              <w:overflowPunct w:val="0"/>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主要生态系统服务功能</w:t>
            </w:r>
          </w:p>
        </w:tc>
        <w:tc>
          <w:tcPr>
            <w:tcW w:w="1974" w:type="dxa"/>
            <w:vAlign w:val="center"/>
          </w:tcPr>
          <w:p w14:paraId="1DDAE9BF">
            <w:pPr>
              <w:pStyle w:val="118"/>
              <w:kinsoku w:val="0"/>
              <w:overflowPunct w:val="0"/>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保护措施与发展方向</w:t>
            </w:r>
          </w:p>
        </w:tc>
      </w:tr>
      <w:tr w14:paraId="75B8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Align w:val="center"/>
          </w:tcPr>
          <w:p w14:paraId="031CF59F">
            <w:pPr>
              <w:pStyle w:val="118"/>
              <w:kinsoku w:val="0"/>
              <w:overflowPunct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II</w:t>
            </w:r>
          </w:p>
        </w:tc>
        <w:tc>
          <w:tcPr>
            <w:tcW w:w="0" w:type="auto"/>
            <w:tcMar>
              <w:left w:w="85" w:type="dxa"/>
            </w:tcMar>
            <w:vAlign w:val="center"/>
          </w:tcPr>
          <w:p w14:paraId="0907926E">
            <w:pPr>
              <w:pStyle w:val="118"/>
              <w:kinsoku w:val="0"/>
              <w:overflowPunct w:val="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II</w:t>
            </w:r>
            <w:r>
              <w:rPr>
                <w:rFonts w:hint="default" w:ascii="Times New Roman" w:hAnsi="Times New Roman" w:cs="Times New Roman" w:eastAsiaTheme="minorEastAsia"/>
                <w:color w:val="auto"/>
                <w:highlight w:val="none"/>
                <w:vertAlign w:val="subscript"/>
              </w:rPr>
              <w:t>1</w:t>
            </w:r>
          </w:p>
        </w:tc>
        <w:tc>
          <w:tcPr>
            <w:tcW w:w="0" w:type="auto"/>
            <w:vAlign w:val="center"/>
          </w:tcPr>
          <w:p w14:paraId="02894C40">
            <w:pPr>
              <w:autoSpaceDE w:val="0"/>
              <w:autoSpaceDN w:val="0"/>
              <w:adjustRightInd w:val="0"/>
              <w:jc w:val="both"/>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II</w:t>
            </w:r>
            <w:r>
              <w:rPr>
                <w:rFonts w:hint="default" w:ascii="Times New Roman" w:hAnsi="Times New Roman" w:cs="Times New Roman" w:eastAsiaTheme="minorEastAsia"/>
                <w:color w:val="auto"/>
                <w:szCs w:val="21"/>
                <w:highlight w:val="none"/>
                <w:vertAlign w:val="subscript"/>
              </w:rPr>
              <w:t>1-1</w:t>
            </w:r>
            <w:r>
              <w:rPr>
                <w:rFonts w:hint="default" w:ascii="Times New Roman" w:hAnsi="Times New Roman" w:cs="Times New Roman" w:eastAsiaTheme="minorEastAsia"/>
                <w:color w:val="auto"/>
                <w:szCs w:val="21"/>
                <w:highlight w:val="none"/>
              </w:rPr>
              <w:t>-帕隆—易贡藏布山地灾害敏感性与生物多样性保护生态功能区</w:t>
            </w:r>
          </w:p>
        </w:tc>
        <w:tc>
          <w:tcPr>
            <w:tcW w:w="0" w:type="auto"/>
            <w:vAlign w:val="center"/>
          </w:tcPr>
          <w:p w14:paraId="683EE5E4">
            <w:pPr>
              <w:widowControl/>
              <w:jc w:val="both"/>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山地灾害预防和生物多样性保护，其次为水源涵养</w:t>
            </w:r>
          </w:p>
        </w:tc>
        <w:tc>
          <w:tcPr>
            <w:tcW w:w="4402" w:type="dxa"/>
            <w:vAlign w:val="center"/>
          </w:tcPr>
          <w:p w14:paraId="500644AF">
            <w:pPr>
              <w:autoSpaceDE w:val="0"/>
              <w:autoSpaceDN w:val="0"/>
              <w:adjustRightInd w:val="0"/>
              <w:jc w:val="both"/>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该区森林植被类型的多样性，为多种动物的繁衍生息创造了有利的条件，主要动物种类有羚牛、赤斑羚、豹、盘羊、黑熊、猕猴、雪鸡等。该区是西藏山地生态系统类型多样性和生物多样性比较丰富的地区之一。在人类活动影响较小的地区，生物多样性保存较好，其中波密岗乡以云杉林为主的原始森林生态系统拥有丰富的动植物物种，云杉林生物生产力很高，林木生长速度、持续生长期和单位蓄积量大大超过国内外同类林分，每公顷蓄积量高达1500～2000m</w:t>
            </w:r>
            <w:r>
              <w:rPr>
                <w:rFonts w:hint="default" w:ascii="Times New Roman" w:hAnsi="Times New Roman" w:cs="Times New Roman" w:eastAsiaTheme="minorEastAsia"/>
                <w:color w:val="auto"/>
                <w:kern w:val="0"/>
                <w:szCs w:val="21"/>
                <w:highlight w:val="none"/>
                <w:vertAlign w:val="superscript"/>
              </w:rPr>
              <w:t>3</w:t>
            </w:r>
            <w:r>
              <w:rPr>
                <w:rFonts w:hint="default" w:ascii="Times New Roman" w:hAnsi="Times New Roman" w:cs="Times New Roman" w:eastAsiaTheme="minorEastAsia"/>
                <w:color w:val="auto"/>
                <w:kern w:val="0"/>
                <w:szCs w:val="21"/>
                <w:highlight w:val="none"/>
              </w:rPr>
              <w:t>。前已述及，该区主要生态环境问题是以崩塌、滑坡和泥石流为主的山地灾害，具有易发性特点，且灾害主要危害公路交通，造成的危害和损失严重。因此，该区的主要生态功能是生物多样性的保护和山地灾害的预防</w:t>
            </w:r>
          </w:p>
        </w:tc>
        <w:tc>
          <w:tcPr>
            <w:tcW w:w="1974" w:type="dxa"/>
            <w:vAlign w:val="center"/>
          </w:tcPr>
          <w:p w14:paraId="1B85C3E5">
            <w:pPr>
              <w:autoSpaceDE w:val="0"/>
              <w:autoSpaceDN w:val="0"/>
              <w:adjustRightInd w:val="0"/>
              <w:jc w:val="both"/>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鉴于该区河谷地带水热条件好，交通方便，具有发展农业和林果业的有利条件。因此，今后可适度开展具有地方特色的农林产业的开发，25°以上的陡坡山地禁止开垦，加强亚高山暗针叶林的管护和公路沿线山地灾害防治力度，加强自然保护区的管理和建设</w:t>
            </w:r>
          </w:p>
        </w:tc>
      </w:tr>
    </w:tbl>
    <w:p w14:paraId="513FF03D">
      <w:pPr>
        <w:pStyle w:val="3"/>
        <w:spacing w:before="156" w:after="156"/>
        <w:rPr>
          <w:rFonts w:hint="default" w:ascii="Times New Roman" w:hAnsi="Times New Roman" w:cs="Times New Roman"/>
          <w:color w:val="auto"/>
          <w:highlight w:val="none"/>
        </w:rPr>
      </w:pPr>
      <w:bookmarkStart w:id="70" w:name="_Toc16524"/>
      <w:r>
        <w:rPr>
          <w:rFonts w:hint="default" w:ascii="Times New Roman" w:hAnsi="Times New Roman" w:cs="Times New Roman"/>
          <w:color w:val="auto"/>
          <w:highlight w:val="none"/>
        </w:rPr>
        <w:t>评价标准</w:t>
      </w:r>
      <w:bookmarkEnd w:id="70"/>
    </w:p>
    <w:p w14:paraId="1CF0374B">
      <w:pPr>
        <w:pStyle w:val="4"/>
        <w:spacing w:before="156" w:after="156"/>
        <w:rPr>
          <w:rFonts w:hint="default" w:ascii="Times New Roman" w:hAnsi="Times New Roman" w:cs="Times New Roman"/>
          <w:color w:val="auto"/>
          <w:highlight w:val="none"/>
        </w:rPr>
      </w:pPr>
      <w:bookmarkStart w:id="71" w:name="_Toc9092650"/>
      <w:r>
        <w:rPr>
          <w:rFonts w:hint="default" w:ascii="Times New Roman" w:hAnsi="Times New Roman" w:cs="Times New Roman"/>
          <w:color w:val="auto"/>
          <w:highlight w:val="none"/>
        </w:rPr>
        <w:t>环境质量标准</w:t>
      </w:r>
      <w:bookmarkEnd w:id="71"/>
    </w:p>
    <w:p w14:paraId="4685F7A3">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p w14:paraId="1C79F552">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执行《环境空气质量标准》（GB3095-20</w:t>
      </w:r>
      <w:r>
        <w:rPr>
          <w:rFonts w:hint="default" w:ascii="Times New Roman" w:hAnsi="Times New Roman" w:cs="Times New Roman"/>
          <w:color w:val="auto"/>
          <w:kern w:val="0"/>
          <w:sz w:val="24"/>
          <w:highlight w:val="none"/>
          <w:lang w:val="en-US" w:eastAsia="zh-CN"/>
        </w:rPr>
        <w:t>26</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一级标准</w:t>
      </w:r>
      <w:r>
        <w:rPr>
          <w:rFonts w:hint="default" w:ascii="Times New Roman" w:hAnsi="Times New Roman" w:cs="Times New Roman"/>
          <w:color w:val="auto"/>
          <w:kern w:val="0"/>
          <w:sz w:val="24"/>
          <w:highlight w:val="none"/>
        </w:rPr>
        <w:t>。具体标准限值见表1.9-1。</w:t>
      </w:r>
    </w:p>
    <w:p w14:paraId="0DC4FABF">
      <w:pPr>
        <w:pStyle w:val="1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表1.9-1  大气环境质量标准一览表（摘录）</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1305"/>
        <w:gridCol w:w="1462"/>
        <w:gridCol w:w="816"/>
        <w:gridCol w:w="816"/>
        <w:gridCol w:w="802"/>
        <w:gridCol w:w="888"/>
        <w:gridCol w:w="817"/>
      </w:tblGrid>
      <w:tr w14:paraId="0E96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restart"/>
            <w:tcBorders>
              <w:top w:val="single" w:color="auto" w:sz="4" w:space="0"/>
              <w:left w:val="single" w:color="auto" w:sz="4" w:space="0"/>
              <w:bottom w:val="single" w:color="auto" w:sz="4" w:space="0"/>
              <w:right w:val="single" w:color="auto" w:sz="4" w:space="0"/>
            </w:tcBorders>
            <w:vAlign w:val="center"/>
          </w:tcPr>
          <w:p w14:paraId="39493A75">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标准名称</w:t>
            </w:r>
          </w:p>
        </w:tc>
        <w:tc>
          <w:tcPr>
            <w:tcW w:w="711" w:type="pct"/>
            <w:vMerge w:val="restart"/>
            <w:tcBorders>
              <w:top w:val="single" w:color="auto" w:sz="4" w:space="0"/>
              <w:left w:val="single" w:color="auto" w:sz="4" w:space="0"/>
              <w:bottom w:val="single" w:color="auto" w:sz="4" w:space="0"/>
              <w:right w:val="single" w:color="auto" w:sz="4" w:space="0"/>
            </w:tcBorders>
            <w:vAlign w:val="center"/>
          </w:tcPr>
          <w:p w14:paraId="49545AA4">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污染物项目</w:t>
            </w:r>
          </w:p>
        </w:tc>
        <w:tc>
          <w:tcPr>
            <w:tcW w:w="797" w:type="pct"/>
            <w:vMerge w:val="restart"/>
            <w:tcBorders>
              <w:top w:val="single" w:color="auto" w:sz="4" w:space="0"/>
              <w:left w:val="single" w:color="auto" w:sz="4" w:space="0"/>
              <w:bottom w:val="single" w:color="auto" w:sz="4" w:space="0"/>
              <w:right w:val="single" w:color="auto" w:sz="4" w:space="0"/>
            </w:tcBorders>
            <w:vAlign w:val="center"/>
          </w:tcPr>
          <w:p w14:paraId="44263200">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平均时间</w:t>
            </w:r>
          </w:p>
        </w:tc>
        <w:tc>
          <w:tcPr>
            <w:tcW w:w="890" w:type="pct"/>
            <w:gridSpan w:val="2"/>
            <w:tcBorders>
              <w:top w:val="single" w:color="auto" w:sz="4" w:space="0"/>
              <w:left w:val="single" w:color="auto" w:sz="4" w:space="0"/>
              <w:bottom w:val="single" w:color="auto" w:sz="4" w:space="0"/>
              <w:right w:val="single" w:color="auto" w:sz="4" w:space="0"/>
            </w:tcBorders>
            <w:vAlign w:val="center"/>
          </w:tcPr>
          <w:p w14:paraId="0858FD79">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过渡阶段</w:t>
            </w:r>
            <w:r>
              <w:rPr>
                <w:rFonts w:hint="default" w:ascii="Times New Roman" w:hAnsi="Times New Roman" w:eastAsia="宋体" w:cs="Times New Roman"/>
                <w:bCs/>
                <w:color w:val="auto"/>
                <w:szCs w:val="21"/>
                <w:highlight w:val="none"/>
              </w:rPr>
              <w:t>浓度限值</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6257D5C0">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浓度限值</w:t>
            </w:r>
          </w:p>
        </w:tc>
        <w:tc>
          <w:tcPr>
            <w:tcW w:w="443" w:type="pct"/>
            <w:vMerge w:val="restart"/>
            <w:tcBorders>
              <w:top w:val="single" w:color="auto" w:sz="4" w:space="0"/>
              <w:left w:val="single" w:color="auto" w:sz="4" w:space="0"/>
              <w:bottom w:val="single" w:color="auto" w:sz="4" w:space="0"/>
              <w:right w:val="single" w:color="auto" w:sz="4" w:space="0"/>
            </w:tcBorders>
            <w:vAlign w:val="center"/>
          </w:tcPr>
          <w:p w14:paraId="5900CBC5">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单位</w:t>
            </w:r>
          </w:p>
        </w:tc>
      </w:tr>
      <w:tr w14:paraId="1E5E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tcBorders>
              <w:top w:val="single" w:color="auto" w:sz="4" w:space="0"/>
            </w:tcBorders>
            <w:vAlign w:val="center"/>
          </w:tcPr>
          <w:p w14:paraId="30C8A591">
            <w:pPr>
              <w:adjustRightInd w:val="0"/>
              <w:snapToGrid w:val="0"/>
              <w:jc w:val="center"/>
              <w:rPr>
                <w:rFonts w:hint="default" w:ascii="Times New Roman" w:hAnsi="Times New Roman" w:eastAsia="宋体" w:cs="Times New Roman"/>
                <w:bCs/>
                <w:color w:val="auto"/>
                <w:szCs w:val="21"/>
                <w:highlight w:val="none"/>
              </w:rPr>
            </w:pPr>
          </w:p>
        </w:tc>
        <w:tc>
          <w:tcPr>
            <w:tcW w:w="711" w:type="pct"/>
            <w:vMerge w:val="continue"/>
            <w:tcBorders>
              <w:top w:val="single" w:color="auto" w:sz="4" w:space="0"/>
            </w:tcBorders>
            <w:vAlign w:val="center"/>
          </w:tcPr>
          <w:p w14:paraId="1C846FDD">
            <w:pPr>
              <w:adjustRightInd w:val="0"/>
              <w:snapToGrid w:val="0"/>
              <w:jc w:val="center"/>
              <w:rPr>
                <w:rFonts w:hint="default" w:ascii="Times New Roman" w:hAnsi="Times New Roman" w:eastAsia="宋体" w:cs="Times New Roman"/>
                <w:bCs/>
                <w:color w:val="auto"/>
                <w:szCs w:val="21"/>
                <w:highlight w:val="none"/>
              </w:rPr>
            </w:pPr>
          </w:p>
        </w:tc>
        <w:tc>
          <w:tcPr>
            <w:tcW w:w="797" w:type="pct"/>
            <w:vMerge w:val="continue"/>
            <w:tcBorders>
              <w:top w:val="single" w:color="auto" w:sz="4" w:space="0"/>
            </w:tcBorders>
            <w:vAlign w:val="center"/>
          </w:tcPr>
          <w:p w14:paraId="1FC43001">
            <w:pPr>
              <w:adjustRightInd w:val="0"/>
              <w:snapToGrid w:val="0"/>
              <w:jc w:val="center"/>
              <w:rPr>
                <w:rFonts w:hint="default" w:ascii="Times New Roman" w:hAnsi="Times New Roman" w:eastAsia="宋体" w:cs="Times New Roman"/>
                <w:bCs/>
                <w:color w:val="auto"/>
                <w:szCs w:val="21"/>
                <w:highlight w:val="none"/>
              </w:rPr>
            </w:pPr>
          </w:p>
        </w:tc>
        <w:tc>
          <w:tcPr>
            <w:tcW w:w="445" w:type="pct"/>
            <w:tcBorders>
              <w:top w:val="single" w:color="auto" w:sz="4" w:space="0"/>
            </w:tcBorders>
            <w:vAlign w:val="center"/>
          </w:tcPr>
          <w:p w14:paraId="44724B1D">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一级</w:t>
            </w:r>
          </w:p>
        </w:tc>
        <w:tc>
          <w:tcPr>
            <w:tcW w:w="444" w:type="pct"/>
            <w:tcBorders>
              <w:top w:val="single" w:color="auto" w:sz="4" w:space="0"/>
            </w:tcBorders>
            <w:vAlign w:val="center"/>
          </w:tcPr>
          <w:p w14:paraId="6FB86C94">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二级</w:t>
            </w:r>
          </w:p>
        </w:tc>
        <w:tc>
          <w:tcPr>
            <w:tcW w:w="437" w:type="pct"/>
            <w:tcBorders>
              <w:top w:val="single" w:color="auto" w:sz="4" w:space="0"/>
            </w:tcBorders>
            <w:shd w:val="clear" w:color="auto" w:fill="auto"/>
            <w:vAlign w:val="center"/>
          </w:tcPr>
          <w:p w14:paraId="112A49D4">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一级</w:t>
            </w:r>
          </w:p>
        </w:tc>
        <w:tc>
          <w:tcPr>
            <w:tcW w:w="483" w:type="pct"/>
            <w:tcBorders>
              <w:top w:val="single" w:color="auto" w:sz="4" w:space="0"/>
            </w:tcBorders>
            <w:shd w:val="clear" w:color="auto" w:fill="auto"/>
            <w:vAlign w:val="center"/>
          </w:tcPr>
          <w:p w14:paraId="3EF28EDF">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二级</w:t>
            </w:r>
          </w:p>
        </w:tc>
        <w:tc>
          <w:tcPr>
            <w:tcW w:w="443" w:type="pct"/>
            <w:vMerge w:val="continue"/>
            <w:tcBorders>
              <w:top w:val="single" w:color="auto" w:sz="4" w:space="0"/>
            </w:tcBorders>
            <w:vAlign w:val="center"/>
          </w:tcPr>
          <w:p w14:paraId="76549166">
            <w:pPr>
              <w:adjustRightInd w:val="0"/>
              <w:snapToGrid w:val="0"/>
              <w:jc w:val="center"/>
              <w:rPr>
                <w:rFonts w:hint="default" w:ascii="Times New Roman" w:hAnsi="Times New Roman" w:eastAsia="宋体" w:cs="Times New Roman"/>
                <w:bCs/>
                <w:color w:val="auto"/>
                <w:szCs w:val="21"/>
                <w:highlight w:val="none"/>
              </w:rPr>
            </w:pPr>
          </w:p>
        </w:tc>
      </w:tr>
      <w:tr w14:paraId="738A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restart"/>
            <w:vAlign w:val="center"/>
          </w:tcPr>
          <w:p w14:paraId="3C6C253D">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《环境空气质量标准》</w:t>
            </w:r>
          </w:p>
          <w:p w14:paraId="1BDD7A3E">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（GB3095-20</w:t>
            </w:r>
            <w:r>
              <w:rPr>
                <w:rFonts w:hint="default" w:ascii="Times New Roman" w:hAnsi="Times New Roman" w:eastAsia="宋体" w:cs="Times New Roman"/>
                <w:bCs/>
                <w:color w:val="auto"/>
                <w:szCs w:val="21"/>
                <w:highlight w:val="none"/>
                <w:lang w:val="en-US" w:eastAsia="zh-CN"/>
              </w:rPr>
              <w:t>26</w:t>
            </w:r>
            <w:r>
              <w:rPr>
                <w:rFonts w:hint="default" w:ascii="Times New Roman" w:hAnsi="Times New Roman" w:eastAsia="宋体" w:cs="Times New Roman"/>
                <w:bCs/>
                <w:color w:val="auto"/>
                <w:szCs w:val="21"/>
                <w:highlight w:val="none"/>
              </w:rPr>
              <w:t>）</w:t>
            </w:r>
          </w:p>
        </w:tc>
        <w:tc>
          <w:tcPr>
            <w:tcW w:w="711" w:type="pct"/>
            <w:vMerge w:val="restart"/>
            <w:vAlign w:val="center"/>
          </w:tcPr>
          <w:p w14:paraId="1AA75147">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二氧化硫</w:t>
            </w:r>
          </w:p>
          <w:p w14:paraId="1FE5BF7A">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（SO</w:t>
            </w:r>
            <w:r>
              <w:rPr>
                <w:rFonts w:hint="default" w:ascii="Times New Roman" w:hAnsi="Times New Roman" w:eastAsia="宋体" w:cs="Times New Roman"/>
                <w:bCs/>
                <w:color w:val="auto"/>
                <w:szCs w:val="21"/>
                <w:highlight w:val="none"/>
                <w:vertAlign w:val="subscript"/>
              </w:rPr>
              <w:t>2</w:t>
            </w:r>
            <w:r>
              <w:rPr>
                <w:rFonts w:hint="default" w:ascii="Times New Roman" w:hAnsi="Times New Roman" w:eastAsia="宋体" w:cs="Times New Roman"/>
                <w:bCs/>
                <w:color w:val="auto"/>
                <w:szCs w:val="21"/>
                <w:highlight w:val="none"/>
              </w:rPr>
              <w:t>）</w:t>
            </w:r>
          </w:p>
        </w:tc>
        <w:tc>
          <w:tcPr>
            <w:tcW w:w="797" w:type="pct"/>
            <w:vAlign w:val="center"/>
          </w:tcPr>
          <w:p w14:paraId="4BEF6504">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w:t>
            </w:r>
          </w:p>
        </w:tc>
        <w:tc>
          <w:tcPr>
            <w:tcW w:w="445" w:type="pct"/>
            <w:vAlign w:val="center"/>
          </w:tcPr>
          <w:p w14:paraId="3A031F0C">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c>
          <w:tcPr>
            <w:tcW w:w="444" w:type="pct"/>
            <w:vAlign w:val="center"/>
          </w:tcPr>
          <w:p w14:paraId="24CAEBF9">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60</w:t>
            </w:r>
          </w:p>
        </w:tc>
        <w:tc>
          <w:tcPr>
            <w:tcW w:w="437" w:type="pct"/>
            <w:vAlign w:val="center"/>
          </w:tcPr>
          <w:p w14:paraId="3BE31BD9">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20</w:t>
            </w:r>
          </w:p>
        </w:tc>
        <w:tc>
          <w:tcPr>
            <w:tcW w:w="483" w:type="pct"/>
            <w:vAlign w:val="center"/>
          </w:tcPr>
          <w:p w14:paraId="60A3F0BC">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20</w:t>
            </w:r>
          </w:p>
        </w:tc>
        <w:tc>
          <w:tcPr>
            <w:tcW w:w="443" w:type="pct"/>
            <w:vMerge w:val="restart"/>
            <w:vAlign w:val="center"/>
          </w:tcPr>
          <w:p w14:paraId="17CB766B">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μg/m</w:t>
            </w:r>
            <w:r>
              <w:rPr>
                <w:rFonts w:hint="default" w:ascii="Times New Roman" w:hAnsi="Times New Roman" w:eastAsia="宋体" w:cs="Times New Roman"/>
                <w:bCs/>
                <w:color w:val="auto"/>
                <w:szCs w:val="21"/>
                <w:highlight w:val="none"/>
                <w:vertAlign w:val="superscript"/>
              </w:rPr>
              <w:t>3</w:t>
            </w:r>
          </w:p>
        </w:tc>
      </w:tr>
      <w:tr w14:paraId="5D44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2764391A">
            <w:pPr>
              <w:adjustRightInd w:val="0"/>
              <w:snapToGrid w:val="0"/>
              <w:jc w:val="center"/>
              <w:rPr>
                <w:rFonts w:hint="default" w:ascii="Times New Roman" w:hAnsi="Times New Roman" w:eastAsia="宋体" w:cs="Times New Roman"/>
                <w:bCs/>
                <w:color w:val="auto"/>
                <w:szCs w:val="21"/>
                <w:highlight w:val="none"/>
              </w:rPr>
            </w:pPr>
          </w:p>
        </w:tc>
        <w:tc>
          <w:tcPr>
            <w:tcW w:w="711" w:type="pct"/>
            <w:vMerge w:val="continue"/>
            <w:vAlign w:val="center"/>
          </w:tcPr>
          <w:p w14:paraId="4AEF5710">
            <w:pPr>
              <w:adjustRightInd w:val="0"/>
              <w:snapToGrid w:val="0"/>
              <w:jc w:val="center"/>
              <w:rPr>
                <w:rFonts w:hint="default" w:ascii="Times New Roman" w:hAnsi="Times New Roman" w:eastAsia="宋体" w:cs="Times New Roman"/>
                <w:bCs/>
                <w:color w:val="auto"/>
                <w:szCs w:val="21"/>
                <w:highlight w:val="none"/>
              </w:rPr>
            </w:pPr>
          </w:p>
        </w:tc>
        <w:tc>
          <w:tcPr>
            <w:tcW w:w="797" w:type="pct"/>
            <w:vAlign w:val="center"/>
          </w:tcPr>
          <w:p w14:paraId="5AEBD8A1">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日平均</w:t>
            </w:r>
          </w:p>
        </w:tc>
        <w:tc>
          <w:tcPr>
            <w:tcW w:w="445" w:type="pct"/>
            <w:vAlign w:val="center"/>
          </w:tcPr>
          <w:p w14:paraId="24E26DD5">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50</w:t>
            </w:r>
          </w:p>
        </w:tc>
        <w:tc>
          <w:tcPr>
            <w:tcW w:w="444" w:type="pct"/>
            <w:vAlign w:val="center"/>
          </w:tcPr>
          <w:p w14:paraId="1D9C59F3">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150</w:t>
            </w:r>
          </w:p>
        </w:tc>
        <w:tc>
          <w:tcPr>
            <w:tcW w:w="437" w:type="pct"/>
            <w:vAlign w:val="center"/>
          </w:tcPr>
          <w:p w14:paraId="12338364">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c>
          <w:tcPr>
            <w:tcW w:w="483" w:type="pct"/>
            <w:vAlign w:val="center"/>
          </w:tcPr>
          <w:p w14:paraId="56BCA0F9">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c>
          <w:tcPr>
            <w:tcW w:w="443" w:type="pct"/>
            <w:vMerge w:val="continue"/>
            <w:vAlign w:val="center"/>
          </w:tcPr>
          <w:p w14:paraId="447E55F5">
            <w:pPr>
              <w:adjustRightInd w:val="0"/>
              <w:snapToGrid w:val="0"/>
              <w:jc w:val="center"/>
              <w:rPr>
                <w:rFonts w:hint="default" w:ascii="Times New Roman" w:hAnsi="Times New Roman" w:eastAsia="宋体" w:cs="Times New Roman"/>
                <w:bCs/>
                <w:color w:val="auto"/>
                <w:szCs w:val="21"/>
                <w:highlight w:val="none"/>
              </w:rPr>
            </w:pPr>
          </w:p>
        </w:tc>
      </w:tr>
      <w:tr w14:paraId="2DE1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2000F723">
            <w:pPr>
              <w:adjustRightInd w:val="0"/>
              <w:snapToGrid w:val="0"/>
              <w:jc w:val="center"/>
              <w:rPr>
                <w:rFonts w:hint="default" w:ascii="Times New Roman" w:hAnsi="Times New Roman" w:eastAsia="宋体" w:cs="Times New Roman"/>
                <w:bCs/>
                <w:color w:val="auto"/>
                <w:szCs w:val="21"/>
                <w:highlight w:val="none"/>
              </w:rPr>
            </w:pPr>
          </w:p>
        </w:tc>
        <w:tc>
          <w:tcPr>
            <w:tcW w:w="711" w:type="pct"/>
            <w:vMerge w:val="continue"/>
            <w:vAlign w:val="center"/>
          </w:tcPr>
          <w:p w14:paraId="6015CE62">
            <w:pPr>
              <w:adjustRightInd w:val="0"/>
              <w:snapToGrid w:val="0"/>
              <w:jc w:val="center"/>
              <w:rPr>
                <w:rFonts w:hint="default" w:ascii="Times New Roman" w:hAnsi="Times New Roman" w:eastAsia="宋体" w:cs="Times New Roman"/>
                <w:bCs/>
                <w:color w:val="auto"/>
                <w:szCs w:val="21"/>
                <w:highlight w:val="none"/>
              </w:rPr>
            </w:pPr>
          </w:p>
        </w:tc>
        <w:tc>
          <w:tcPr>
            <w:tcW w:w="797" w:type="pct"/>
            <w:vAlign w:val="center"/>
          </w:tcPr>
          <w:p w14:paraId="3F9B692E">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1小时平均</w:t>
            </w:r>
          </w:p>
        </w:tc>
        <w:tc>
          <w:tcPr>
            <w:tcW w:w="445" w:type="pct"/>
            <w:vAlign w:val="center"/>
          </w:tcPr>
          <w:p w14:paraId="481EF2E9">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150</w:t>
            </w:r>
          </w:p>
        </w:tc>
        <w:tc>
          <w:tcPr>
            <w:tcW w:w="444" w:type="pct"/>
            <w:vAlign w:val="center"/>
          </w:tcPr>
          <w:p w14:paraId="6659AF61">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500</w:t>
            </w:r>
          </w:p>
        </w:tc>
        <w:tc>
          <w:tcPr>
            <w:tcW w:w="437" w:type="pct"/>
            <w:vAlign w:val="center"/>
          </w:tcPr>
          <w:p w14:paraId="19AA1B2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150</w:t>
            </w:r>
          </w:p>
        </w:tc>
        <w:tc>
          <w:tcPr>
            <w:tcW w:w="483" w:type="pct"/>
            <w:vAlign w:val="center"/>
          </w:tcPr>
          <w:p w14:paraId="7A3D1706">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150</w:t>
            </w:r>
          </w:p>
        </w:tc>
        <w:tc>
          <w:tcPr>
            <w:tcW w:w="443" w:type="pct"/>
            <w:vMerge w:val="continue"/>
            <w:vAlign w:val="center"/>
          </w:tcPr>
          <w:p w14:paraId="3DB6BD01">
            <w:pPr>
              <w:adjustRightInd w:val="0"/>
              <w:snapToGrid w:val="0"/>
              <w:jc w:val="center"/>
              <w:rPr>
                <w:rFonts w:hint="default" w:ascii="Times New Roman" w:hAnsi="Times New Roman" w:eastAsia="宋体" w:cs="Times New Roman"/>
                <w:bCs/>
                <w:color w:val="auto"/>
                <w:szCs w:val="21"/>
                <w:highlight w:val="none"/>
              </w:rPr>
            </w:pPr>
          </w:p>
        </w:tc>
      </w:tr>
      <w:tr w14:paraId="0F60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2E064675">
            <w:pPr>
              <w:adjustRightInd w:val="0"/>
              <w:snapToGrid w:val="0"/>
              <w:jc w:val="center"/>
              <w:rPr>
                <w:rFonts w:hint="default" w:ascii="Times New Roman" w:hAnsi="Times New Roman" w:eastAsia="宋体" w:cs="Times New Roman"/>
                <w:bCs/>
                <w:color w:val="auto"/>
                <w:szCs w:val="21"/>
                <w:highlight w:val="none"/>
              </w:rPr>
            </w:pPr>
          </w:p>
        </w:tc>
        <w:tc>
          <w:tcPr>
            <w:tcW w:w="711" w:type="pct"/>
            <w:vMerge w:val="restart"/>
            <w:vAlign w:val="center"/>
          </w:tcPr>
          <w:p w14:paraId="41C9BE5C">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二氧化氮</w:t>
            </w:r>
          </w:p>
          <w:p w14:paraId="7398B0AD">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（NO</w:t>
            </w:r>
            <w:r>
              <w:rPr>
                <w:rFonts w:hint="default" w:ascii="Times New Roman" w:hAnsi="Times New Roman" w:eastAsia="宋体" w:cs="Times New Roman"/>
                <w:bCs/>
                <w:color w:val="auto"/>
                <w:szCs w:val="21"/>
                <w:highlight w:val="none"/>
                <w:vertAlign w:val="subscript"/>
              </w:rPr>
              <w:t>2</w:t>
            </w:r>
            <w:r>
              <w:rPr>
                <w:rFonts w:hint="default" w:ascii="Times New Roman" w:hAnsi="Times New Roman" w:eastAsia="宋体" w:cs="Times New Roman"/>
                <w:bCs/>
                <w:color w:val="auto"/>
                <w:szCs w:val="21"/>
                <w:highlight w:val="none"/>
              </w:rPr>
              <w:t>）</w:t>
            </w:r>
          </w:p>
        </w:tc>
        <w:tc>
          <w:tcPr>
            <w:tcW w:w="797" w:type="pct"/>
            <w:vAlign w:val="center"/>
          </w:tcPr>
          <w:p w14:paraId="43BED435">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w:t>
            </w:r>
          </w:p>
        </w:tc>
        <w:tc>
          <w:tcPr>
            <w:tcW w:w="445" w:type="pct"/>
            <w:vAlign w:val="center"/>
          </w:tcPr>
          <w:p w14:paraId="0ADFDCBC">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40</w:t>
            </w:r>
          </w:p>
        </w:tc>
        <w:tc>
          <w:tcPr>
            <w:tcW w:w="444" w:type="pct"/>
            <w:vAlign w:val="center"/>
          </w:tcPr>
          <w:p w14:paraId="4923C5DA">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40</w:t>
            </w:r>
          </w:p>
        </w:tc>
        <w:tc>
          <w:tcPr>
            <w:tcW w:w="437" w:type="pct"/>
            <w:vAlign w:val="center"/>
          </w:tcPr>
          <w:p w14:paraId="7C6A26D1">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c>
          <w:tcPr>
            <w:tcW w:w="483" w:type="pct"/>
            <w:vAlign w:val="center"/>
          </w:tcPr>
          <w:p w14:paraId="04CA40C9">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c>
          <w:tcPr>
            <w:tcW w:w="443" w:type="pct"/>
            <w:vMerge w:val="continue"/>
            <w:vAlign w:val="center"/>
          </w:tcPr>
          <w:p w14:paraId="7D2DEFCC">
            <w:pPr>
              <w:adjustRightInd w:val="0"/>
              <w:snapToGrid w:val="0"/>
              <w:jc w:val="center"/>
              <w:rPr>
                <w:rFonts w:hint="default" w:ascii="Times New Roman" w:hAnsi="Times New Roman" w:eastAsia="宋体" w:cs="Times New Roman"/>
                <w:bCs/>
                <w:color w:val="auto"/>
                <w:szCs w:val="21"/>
                <w:highlight w:val="none"/>
              </w:rPr>
            </w:pPr>
          </w:p>
        </w:tc>
      </w:tr>
      <w:tr w14:paraId="442F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72B82699">
            <w:pPr>
              <w:adjustRightInd w:val="0"/>
              <w:snapToGrid w:val="0"/>
              <w:jc w:val="center"/>
              <w:rPr>
                <w:rFonts w:hint="default" w:ascii="Times New Roman" w:hAnsi="Times New Roman" w:eastAsia="宋体" w:cs="Times New Roman"/>
                <w:bCs/>
                <w:color w:val="auto"/>
                <w:szCs w:val="21"/>
                <w:highlight w:val="none"/>
              </w:rPr>
            </w:pPr>
          </w:p>
        </w:tc>
        <w:tc>
          <w:tcPr>
            <w:tcW w:w="711" w:type="pct"/>
            <w:vMerge w:val="continue"/>
            <w:vAlign w:val="center"/>
          </w:tcPr>
          <w:p w14:paraId="1DAD9EF0">
            <w:pPr>
              <w:adjustRightInd w:val="0"/>
              <w:snapToGrid w:val="0"/>
              <w:jc w:val="center"/>
              <w:rPr>
                <w:rFonts w:hint="default" w:ascii="Times New Roman" w:hAnsi="Times New Roman" w:eastAsia="宋体" w:cs="Times New Roman"/>
                <w:bCs/>
                <w:color w:val="auto"/>
                <w:szCs w:val="21"/>
                <w:highlight w:val="none"/>
              </w:rPr>
            </w:pPr>
          </w:p>
        </w:tc>
        <w:tc>
          <w:tcPr>
            <w:tcW w:w="797" w:type="pct"/>
            <w:vAlign w:val="center"/>
          </w:tcPr>
          <w:p w14:paraId="28B731A2">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日平均</w:t>
            </w:r>
          </w:p>
        </w:tc>
        <w:tc>
          <w:tcPr>
            <w:tcW w:w="445" w:type="pct"/>
            <w:vAlign w:val="center"/>
          </w:tcPr>
          <w:p w14:paraId="16F7E287">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80</w:t>
            </w:r>
          </w:p>
        </w:tc>
        <w:tc>
          <w:tcPr>
            <w:tcW w:w="444" w:type="pct"/>
            <w:vAlign w:val="center"/>
          </w:tcPr>
          <w:p w14:paraId="3EBA243E">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80</w:t>
            </w:r>
          </w:p>
        </w:tc>
        <w:tc>
          <w:tcPr>
            <w:tcW w:w="437" w:type="pct"/>
            <w:vAlign w:val="center"/>
          </w:tcPr>
          <w:p w14:paraId="060D3824">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c>
          <w:tcPr>
            <w:tcW w:w="483" w:type="pct"/>
            <w:vAlign w:val="center"/>
          </w:tcPr>
          <w:p w14:paraId="026BC5E6">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c>
          <w:tcPr>
            <w:tcW w:w="443" w:type="pct"/>
            <w:vMerge w:val="continue"/>
            <w:vAlign w:val="center"/>
          </w:tcPr>
          <w:p w14:paraId="55D1E208">
            <w:pPr>
              <w:adjustRightInd w:val="0"/>
              <w:snapToGrid w:val="0"/>
              <w:jc w:val="center"/>
              <w:rPr>
                <w:rFonts w:hint="default" w:ascii="Times New Roman" w:hAnsi="Times New Roman" w:eastAsia="宋体" w:cs="Times New Roman"/>
                <w:bCs/>
                <w:color w:val="auto"/>
                <w:szCs w:val="21"/>
                <w:highlight w:val="none"/>
              </w:rPr>
            </w:pPr>
          </w:p>
        </w:tc>
      </w:tr>
      <w:tr w14:paraId="7CC8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6C623938">
            <w:pPr>
              <w:adjustRightInd w:val="0"/>
              <w:snapToGrid w:val="0"/>
              <w:jc w:val="center"/>
              <w:rPr>
                <w:rFonts w:hint="default" w:ascii="Times New Roman" w:hAnsi="Times New Roman" w:eastAsia="宋体" w:cs="Times New Roman"/>
                <w:bCs/>
                <w:color w:val="auto"/>
                <w:szCs w:val="21"/>
                <w:highlight w:val="none"/>
              </w:rPr>
            </w:pPr>
          </w:p>
        </w:tc>
        <w:tc>
          <w:tcPr>
            <w:tcW w:w="711" w:type="pct"/>
            <w:vMerge w:val="continue"/>
            <w:vAlign w:val="center"/>
          </w:tcPr>
          <w:p w14:paraId="0F3A0CD0">
            <w:pPr>
              <w:adjustRightInd w:val="0"/>
              <w:snapToGrid w:val="0"/>
              <w:jc w:val="center"/>
              <w:rPr>
                <w:rFonts w:hint="default" w:ascii="Times New Roman" w:hAnsi="Times New Roman" w:eastAsia="宋体" w:cs="Times New Roman"/>
                <w:bCs/>
                <w:color w:val="auto"/>
                <w:szCs w:val="21"/>
                <w:highlight w:val="none"/>
              </w:rPr>
            </w:pPr>
          </w:p>
        </w:tc>
        <w:tc>
          <w:tcPr>
            <w:tcW w:w="797" w:type="pct"/>
            <w:vAlign w:val="center"/>
          </w:tcPr>
          <w:p w14:paraId="410A3798">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1小时平均</w:t>
            </w:r>
          </w:p>
        </w:tc>
        <w:tc>
          <w:tcPr>
            <w:tcW w:w="445" w:type="pct"/>
            <w:vAlign w:val="center"/>
          </w:tcPr>
          <w:p w14:paraId="40038641">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200</w:t>
            </w:r>
          </w:p>
        </w:tc>
        <w:tc>
          <w:tcPr>
            <w:tcW w:w="444" w:type="pct"/>
            <w:vAlign w:val="center"/>
          </w:tcPr>
          <w:p w14:paraId="624242C1">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200</w:t>
            </w:r>
          </w:p>
        </w:tc>
        <w:tc>
          <w:tcPr>
            <w:tcW w:w="437" w:type="pct"/>
            <w:vAlign w:val="center"/>
          </w:tcPr>
          <w:p w14:paraId="2307C978">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200</w:t>
            </w:r>
          </w:p>
        </w:tc>
        <w:tc>
          <w:tcPr>
            <w:tcW w:w="483" w:type="pct"/>
            <w:vAlign w:val="center"/>
          </w:tcPr>
          <w:p w14:paraId="482E04FC">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200</w:t>
            </w:r>
          </w:p>
        </w:tc>
        <w:tc>
          <w:tcPr>
            <w:tcW w:w="443" w:type="pct"/>
            <w:vMerge w:val="continue"/>
            <w:vAlign w:val="center"/>
          </w:tcPr>
          <w:p w14:paraId="2B7584D2">
            <w:pPr>
              <w:adjustRightInd w:val="0"/>
              <w:snapToGrid w:val="0"/>
              <w:jc w:val="center"/>
              <w:rPr>
                <w:rFonts w:hint="default" w:ascii="Times New Roman" w:hAnsi="Times New Roman" w:eastAsia="宋体" w:cs="Times New Roman"/>
                <w:bCs/>
                <w:color w:val="auto"/>
                <w:szCs w:val="21"/>
                <w:highlight w:val="none"/>
              </w:rPr>
            </w:pPr>
          </w:p>
        </w:tc>
      </w:tr>
      <w:tr w14:paraId="3AB2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3F9BEF91">
            <w:pPr>
              <w:adjustRightInd w:val="0"/>
              <w:snapToGrid w:val="0"/>
              <w:jc w:val="center"/>
              <w:rPr>
                <w:rFonts w:hint="default" w:ascii="Times New Roman" w:hAnsi="Times New Roman" w:eastAsia="宋体" w:cs="Times New Roman"/>
                <w:bCs/>
                <w:color w:val="auto"/>
                <w:szCs w:val="21"/>
                <w:highlight w:val="none"/>
              </w:rPr>
            </w:pPr>
          </w:p>
        </w:tc>
        <w:tc>
          <w:tcPr>
            <w:tcW w:w="711" w:type="pct"/>
            <w:vMerge w:val="restart"/>
            <w:vAlign w:val="center"/>
          </w:tcPr>
          <w:p w14:paraId="5C42651E">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一氧化碳</w:t>
            </w:r>
          </w:p>
          <w:p w14:paraId="7A2E08C3">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（CO）</w:t>
            </w:r>
          </w:p>
        </w:tc>
        <w:tc>
          <w:tcPr>
            <w:tcW w:w="797" w:type="pct"/>
            <w:vAlign w:val="center"/>
          </w:tcPr>
          <w:p w14:paraId="53130B03">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日平均</w:t>
            </w:r>
          </w:p>
        </w:tc>
        <w:tc>
          <w:tcPr>
            <w:tcW w:w="445" w:type="pct"/>
            <w:vAlign w:val="center"/>
          </w:tcPr>
          <w:p w14:paraId="1C9A5AC4">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444" w:type="pct"/>
            <w:vAlign w:val="center"/>
          </w:tcPr>
          <w:p w14:paraId="6898E186">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437" w:type="pct"/>
            <w:vAlign w:val="center"/>
          </w:tcPr>
          <w:p w14:paraId="54BD0A4D">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4</w:t>
            </w:r>
          </w:p>
        </w:tc>
        <w:tc>
          <w:tcPr>
            <w:tcW w:w="483" w:type="pct"/>
            <w:vAlign w:val="center"/>
          </w:tcPr>
          <w:p w14:paraId="7C164F38">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4</w:t>
            </w:r>
          </w:p>
        </w:tc>
        <w:tc>
          <w:tcPr>
            <w:tcW w:w="443" w:type="pct"/>
            <w:vMerge w:val="restart"/>
            <w:vAlign w:val="center"/>
          </w:tcPr>
          <w:p w14:paraId="4C10C718">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mg/m</w:t>
            </w:r>
            <w:r>
              <w:rPr>
                <w:rFonts w:hint="default" w:ascii="Times New Roman" w:hAnsi="Times New Roman" w:eastAsia="宋体" w:cs="Times New Roman"/>
                <w:bCs/>
                <w:color w:val="auto"/>
                <w:szCs w:val="21"/>
                <w:highlight w:val="none"/>
                <w:vertAlign w:val="superscript"/>
              </w:rPr>
              <w:t>3</w:t>
            </w:r>
          </w:p>
        </w:tc>
      </w:tr>
      <w:tr w14:paraId="1709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73FFA110">
            <w:pPr>
              <w:adjustRightInd w:val="0"/>
              <w:snapToGrid w:val="0"/>
              <w:jc w:val="center"/>
              <w:rPr>
                <w:rFonts w:hint="default" w:ascii="Times New Roman" w:hAnsi="Times New Roman" w:eastAsia="宋体" w:cs="Times New Roman"/>
                <w:bCs/>
                <w:color w:val="auto"/>
                <w:szCs w:val="21"/>
                <w:highlight w:val="none"/>
              </w:rPr>
            </w:pPr>
          </w:p>
        </w:tc>
        <w:tc>
          <w:tcPr>
            <w:tcW w:w="711" w:type="pct"/>
            <w:vMerge w:val="continue"/>
            <w:vAlign w:val="center"/>
          </w:tcPr>
          <w:p w14:paraId="30D2C7D1">
            <w:pPr>
              <w:adjustRightInd w:val="0"/>
              <w:snapToGrid w:val="0"/>
              <w:jc w:val="center"/>
              <w:rPr>
                <w:rFonts w:hint="default" w:ascii="Times New Roman" w:hAnsi="Times New Roman" w:eastAsia="宋体" w:cs="Times New Roman"/>
                <w:bCs/>
                <w:color w:val="auto"/>
                <w:szCs w:val="21"/>
                <w:highlight w:val="none"/>
              </w:rPr>
            </w:pPr>
          </w:p>
        </w:tc>
        <w:tc>
          <w:tcPr>
            <w:tcW w:w="797" w:type="pct"/>
            <w:vAlign w:val="center"/>
          </w:tcPr>
          <w:p w14:paraId="21487113">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1小时平均</w:t>
            </w:r>
          </w:p>
        </w:tc>
        <w:tc>
          <w:tcPr>
            <w:tcW w:w="445" w:type="pct"/>
            <w:vAlign w:val="center"/>
          </w:tcPr>
          <w:p w14:paraId="732698B3">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10</w:t>
            </w:r>
          </w:p>
        </w:tc>
        <w:tc>
          <w:tcPr>
            <w:tcW w:w="444" w:type="pct"/>
            <w:vAlign w:val="center"/>
          </w:tcPr>
          <w:p w14:paraId="2ABD1113">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10</w:t>
            </w:r>
          </w:p>
        </w:tc>
        <w:tc>
          <w:tcPr>
            <w:tcW w:w="437" w:type="pct"/>
            <w:vAlign w:val="center"/>
          </w:tcPr>
          <w:p w14:paraId="3244DE18">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10</w:t>
            </w:r>
          </w:p>
        </w:tc>
        <w:tc>
          <w:tcPr>
            <w:tcW w:w="483" w:type="pct"/>
            <w:vAlign w:val="center"/>
          </w:tcPr>
          <w:p w14:paraId="16ADFE3D">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10</w:t>
            </w:r>
          </w:p>
        </w:tc>
        <w:tc>
          <w:tcPr>
            <w:tcW w:w="443" w:type="pct"/>
            <w:vMerge w:val="continue"/>
            <w:vAlign w:val="center"/>
          </w:tcPr>
          <w:p w14:paraId="26528328">
            <w:pPr>
              <w:adjustRightInd w:val="0"/>
              <w:snapToGrid w:val="0"/>
              <w:jc w:val="center"/>
              <w:rPr>
                <w:rFonts w:hint="default" w:ascii="Times New Roman" w:hAnsi="Times New Roman" w:eastAsia="宋体" w:cs="Times New Roman"/>
                <w:bCs/>
                <w:color w:val="auto"/>
                <w:szCs w:val="21"/>
                <w:highlight w:val="none"/>
              </w:rPr>
            </w:pPr>
          </w:p>
        </w:tc>
      </w:tr>
      <w:tr w14:paraId="435E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51CC6575">
            <w:pPr>
              <w:adjustRightInd w:val="0"/>
              <w:snapToGrid w:val="0"/>
              <w:jc w:val="center"/>
              <w:rPr>
                <w:rFonts w:hint="default" w:ascii="Times New Roman" w:hAnsi="Times New Roman" w:eastAsia="宋体" w:cs="Times New Roman"/>
                <w:bCs/>
                <w:color w:val="auto"/>
                <w:szCs w:val="21"/>
                <w:highlight w:val="none"/>
              </w:rPr>
            </w:pPr>
          </w:p>
        </w:tc>
        <w:tc>
          <w:tcPr>
            <w:tcW w:w="711" w:type="pct"/>
            <w:vMerge w:val="restart"/>
            <w:vAlign w:val="center"/>
          </w:tcPr>
          <w:p w14:paraId="295D25DA">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臭氧</w:t>
            </w:r>
          </w:p>
          <w:p w14:paraId="7581E8B2">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（O</w:t>
            </w:r>
            <w:r>
              <w:rPr>
                <w:rFonts w:hint="default" w:ascii="Times New Roman" w:hAnsi="Times New Roman" w:eastAsia="宋体" w:cs="Times New Roman"/>
                <w:bCs/>
                <w:color w:val="auto"/>
                <w:szCs w:val="21"/>
                <w:highlight w:val="none"/>
                <w:vertAlign w:val="subscript"/>
              </w:rPr>
              <w:t>3</w:t>
            </w:r>
            <w:r>
              <w:rPr>
                <w:rFonts w:hint="default" w:ascii="Times New Roman" w:hAnsi="Times New Roman" w:eastAsia="宋体" w:cs="Times New Roman"/>
                <w:bCs/>
                <w:color w:val="auto"/>
                <w:szCs w:val="21"/>
                <w:highlight w:val="none"/>
              </w:rPr>
              <w:t>）</w:t>
            </w:r>
          </w:p>
        </w:tc>
        <w:tc>
          <w:tcPr>
            <w:tcW w:w="797" w:type="pct"/>
            <w:vAlign w:val="center"/>
          </w:tcPr>
          <w:p w14:paraId="13C8DFF7">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日最大8小时平均</w:t>
            </w:r>
          </w:p>
        </w:tc>
        <w:tc>
          <w:tcPr>
            <w:tcW w:w="445" w:type="pct"/>
            <w:vAlign w:val="center"/>
          </w:tcPr>
          <w:p w14:paraId="1C44BE68">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100</w:t>
            </w:r>
          </w:p>
        </w:tc>
        <w:tc>
          <w:tcPr>
            <w:tcW w:w="444" w:type="pct"/>
            <w:vAlign w:val="center"/>
          </w:tcPr>
          <w:p w14:paraId="14494DB0">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160</w:t>
            </w:r>
          </w:p>
        </w:tc>
        <w:tc>
          <w:tcPr>
            <w:tcW w:w="437" w:type="pct"/>
            <w:shd w:val="clear" w:color="auto" w:fill="auto"/>
            <w:vAlign w:val="center"/>
          </w:tcPr>
          <w:p w14:paraId="3DB6682E">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100</w:t>
            </w:r>
          </w:p>
        </w:tc>
        <w:tc>
          <w:tcPr>
            <w:tcW w:w="483" w:type="pct"/>
            <w:shd w:val="clear" w:color="auto" w:fill="auto"/>
            <w:vAlign w:val="center"/>
          </w:tcPr>
          <w:p w14:paraId="311A3FAC">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160</w:t>
            </w:r>
          </w:p>
        </w:tc>
        <w:tc>
          <w:tcPr>
            <w:tcW w:w="443" w:type="pct"/>
            <w:vMerge w:val="restart"/>
            <w:vAlign w:val="center"/>
          </w:tcPr>
          <w:p w14:paraId="5B360B5D">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μg/m</w:t>
            </w:r>
            <w:r>
              <w:rPr>
                <w:rFonts w:hint="default" w:ascii="Times New Roman" w:hAnsi="Times New Roman" w:eastAsia="宋体" w:cs="Times New Roman"/>
                <w:bCs/>
                <w:color w:val="auto"/>
                <w:szCs w:val="21"/>
                <w:highlight w:val="none"/>
                <w:vertAlign w:val="superscript"/>
              </w:rPr>
              <w:t>3</w:t>
            </w:r>
          </w:p>
        </w:tc>
      </w:tr>
      <w:tr w14:paraId="3747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27AAC3A2">
            <w:pPr>
              <w:adjustRightInd w:val="0"/>
              <w:snapToGrid w:val="0"/>
              <w:jc w:val="center"/>
              <w:rPr>
                <w:rFonts w:hint="default" w:ascii="Times New Roman" w:hAnsi="Times New Roman" w:eastAsia="宋体" w:cs="Times New Roman"/>
                <w:bCs/>
                <w:color w:val="auto"/>
                <w:szCs w:val="21"/>
                <w:highlight w:val="none"/>
              </w:rPr>
            </w:pPr>
          </w:p>
        </w:tc>
        <w:tc>
          <w:tcPr>
            <w:tcW w:w="711" w:type="pct"/>
            <w:vMerge w:val="continue"/>
            <w:vAlign w:val="center"/>
          </w:tcPr>
          <w:p w14:paraId="5D1FE6D5">
            <w:pPr>
              <w:adjustRightInd w:val="0"/>
              <w:snapToGrid w:val="0"/>
              <w:jc w:val="center"/>
              <w:rPr>
                <w:rFonts w:hint="default" w:ascii="Times New Roman" w:hAnsi="Times New Roman" w:eastAsia="宋体" w:cs="Times New Roman"/>
                <w:bCs/>
                <w:color w:val="auto"/>
                <w:szCs w:val="21"/>
                <w:highlight w:val="none"/>
              </w:rPr>
            </w:pPr>
          </w:p>
        </w:tc>
        <w:tc>
          <w:tcPr>
            <w:tcW w:w="797" w:type="pct"/>
            <w:vAlign w:val="center"/>
          </w:tcPr>
          <w:p w14:paraId="2BE75013">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1小时平均</w:t>
            </w:r>
          </w:p>
        </w:tc>
        <w:tc>
          <w:tcPr>
            <w:tcW w:w="445" w:type="pct"/>
            <w:vAlign w:val="center"/>
          </w:tcPr>
          <w:p w14:paraId="63F7A272">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160</w:t>
            </w:r>
          </w:p>
        </w:tc>
        <w:tc>
          <w:tcPr>
            <w:tcW w:w="444" w:type="pct"/>
            <w:vAlign w:val="center"/>
          </w:tcPr>
          <w:p w14:paraId="2E1FDC70">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200</w:t>
            </w:r>
          </w:p>
        </w:tc>
        <w:tc>
          <w:tcPr>
            <w:tcW w:w="437" w:type="pct"/>
            <w:shd w:val="clear" w:color="auto" w:fill="auto"/>
            <w:vAlign w:val="center"/>
          </w:tcPr>
          <w:p w14:paraId="1758732E">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160</w:t>
            </w:r>
          </w:p>
        </w:tc>
        <w:tc>
          <w:tcPr>
            <w:tcW w:w="483" w:type="pct"/>
            <w:shd w:val="clear" w:color="auto" w:fill="auto"/>
            <w:vAlign w:val="center"/>
          </w:tcPr>
          <w:p w14:paraId="51CD7623">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200</w:t>
            </w:r>
          </w:p>
        </w:tc>
        <w:tc>
          <w:tcPr>
            <w:tcW w:w="443" w:type="pct"/>
            <w:vMerge w:val="continue"/>
            <w:vAlign w:val="center"/>
          </w:tcPr>
          <w:p w14:paraId="36D48AE0">
            <w:pPr>
              <w:adjustRightInd w:val="0"/>
              <w:snapToGrid w:val="0"/>
              <w:jc w:val="center"/>
              <w:rPr>
                <w:rFonts w:hint="default" w:ascii="Times New Roman" w:hAnsi="Times New Roman" w:eastAsia="宋体" w:cs="Times New Roman"/>
                <w:bCs/>
                <w:color w:val="auto"/>
                <w:szCs w:val="21"/>
                <w:highlight w:val="none"/>
              </w:rPr>
            </w:pPr>
          </w:p>
        </w:tc>
      </w:tr>
      <w:tr w14:paraId="7E79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4AEA25C7">
            <w:pPr>
              <w:adjustRightInd w:val="0"/>
              <w:snapToGrid w:val="0"/>
              <w:jc w:val="center"/>
              <w:rPr>
                <w:rFonts w:hint="default" w:ascii="Times New Roman" w:hAnsi="Times New Roman" w:eastAsia="宋体" w:cs="Times New Roman"/>
                <w:bCs/>
                <w:color w:val="auto"/>
                <w:szCs w:val="21"/>
                <w:highlight w:val="none"/>
              </w:rPr>
            </w:pPr>
          </w:p>
        </w:tc>
        <w:tc>
          <w:tcPr>
            <w:tcW w:w="711" w:type="pct"/>
            <w:vMerge w:val="restart"/>
            <w:vAlign w:val="center"/>
          </w:tcPr>
          <w:p w14:paraId="13B8223B">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PM</w:t>
            </w:r>
            <w:r>
              <w:rPr>
                <w:rFonts w:hint="default" w:ascii="Times New Roman" w:hAnsi="Times New Roman" w:eastAsia="宋体" w:cs="Times New Roman"/>
                <w:bCs/>
                <w:color w:val="auto"/>
                <w:szCs w:val="21"/>
                <w:highlight w:val="none"/>
                <w:vertAlign w:val="subscript"/>
              </w:rPr>
              <w:t>10</w:t>
            </w:r>
          </w:p>
        </w:tc>
        <w:tc>
          <w:tcPr>
            <w:tcW w:w="797" w:type="pct"/>
            <w:vAlign w:val="center"/>
          </w:tcPr>
          <w:p w14:paraId="1A05EA3B">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w:t>
            </w:r>
          </w:p>
        </w:tc>
        <w:tc>
          <w:tcPr>
            <w:tcW w:w="445" w:type="pct"/>
            <w:vAlign w:val="center"/>
          </w:tcPr>
          <w:p w14:paraId="6FF7A722">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40</w:t>
            </w:r>
          </w:p>
        </w:tc>
        <w:tc>
          <w:tcPr>
            <w:tcW w:w="444" w:type="pct"/>
            <w:vAlign w:val="center"/>
          </w:tcPr>
          <w:p w14:paraId="0AD3AB0E">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70</w:t>
            </w:r>
          </w:p>
        </w:tc>
        <w:tc>
          <w:tcPr>
            <w:tcW w:w="437" w:type="pct"/>
            <w:vAlign w:val="center"/>
          </w:tcPr>
          <w:p w14:paraId="7555FA8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20</w:t>
            </w:r>
          </w:p>
        </w:tc>
        <w:tc>
          <w:tcPr>
            <w:tcW w:w="483" w:type="pct"/>
            <w:vAlign w:val="center"/>
          </w:tcPr>
          <w:p w14:paraId="563C2EC0">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c>
          <w:tcPr>
            <w:tcW w:w="443" w:type="pct"/>
            <w:vMerge w:val="continue"/>
            <w:vAlign w:val="center"/>
          </w:tcPr>
          <w:p w14:paraId="013E4984">
            <w:pPr>
              <w:adjustRightInd w:val="0"/>
              <w:snapToGrid w:val="0"/>
              <w:jc w:val="center"/>
              <w:rPr>
                <w:rFonts w:hint="default" w:ascii="Times New Roman" w:hAnsi="Times New Roman" w:eastAsia="宋体" w:cs="Times New Roman"/>
                <w:bCs/>
                <w:color w:val="auto"/>
                <w:szCs w:val="21"/>
                <w:highlight w:val="none"/>
              </w:rPr>
            </w:pPr>
          </w:p>
        </w:tc>
      </w:tr>
      <w:tr w14:paraId="5408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1CA68B39">
            <w:pPr>
              <w:adjustRightInd w:val="0"/>
              <w:snapToGrid w:val="0"/>
              <w:jc w:val="center"/>
              <w:rPr>
                <w:rFonts w:hint="default" w:ascii="Times New Roman" w:hAnsi="Times New Roman" w:eastAsia="宋体" w:cs="Times New Roman"/>
                <w:bCs/>
                <w:color w:val="auto"/>
                <w:szCs w:val="21"/>
                <w:highlight w:val="none"/>
              </w:rPr>
            </w:pPr>
          </w:p>
        </w:tc>
        <w:tc>
          <w:tcPr>
            <w:tcW w:w="711" w:type="pct"/>
            <w:vMerge w:val="continue"/>
            <w:vAlign w:val="center"/>
          </w:tcPr>
          <w:p w14:paraId="3C37BDC8">
            <w:pPr>
              <w:adjustRightInd w:val="0"/>
              <w:snapToGrid w:val="0"/>
              <w:jc w:val="center"/>
              <w:rPr>
                <w:rFonts w:hint="default" w:ascii="Times New Roman" w:hAnsi="Times New Roman" w:eastAsia="宋体" w:cs="Times New Roman"/>
                <w:bCs/>
                <w:color w:val="auto"/>
                <w:szCs w:val="21"/>
                <w:highlight w:val="none"/>
              </w:rPr>
            </w:pPr>
          </w:p>
        </w:tc>
        <w:tc>
          <w:tcPr>
            <w:tcW w:w="797" w:type="pct"/>
            <w:vAlign w:val="center"/>
          </w:tcPr>
          <w:p w14:paraId="417884B6">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日平均</w:t>
            </w:r>
          </w:p>
        </w:tc>
        <w:tc>
          <w:tcPr>
            <w:tcW w:w="445" w:type="pct"/>
            <w:vAlign w:val="center"/>
          </w:tcPr>
          <w:p w14:paraId="478818E7">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50</w:t>
            </w:r>
          </w:p>
        </w:tc>
        <w:tc>
          <w:tcPr>
            <w:tcW w:w="444" w:type="pct"/>
            <w:vAlign w:val="center"/>
          </w:tcPr>
          <w:p w14:paraId="4B302724">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150</w:t>
            </w:r>
          </w:p>
        </w:tc>
        <w:tc>
          <w:tcPr>
            <w:tcW w:w="437" w:type="pct"/>
            <w:vAlign w:val="center"/>
          </w:tcPr>
          <w:p w14:paraId="115A6606">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c>
          <w:tcPr>
            <w:tcW w:w="483" w:type="pct"/>
            <w:vAlign w:val="center"/>
          </w:tcPr>
          <w:p w14:paraId="3259CA13">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100</w:t>
            </w:r>
          </w:p>
        </w:tc>
        <w:tc>
          <w:tcPr>
            <w:tcW w:w="443" w:type="pct"/>
            <w:vMerge w:val="continue"/>
            <w:vAlign w:val="center"/>
          </w:tcPr>
          <w:p w14:paraId="33232BC4">
            <w:pPr>
              <w:adjustRightInd w:val="0"/>
              <w:snapToGrid w:val="0"/>
              <w:jc w:val="center"/>
              <w:rPr>
                <w:rFonts w:hint="default" w:ascii="Times New Roman" w:hAnsi="Times New Roman" w:eastAsia="宋体" w:cs="Times New Roman"/>
                <w:bCs/>
                <w:color w:val="auto"/>
                <w:szCs w:val="21"/>
                <w:highlight w:val="none"/>
              </w:rPr>
            </w:pPr>
          </w:p>
        </w:tc>
      </w:tr>
      <w:tr w14:paraId="7966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6D0BB312">
            <w:pPr>
              <w:adjustRightInd w:val="0"/>
              <w:snapToGrid w:val="0"/>
              <w:jc w:val="center"/>
              <w:rPr>
                <w:rFonts w:hint="default" w:ascii="Times New Roman" w:hAnsi="Times New Roman" w:eastAsia="宋体" w:cs="Times New Roman"/>
                <w:bCs/>
                <w:color w:val="auto"/>
                <w:szCs w:val="21"/>
                <w:highlight w:val="none"/>
              </w:rPr>
            </w:pPr>
          </w:p>
        </w:tc>
        <w:tc>
          <w:tcPr>
            <w:tcW w:w="711" w:type="pct"/>
            <w:vMerge w:val="restart"/>
            <w:vAlign w:val="center"/>
          </w:tcPr>
          <w:p w14:paraId="74E19AA5">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PM</w:t>
            </w:r>
            <w:r>
              <w:rPr>
                <w:rFonts w:hint="default" w:ascii="Times New Roman" w:hAnsi="Times New Roman" w:eastAsia="宋体" w:cs="Times New Roman"/>
                <w:bCs/>
                <w:color w:val="auto"/>
                <w:szCs w:val="21"/>
                <w:highlight w:val="none"/>
                <w:vertAlign w:val="subscript"/>
              </w:rPr>
              <w:t>2.5</w:t>
            </w:r>
          </w:p>
        </w:tc>
        <w:tc>
          <w:tcPr>
            <w:tcW w:w="797" w:type="pct"/>
            <w:vAlign w:val="center"/>
          </w:tcPr>
          <w:p w14:paraId="0DF6955E">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w:t>
            </w:r>
          </w:p>
        </w:tc>
        <w:tc>
          <w:tcPr>
            <w:tcW w:w="445" w:type="pct"/>
            <w:vAlign w:val="center"/>
          </w:tcPr>
          <w:p w14:paraId="47CD0081">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15</w:t>
            </w:r>
          </w:p>
        </w:tc>
        <w:tc>
          <w:tcPr>
            <w:tcW w:w="444" w:type="pct"/>
            <w:vAlign w:val="center"/>
          </w:tcPr>
          <w:p w14:paraId="1E992809">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35</w:t>
            </w:r>
          </w:p>
        </w:tc>
        <w:tc>
          <w:tcPr>
            <w:tcW w:w="437" w:type="pct"/>
            <w:vAlign w:val="center"/>
          </w:tcPr>
          <w:p w14:paraId="74A1AC92">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10</w:t>
            </w:r>
          </w:p>
        </w:tc>
        <w:tc>
          <w:tcPr>
            <w:tcW w:w="483" w:type="pct"/>
            <w:vAlign w:val="center"/>
          </w:tcPr>
          <w:p w14:paraId="1DFEE6AA">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25</w:t>
            </w:r>
          </w:p>
        </w:tc>
        <w:tc>
          <w:tcPr>
            <w:tcW w:w="443" w:type="pct"/>
            <w:vMerge w:val="continue"/>
            <w:vAlign w:val="center"/>
          </w:tcPr>
          <w:p w14:paraId="7E6FC701">
            <w:pPr>
              <w:adjustRightInd w:val="0"/>
              <w:snapToGrid w:val="0"/>
              <w:jc w:val="center"/>
              <w:rPr>
                <w:rFonts w:hint="default" w:ascii="Times New Roman" w:hAnsi="Times New Roman" w:eastAsia="宋体" w:cs="Times New Roman"/>
                <w:bCs/>
                <w:color w:val="auto"/>
                <w:szCs w:val="21"/>
                <w:highlight w:val="none"/>
              </w:rPr>
            </w:pPr>
          </w:p>
        </w:tc>
      </w:tr>
      <w:tr w14:paraId="753F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6" w:type="pct"/>
            <w:vMerge w:val="continue"/>
            <w:vAlign w:val="center"/>
          </w:tcPr>
          <w:p w14:paraId="647BE311">
            <w:pPr>
              <w:adjustRightInd w:val="0"/>
              <w:snapToGrid w:val="0"/>
              <w:jc w:val="center"/>
              <w:rPr>
                <w:rFonts w:hint="default" w:ascii="Times New Roman" w:hAnsi="Times New Roman" w:eastAsia="宋体" w:cs="Times New Roman"/>
                <w:bCs/>
                <w:color w:val="auto"/>
                <w:szCs w:val="21"/>
                <w:highlight w:val="none"/>
              </w:rPr>
            </w:pPr>
          </w:p>
        </w:tc>
        <w:tc>
          <w:tcPr>
            <w:tcW w:w="711" w:type="pct"/>
            <w:vMerge w:val="continue"/>
            <w:vAlign w:val="center"/>
          </w:tcPr>
          <w:p w14:paraId="7FC2FBE2">
            <w:pPr>
              <w:adjustRightInd w:val="0"/>
              <w:snapToGrid w:val="0"/>
              <w:jc w:val="center"/>
              <w:rPr>
                <w:rFonts w:hint="default" w:ascii="Times New Roman" w:hAnsi="Times New Roman" w:eastAsia="宋体" w:cs="Times New Roman"/>
                <w:bCs/>
                <w:color w:val="auto"/>
                <w:szCs w:val="21"/>
                <w:highlight w:val="none"/>
              </w:rPr>
            </w:pPr>
          </w:p>
        </w:tc>
        <w:tc>
          <w:tcPr>
            <w:tcW w:w="797" w:type="pct"/>
            <w:vAlign w:val="center"/>
          </w:tcPr>
          <w:p w14:paraId="7645FED7">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日平均</w:t>
            </w:r>
          </w:p>
        </w:tc>
        <w:tc>
          <w:tcPr>
            <w:tcW w:w="445" w:type="pct"/>
            <w:vAlign w:val="center"/>
          </w:tcPr>
          <w:p w14:paraId="764E741D">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35</w:t>
            </w:r>
          </w:p>
        </w:tc>
        <w:tc>
          <w:tcPr>
            <w:tcW w:w="444" w:type="pct"/>
            <w:vAlign w:val="center"/>
          </w:tcPr>
          <w:p w14:paraId="3AC98009">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75</w:t>
            </w:r>
          </w:p>
        </w:tc>
        <w:tc>
          <w:tcPr>
            <w:tcW w:w="437" w:type="pct"/>
            <w:vAlign w:val="center"/>
          </w:tcPr>
          <w:p w14:paraId="5F41AAB7">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25</w:t>
            </w:r>
          </w:p>
        </w:tc>
        <w:tc>
          <w:tcPr>
            <w:tcW w:w="483" w:type="pct"/>
            <w:vAlign w:val="center"/>
          </w:tcPr>
          <w:p w14:paraId="617B8FD9">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c>
          <w:tcPr>
            <w:tcW w:w="443" w:type="pct"/>
            <w:vMerge w:val="continue"/>
            <w:vAlign w:val="center"/>
          </w:tcPr>
          <w:p w14:paraId="236EEBA9">
            <w:pPr>
              <w:adjustRightInd w:val="0"/>
              <w:snapToGrid w:val="0"/>
              <w:jc w:val="center"/>
              <w:rPr>
                <w:rFonts w:hint="default" w:ascii="Times New Roman" w:hAnsi="Times New Roman" w:eastAsia="宋体" w:cs="Times New Roman"/>
                <w:bCs/>
                <w:color w:val="auto"/>
                <w:szCs w:val="21"/>
                <w:highlight w:val="none"/>
              </w:rPr>
            </w:pPr>
          </w:p>
        </w:tc>
      </w:tr>
      <w:tr w14:paraId="1ED3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8"/>
            <w:vAlign w:val="center"/>
          </w:tcPr>
          <w:p w14:paraId="2D4D436C">
            <w:pPr>
              <w:adjustRightInd w:val="0"/>
              <w:snapToGrid w:val="0"/>
              <w:jc w:val="both"/>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注：自本标准实施之日起至2030年12月31日止，环境空气污染物基本项目实施过渡阶段浓度限值；自2031年1月1日起，在全国范围内实施基本项目（表1）浓度限值。</w:t>
            </w:r>
          </w:p>
        </w:tc>
      </w:tr>
    </w:tbl>
    <w:p w14:paraId="0C13DF96">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w:t>
      </w:r>
    </w:p>
    <w:p w14:paraId="717547F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规划区北侧为帕隆藏布，规划范围内有数条支沟，属雅鲁藏布江支流，规划区部分位于雅鲁藏布大峡谷国家级自然保护区、西藏嘎朗国家湿地公园、生态保护红线内，执行《地表水环境质量标准》（GB3838-2002）</w:t>
      </w:r>
      <w:r>
        <w:rPr>
          <w:rFonts w:hint="default" w:ascii="Times New Roman" w:hAnsi="Times New Roman" w:eastAsia="宋体" w:cs="Times New Roman"/>
          <w:color w:val="auto"/>
          <w:kern w:val="0"/>
          <w:sz w:val="24"/>
          <w:highlight w:val="none"/>
        </w:rPr>
        <w:t>Ⅱ</w:t>
      </w:r>
      <w:r>
        <w:rPr>
          <w:rFonts w:hint="default" w:ascii="Times New Roman" w:hAnsi="Times New Roman" w:cs="Times New Roman"/>
          <w:color w:val="auto"/>
          <w:sz w:val="24"/>
          <w:highlight w:val="none"/>
        </w:rPr>
        <w:t>类标准。具体标准限值见表1.9-2。</w:t>
      </w:r>
    </w:p>
    <w:p w14:paraId="23DDC157">
      <w:pPr>
        <w:pStyle w:val="1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表1.9-2  地表水环境质量标准一览表（摘录）</w:t>
      </w:r>
    </w:p>
    <w:tbl>
      <w:tblPr>
        <w:tblStyle w:val="58"/>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867"/>
        <w:gridCol w:w="2934"/>
        <w:gridCol w:w="1676"/>
        <w:gridCol w:w="1553"/>
        <w:gridCol w:w="2098"/>
      </w:tblGrid>
      <w:tr w14:paraId="1960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blHeader/>
          <w:jc w:val="center"/>
        </w:trPr>
        <w:tc>
          <w:tcPr>
            <w:tcW w:w="867" w:type="dxa"/>
            <w:vAlign w:val="center"/>
          </w:tcPr>
          <w:p w14:paraId="0D4EF715">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序号</w:t>
            </w:r>
          </w:p>
        </w:tc>
        <w:tc>
          <w:tcPr>
            <w:tcW w:w="2934" w:type="dxa"/>
            <w:vAlign w:val="center"/>
          </w:tcPr>
          <w:p w14:paraId="29699741">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项目</w:t>
            </w:r>
          </w:p>
        </w:tc>
        <w:tc>
          <w:tcPr>
            <w:tcW w:w="1676" w:type="dxa"/>
            <w:vAlign w:val="center"/>
          </w:tcPr>
          <w:p w14:paraId="52DC5C0C">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单位</w:t>
            </w:r>
          </w:p>
        </w:tc>
        <w:tc>
          <w:tcPr>
            <w:tcW w:w="1553" w:type="dxa"/>
            <w:vAlign w:val="center"/>
          </w:tcPr>
          <w:p w14:paraId="6AC4247B">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标准值</w:t>
            </w:r>
          </w:p>
        </w:tc>
        <w:tc>
          <w:tcPr>
            <w:tcW w:w="2098" w:type="dxa"/>
            <w:vAlign w:val="center"/>
          </w:tcPr>
          <w:p w14:paraId="01B860A6">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标准来源</w:t>
            </w:r>
          </w:p>
        </w:tc>
      </w:tr>
      <w:tr w14:paraId="2EDD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867" w:type="dxa"/>
            <w:vAlign w:val="center"/>
          </w:tcPr>
          <w:p w14:paraId="22FEE01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934" w:type="dxa"/>
            <w:vAlign w:val="center"/>
          </w:tcPr>
          <w:p w14:paraId="26E70C60">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pH值</w:t>
            </w:r>
          </w:p>
        </w:tc>
        <w:tc>
          <w:tcPr>
            <w:tcW w:w="1676" w:type="dxa"/>
            <w:vAlign w:val="center"/>
          </w:tcPr>
          <w:p w14:paraId="08D27FB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无量纲</w:t>
            </w:r>
          </w:p>
        </w:tc>
        <w:tc>
          <w:tcPr>
            <w:tcW w:w="1553" w:type="dxa"/>
            <w:vAlign w:val="center"/>
          </w:tcPr>
          <w:p w14:paraId="0E79615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6~9</w:t>
            </w:r>
          </w:p>
        </w:tc>
        <w:tc>
          <w:tcPr>
            <w:tcW w:w="2098" w:type="dxa"/>
            <w:vMerge w:val="restart"/>
            <w:vAlign w:val="center"/>
          </w:tcPr>
          <w:p w14:paraId="6198681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《地表水环境质量标准》（GB3838-2002）Ⅱ类标准</w:t>
            </w:r>
          </w:p>
        </w:tc>
      </w:tr>
      <w:tr w14:paraId="59CC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867" w:type="dxa"/>
            <w:vAlign w:val="center"/>
          </w:tcPr>
          <w:p w14:paraId="4C846CF6">
            <w:pPr>
              <w:widowControl/>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2</w:t>
            </w:r>
          </w:p>
        </w:tc>
        <w:tc>
          <w:tcPr>
            <w:tcW w:w="2934" w:type="dxa"/>
            <w:vAlign w:val="center"/>
          </w:tcPr>
          <w:p w14:paraId="0F54FC0D">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化学需氧量（COD）</w:t>
            </w:r>
          </w:p>
        </w:tc>
        <w:tc>
          <w:tcPr>
            <w:tcW w:w="1676" w:type="dxa"/>
            <w:vAlign w:val="center"/>
          </w:tcPr>
          <w:p w14:paraId="4A563AA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mg/L</w:t>
            </w:r>
          </w:p>
        </w:tc>
        <w:tc>
          <w:tcPr>
            <w:tcW w:w="1553" w:type="dxa"/>
            <w:vAlign w:val="center"/>
          </w:tcPr>
          <w:p w14:paraId="69157195">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15</w:t>
            </w:r>
          </w:p>
        </w:tc>
        <w:tc>
          <w:tcPr>
            <w:tcW w:w="2098" w:type="dxa"/>
            <w:vMerge w:val="continue"/>
            <w:vAlign w:val="center"/>
          </w:tcPr>
          <w:p w14:paraId="76B35B8F">
            <w:pPr>
              <w:widowControl/>
              <w:jc w:val="center"/>
              <w:rPr>
                <w:rFonts w:hint="default" w:ascii="Times New Roman" w:hAnsi="Times New Roman" w:cs="Times New Roman"/>
                <w:color w:val="auto"/>
                <w:kern w:val="0"/>
                <w:szCs w:val="21"/>
                <w:highlight w:val="none"/>
              </w:rPr>
            </w:pPr>
          </w:p>
        </w:tc>
      </w:tr>
      <w:tr w14:paraId="7154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867" w:type="dxa"/>
            <w:vAlign w:val="center"/>
          </w:tcPr>
          <w:p w14:paraId="13C4E01C">
            <w:pPr>
              <w:widowControl/>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3</w:t>
            </w:r>
          </w:p>
        </w:tc>
        <w:tc>
          <w:tcPr>
            <w:tcW w:w="2934" w:type="dxa"/>
            <w:vAlign w:val="center"/>
          </w:tcPr>
          <w:p w14:paraId="02D64A86">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五日生化需氧量（BOD</w:t>
            </w:r>
            <w:r>
              <w:rPr>
                <w:rFonts w:hint="default" w:ascii="Times New Roman" w:hAnsi="Times New Roman" w:cs="Times New Roman"/>
                <w:color w:val="auto"/>
                <w:kern w:val="0"/>
                <w:szCs w:val="21"/>
                <w:highlight w:val="none"/>
                <w:vertAlign w:val="subscript"/>
              </w:rPr>
              <w:t>5</w:t>
            </w:r>
            <w:r>
              <w:rPr>
                <w:rFonts w:hint="default" w:ascii="Times New Roman" w:hAnsi="Times New Roman" w:cs="Times New Roman"/>
                <w:color w:val="auto"/>
                <w:kern w:val="0"/>
                <w:szCs w:val="21"/>
                <w:highlight w:val="none"/>
              </w:rPr>
              <w:t>）</w:t>
            </w:r>
          </w:p>
        </w:tc>
        <w:tc>
          <w:tcPr>
            <w:tcW w:w="1676" w:type="dxa"/>
            <w:vAlign w:val="center"/>
          </w:tcPr>
          <w:p w14:paraId="71F59A9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mg/L</w:t>
            </w:r>
          </w:p>
        </w:tc>
        <w:tc>
          <w:tcPr>
            <w:tcW w:w="1553" w:type="dxa"/>
            <w:vAlign w:val="center"/>
          </w:tcPr>
          <w:p w14:paraId="7637AD1A">
            <w:pPr>
              <w:widowControl/>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3</w:t>
            </w:r>
          </w:p>
        </w:tc>
        <w:tc>
          <w:tcPr>
            <w:tcW w:w="2098" w:type="dxa"/>
            <w:vMerge w:val="continue"/>
            <w:vAlign w:val="center"/>
          </w:tcPr>
          <w:p w14:paraId="50F8BC19">
            <w:pPr>
              <w:widowControl/>
              <w:jc w:val="center"/>
              <w:rPr>
                <w:rFonts w:hint="default" w:ascii="Times New Roman" w:hAnsi="Times New Roman" w:cs="Times New Roman"/>
                <w:color w:val="auto"/>
                <w:kern w:val="0"/>
                <w:szCs w:val="21"/>
                <w:highlight w:val="none"/>
              </w:rPr>
            </w:pPr>
          </w:p>
        </w:tc>
      </w:tr>
      <w:tr w14:paraId="2D2C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867" w:type="dxa"/>
            <w:vAlign w:val="center"/>
          </w:tcPr>
          <w:p w14:paraId="64659ACC">
            <w:pPr>
              <w:widowControl/>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4</w:t>
            </w:r>
          </w:p>
        </w:tc>
        <w:tc>
          <w:tcPr>
            <w:tcW w:w="2934" w:type="dxa"/>
            <w:vAlign w:val="center"/>
          </w:tcPr>
          <w:p w14:paraId="28F067D7">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氨氮（NH</w:t>
            </w:r>
            <w:r>
              <w:rPr>
                <w:rFonts w:hint="default" w:ascii="Times New Roman" w:hAnsi="Times New Roman" w:cs="Times New Roman"/>
                <w:color w:val="auto"/>
                <w:kern w:val="0"/>
                <w:szCs w:val="21"/>
                <w:highlight w:val="none"/>
                <w:vertAlign w:val="subscript"/>
              </w:rPr>
              <w:t>3</w:t>
            </w:r>
            <w:r>
              <w:rPr>
                <w:rFonts w:hint="default" w:ascii="Times New Roman" w:hAnsi="Times New Roman" w:cs="Times New Roman"/>
                <w:color w:val="auto"/>
                <w:kern w:val="0"/>
                <w:szCs w:val="21"/>
                <w:highlight w:val="none"/>
              </w:rPr>
              <w:t>-N）</w:t>
            </w:r>
          </w:p>
        </w:tc>
        <w:tc>
          <w:tcPr>
            <w:tcW w:w="1676" w:type="dxa"/>
            <w:vAlign w:val="center"/>
          </w:tcPr>
          <w:p w14:paraId="29CC73E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mg/L</w:t>
            </w:r>
          </w:p>
        </w:tc>
        <w:tc>
          <w:tcPr>
            <w:tcW w:w="1553" w:type="dxa"/>
            <w:vAlign w:val="center"/>
          </w:tcPr>
          <w:p w14:paraId="2386513D">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0.5</w:t>
            </w:r>
          </w:p>
        </w:tc>
        <w:tc>
          <w:tcPr>
            <w:tcW w:w="2098" w:type="dxa"/>
            <w:vMerge w:val="continue"/>
            <w:vAlign w:val="center"/>
          </w:tcPr>
          <w:p w14:paraId="72E7441C">
            <w:pPr>
              <w:widowControl/>
              <w:jc w:val="center"/>
              <w:rPr>
                <w:rFonts w:hint="default" w:ascii="Times New Roman" w:hAnsi="Times New Roman" w:cs="Times New Roman"/>
                <w:color w:val="auto"/>
                <w:kern w:val="0"/>
                <w:szCs w:val="21"/>
                <w:highlight w:val="none"/>
              </w:rPr>
            </w:pPr>
          </w:p>
        </w:tc>
      </w:tr>
      <w:tr w14:paraId="4C8F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867" w:type="dxa"/>
            <w:vAlign w:val="center"/>
          </w:tcPr>
          <w:p w14:paraId="2BC5E2B2">
            <w:pPr>
              <w:widowControl/>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5</w:t>
            </w:r>
          </w:p>
        </w:tc>
        <w:tc>
          <w:tcPr>
            <w:tcW w:w="2934" w:type="dxa"/>
            <w:vAlign w:val="center"/>
          </w:tcPr>
          <w:p w14:paraId="6196993C">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总磷（以P计）</w:t>
            </w:r>
          </w:p>
        </w:tc>
        <w:tc>
          <w:tcPr>
            <w:tcW w:w="1676" w:type="dxa"/>
            <w:vAlign w:val="center"/>
          </w:tcPr>
          <w:p w14:paraId="69817314">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mg/L</w:t>
            </w:r>
          </w:p>
        </w:tc>
        <w:tc>
          <w:tcPr>
            <w:tcW w:w="1553" w:type="dxa"/>
            <w:vAlign w:val="center"/>
          </w:tcPr>
          <w:p w14:paraId="2628AFC4">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1</w:t>
            </w:r>
          </w:p>
        </w:tc>
        <w:tc>
          <w:tcPr>
            <w:tcW w:w="2098" w:type="dxa"/>
            <w:vMerge w:val="continue"/>
            <w:vAlign w:val="center"/>
          </w:tcPr>
          <w:p w14:paraId="01EBC275">
            <w:pPr>
              <w:widowControl/>
              <w:jc w:val="center"/>
              <w:rPr>
                <w:rFonts w:hint="default" w:ascii="Times New Roman" w:hAnsi="Times New Roman" w:cs="Times New Roman"/>
                <w:color w:val="auto"/>
                <w:kern w:val="0"/>
                <w:szCs w:val="21"/>
                <w:highlight w:val="none"/>
              </w:rPr>
            </w:pPr>
          </w:p>
        </w:tc>
      </w:tr>
      <w:tr w14:paraId="5A20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867" w:type="dxa"/>
            <w:vAlign w:val="center"/>
          </w:tcPr>
          <w:p w14:paraId="0E82D1AA">
            <w:pP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6</w:t>
            </w:r>
          </w:p>
        </w:tc>
        <w:tc>
          <w:tcPr>
            <w:tcW w:w="2934" w:type="dxa"/>
            <w:vAlign w:val="center"/>
          </w:tcPr>
          <w:p w14:paraId="4BB213B7">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粪大肠菌群</w:t>
            </w:r>
          </w:p>
        </w:tc>
        <w:tc>
          <w:tcPr>
            <w:tcW w:w="1676" w:type="dxa"/>
            <w:vAlign w:val="center"/>
          </w:tcPr>
          <w:p w14:paraId="09AB2CB9">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个/L</w:t>
            </w:r>
          </w:p>
        </w:tc>
        <w:tc>
          <w:tcPr>
            <w:tcW w:w="1553" w:type="dxa"/>
            <w:vAlign w:val="center"/>
          </w:tcPr>
          <w:p w14:paraId="06DF7580">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00</w:t>
            </w:r>
            <w:r>
              <w:rPr>
                <w:rFonts w:hint="default" w:ascii="Times New Roman" w:hAnsi="Times New Roman" w:cs="Times New Roman"/>
                <w:color w:val="auto"/>
                <w:kern w:val="0"/>
                <w:szCs w:val="21"/>
                <w:highlight w:val="none"/>
                <w:lang w:val="en-US" w:eastAsia="zh-CN"/>
              </w:rPr>
              <w:t>0</w:t>
            </w:r>
          </w:p>
        </w:tc>
        <w:tc>
          <w:tcPr>
            <w:tcW w:w="2098" w:type="dxa"/>
            <w:vMerge w:val="continue"/>
            <w:vAlign w:val="center"/>
          </w:tcPr>
          <w:p w14:paraId="45AB5D22">
            <w:pPr>
              <w:jc w:val="center"/>
              <w:rPr>
                <w:rFonts w:hint="default" w:ascii="Times New Roman" w:hAnsi="Times New Roman" w:cs="Times New Roman"/>
                <w:color w:val="auto"/>
                <w:kern w:val="0"/>
                <w:szCs w:val="21"/>
                <w:highlight w:val="none"/>
              </w:rPr>
            </w:pPr>
          </w:p>
        </w:tc>
      </w:tr>
    </w:tbl>
    <w:p w14:paraId="328991B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地下水环境</w:t>
      </w:r>
    </w:p>
    <w:p w14:paraId="62A70AAA">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规划区域地下水功能分类为</w:t>
      </w:r>
      <w:r>
        <w:rPr>
          <w:rFonts w:hint="default" w:ascii="Times New Roman" w:hAnsi="Times New Roman" w:cs="Times New Roman"/>
          <w:color w:val="auto"/>
          <w:sz w:val="24"/>
          <w:highlight w:val="none"/>
        </w:rPr>
        <w:t>Ⅲ类，</w:t>
      </w:r>
      <w:r>
        <w:rPr>
          <w:rFonts w:hint="default" w:ascii="Times New Roman" w:hAnsi="Times New Roman" w:cs="Times New Roman"/>
          <w:color w:val="auto"/>
          <w:kern w:val="0"/>
          <w:sz w:val="24"/>
          <w:highlight w:val="none"/>
        </w:rPr>
        <w:t>执行《地下水质量标准》（GB/T 14848-2017）</w:t>
      </w:r>
      <w:r>
        <w:rPr>
          <w:rFonts w:hint="default" w:ascii="Times New Roman" w:hAnsi="Times New Roman" w:cs="Times New Roman"/>
          <w:color w:val="auto"/>
          <w:sz w:val="24"/>
          <w:highlight w:val="none"/>
        </w:rPr>
        <w:t>Ⅲ</w:t>
      </w:r>
      <w:r>
        <w:rPr>
          <w:rFonts w:hint="default" w:ascii="Times New Roman" w:hAnsi="Times New Roman" w:cs="Times New Roman"/>
          <w:color w:val="auto"/>
          <w:kern w:val="0"/>
          <w:sz w:val="24"/>
          <w:highlight w:val="none"/>
        </w:rPr>
        <w:t>类标准。具体标准限值见表1.9-3。</w:t>
      </w:r>
    </w:p>
    <w:p w14:paraId="3D511405">
      <w:pPr>
        <w:pStyle w:val="1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表1.9-3  地下水质量标准（摘录）</w:t>
      </w:r>
    </w:p>
    <w:tbl>
      <w:tblPr>
        <w:tblStyle w:val="58"/>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828"/>
        <w:gridCol w:w="1386"/>
        <w:gridCol w:w="1259"/>
        <w:gridCol w:w="2991"/>
      </w:tblGrid>
      <w:tr w14:paraId="27AD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10" w:type="dxa"/>
            <w:noWrap/>
            <w:vAlign w:val="center"/>
          </w:tcPr>
          <w:p w14:paraId="6A79CBBF">
            <w:pPr>
              <w:pStyle w:val="123"/>
              <w:spacing w:line="300" w:lineRule="exact"/>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序号</w:t>
            </w:r>
          </w:p>
        </w:tc>
        <w:tc>
          <w:tcPr>
            <w:tcW w:w="2828" w:type="dxa"/>
            <w:vAlign w:val="center"/>
          </w:tcPr>
          <w:p w14:paraId="5D8A469C">
            <w:pPr>
              <w:pStyle w:val="123"/>
              <w:spacing w:line="300" w:lineRule="exact"/>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指标</w:t>
            </w:r>
          </w:p>
        </w:tc>
        <w:tc>
          <w:tcPr>
            <w:tcW w:w="1386" w:type="dxa"/>
            <w:noWrap/>
            <w:vAlign w:val="center"/>
          </w:tcPr>
          <w:p w14:paraId="1CC3C1EA">
            <w:pPr>
              <w:pStyle w:val="123"/>
              <w:spacing w:line="300" w:lineRule="exact"/>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单位</w:t>
            </w:r>
          </w:p>
        </w:tc>
        <w:tc>
          <w:tcPr>
            <w:tcW w:w="1259" w:type="dxa"/>
            <w:noWrap/>
            <w:vAlign w:val="center"/>
          </w:tcPr>
          <w:p w14:paraId="1CF2EF6C">
            <w:pPr>
              <w:pStyle w:val="123"/>
              <w:spacing w:line="300" w:lineRule="exact"/>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标准限值</w:t>
            </w:r>
          </w:p>
        </w:tc>
        <w:tc>
          <w:tcPr>
            <w:tcW w:w="2991" w:type="dxa"/>
            <w:vAlign w:val="center"/>
          </w:tcPr>
          <w:p w14:paraId="2ED7CBAA">
            <w:pPr>
              <w:pStyle w:val="123"/>
              <w:spacing w:line="300" w:lineRule="exact"/>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标准来源</w:t>
            </w:r>
          </w:p>
        </w:tc>
      </w:tr>
      <w:tr w14:paraId="393F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83" w:type="dxa"/>
            <w:gridSpan w:val="4"/>
            <w:vAlign w:val="center"/>
          </w:tcPr>
          <w:p w14:paraId="35BAC8BD">
            <w:pPr>
              <w:pStyle w:val="123"/>
              <w:spacing w:line="300" w:lineRule="exact"/>
              <w:rPr>
                <w:rFonts w:hint="default" w:ascii="Times New Roman" w:hAnsi="Times New Roman" w:eastAsia="楷体" w:cs="Times New Roman"/>
                <w:b/>
                <w:color w:val="auto"/>
                <w:highlight w:val="none"/>
                <w:lang w:val="en-US"/>
              </w:rPr>
            </w:pPr>
            <w:r>
              <w:rPr>
                <w:rFonts w:hint="default" w:ascii="Times New Roman" w:hAnsi="Times New Roman" w:eastAsia="楷体" w:cs="Times New Roman"/>
                <w:b/>
                <w:color w:val="auto"/>
                <w:highlight w:val="none"/>
                <w:lang w:val="en-US"/>
              </w:rPr>
              <w:t>感官性状及一般化学指标</w:t>
            </w:r>
          </w:p>
        </w:tc>
        <w:tc>
          <w:tcPr>
            <w:tcW w:w="2991" w:type="dxa"/>
            <w:vMerge w:val="restart"/>
            <w:vAlign w:val="center"/>
          </w:tcPr>
          <w:p w14:paraId="59B3C390">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《地下水质量标准》</w:t>
            </w:r>
          </w:p>
          <w:p w14:paraId="60626166">
            <w:pPr>
              <w:widowControl/>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（GB/T 14848-2017）Ⅲ类标准</w:t>
            </w:r>
          </w:p>
        </w:tc>
      </w:tr>
      <w:tr w14:paraId="71EF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50D59446">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w:t>
            </w:r>
          </w:p>
        </w:tc>
        <w:tc>
          <w:tcPr>
            <w:tcW w:w="2828" w:type="dxa"/>
            <w:vAlign w:val="center"/>
          </w:tcPr>
          <w:p w14:paraId="2CA629C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pH</w:t>
            </w:r>
          </w:p>
        </w:tc>
        <w:tc>
          <w:tcPr>
            <w:tcW w:w="1386" w:type="dxa"/>
            <w:noWrap/>
            <w:vAlign w:val="center"/>
          </w:tcPr>
          <w:p w14:paraId="7D9E9EA5">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无量纲</w:t>
            </w:r>
          </w:p>
        </w:tc>
        <w:tc>
          <w:tcPr>
            <w:tcW w:w="1259" w:type="dxa"/>
            <w:noWrap/>
            <w:vAlign w:val="center"/>
          </w:tcPr>
          <w:p w14:paraId="493925D7">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6.5~8.5</w:t>
            </w:r>
          </w:p>
        </w:tc>
        <w:tc>
          <w:tcPr>
            <w:tcW w:w="2991" w:type="dxa"/>
            <w:vMerge w:val="continue"/>
            <w:vAlign w:val="center"/>
          </w:tcPr>
          <w:p w14:paraId="306D735C">
            <w:pPr>
              <w:pStyle w:val="123"/>
              <w:spacing w:line="300" w:lineRule="exact"/>
              <w:rPr>
                <w:rFonts w:hint="default" w:ascii="Times New Roman" w:hAnsi="Times New Roman" w:cs="Times New Roman"/>
                <w:color w:val="auto"/>
                <w:highlight w:val="none"/>
                <w:lang w:val="en-US"/>
              </w:rPr>
            </w:pPr>
          </w:p>
        </w:tc>
      </w:tr>
      <w:tr w14:paraId="6338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08D4FDA1">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2</w:t>
            </w:r>
          </w:p>
        </w:tc>
        <w:tc>
          <w:tcPr>
            <w:tcW w:w="2828" w:type="dxa"/>
            <w:vAlign w:val="center"/>
          </w:tcPr>
          <w:p w14:paraId="6E12B039">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总硬度（以CaCO</w:t>
            </w:r>
            <w:r>
              <w:rPr>
                <w:rFonts w:hint="default" w:ascii="Times New Roman" w:hAnsi="Times New Roman" w:cs="Times New Roman"/>
                <w:color w:val="auto"/>
                <w:highlight w:val="none"/>
                <w:vertAlign w:val="subscript"/>
                <w:lang w:val="en-US"/>
              </w:rPr>
              <w:t>3</w:t>
            </w:r>
            <w:r>
              <w:rPr>
                <w:rFonts w:hint="default" w:ascii="Times New Roman" w:hAnsi="Times New Roman" w:cs="Times New Roman"/>
                <w:color w:val="auto"/>
                <w:highlight w:val="none"/>
                <w:lang w:val="en-US"/>
              </w:rPr>
              <w:t>计）</w:t>
            </w:r>
          </w:p>
        </w:tc>
        <w:tc>
          <w:tcPr>
            <w:tcW w:w="1386" w:type="dxa"/>
            <w:noWrap/>
            <w:vAlign w:val="center"/>
          </w:tcPr>
          <w:p w14:paraId="5DFF7763">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2C93F465">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≤450</w:t>
            </w:r>
          </w:p>
        </w:tc>
        <w:tc>
          <w:tcPr>
            <w:tcW w:w="2991" w:type="dxa"/>
            <w:vMerge w:val="continue"/>
            <w:vAlign w:val="center"/>
          </w:tcPr>
          <w:p w14:paraId="4313A1F4">
            <w:pPr>
              <w:pStyle w:val="123"/>
              <w:spacing w:line="300" w:lineRule="exact"/>
              <w:rPr>
                <w:rFonts w:hint="default" w:ascii="Times New Roman" w:hAnsi="Times New Roman" w:cs="Times New Roman"/>
                <w:color w:val="auto"/>
                <w:highlight w:val="none"/>
                <w:lang w:val="en-US"/>
              </w:rPr>
            </w:pPr>
          </w:p>
        </w:tc>
      </w:tr>
      <w:tr w14:paraId="0740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1A73DB95">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3</w:t>
            </w:r>
          </w:p>
        </w:tc>
        <w:tc>
          <w:tcPr>
            <w:tcW w:w="2828" w:type="dxa"/>
            <w:vAlign w:val="center"/>
          </w:tcPr>
          <w:p w14:paraId="69BB921B">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溶解性总固体</w:t>
            </w:r>
          </w:p>
        </w:tc>
        <w:tc>
          <w:tcPr>
            <w:tcW w:w="1386" w:type="dxa"/>
            <w:noWrap/>
            <w:vAlign w:val="center"/>
          </w:tcPr>
          <w:p w14:paraId="5BE111BD">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64726A22">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≤1000</w:t>
            </w:r>
          </w:p>
        </w:tc>
        <w:tc>
          <w:tcPr>
            <w:tcW w:w="2991" w:type="dxa"/>
            <w:vMerge w:val="continue"/>
            <w:vAlign w:val="center"/>
          </w:tcPr>
          <w:p w14:paraId="145E7877">
            <w:pPr>
              <w:pStyle w:val="123"/>
              <w:spacing w:line="300" w:lineRule="exact"/>
              <w:rPr>
                <w:rFonts w:hint="default" w:ascii="Times New Roman" w:hAnsi="Times New Roman" w:cs="Times New Roman"/>
                <w:color w:val="auto"/>
                <w:highlight w:val="none"/>
                <w:lang w:val="en-US"/>
              </w:rPr>
            </w:pPr>
          </w:p>
        </w:tc>
      </w:tr>
      <w:tr w14:paraId="538B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4302881D">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4</w:t>
            </w:r>
          </w:p>
        </w:tc>
        <w:tc>
          <w:tcPr>
            <w:tcW w:w="2828" w:type="dxa"/>
            <w:vAlign w:val="center"/>
          </w:tcPr>
          <w:p w14:paraId="532CA41D">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硫酸盐</w:t>
            </w:r>
          </w:p>
        </w:tc>
        <w:tc>
          <w:tcPr>
            <w:tcW w:w="1386" w:type="dxa"/>
            <w:noWrap/>
            <w:vAlign w:val="center"/>
          </w:tcPr>
          <w:p w14:paraId="72A0D5BB">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1F34680A">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≤250</w:t>
            </w:r>
          </w:p>
        </w:tc>
        <w:tc>
          <w:tcPr>
            <w:tcW w:w="2991" w:type="dxa"/>
            <w:vMerge w:val="continue"/>
            <w:vAlign w:val="center"/>
          </w:tcPr>
          <w:p w14:paraId="3887F9E9">
            <w:pPr>
              <w:pStyle w:val="123"/>
              <w:spacing w:line="300" w:lineRule="exact"/>
              <w:rPr>
                <w:rFonts w:hint="default" w:ascii="Times New Roman" w:hAnsi="Times New Roman" w:cs="Times New Roman"/>
                <w:color w:val="auto"/>
                <w:highlight w:val="none"/>
                <w:lang w:val="en-US"/>
              </w:rPr>
            </w:pPr>
          </w:p>
        </w:tc>
      </w:tr>
      <w:tr w14:paraId="4C9A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1E79C39C">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5</w:t>
            </w:r>
          </w:p>
        </w:tc>
        <w:tc>
          <w:tcPr>
            <w:tcW w:w="2828" w:type="dxa"/>
            <w:vAlign w:val="center"/>
          </w:tcPr>
          <w:p w14:paraId="4051FFE7">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氯化物</w:t>
            </w:r>
          </w:p>
        </w:tc>
        <w:tc>
          <w:tcPr>
            <w:tcW w:w="1386" w:type="dxa"/>
            <w:noWrap/>
            <w:vAlign w:val="center"/>
          </w:tcPr>
          <w:p w14:paraId="24D31EA8">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524BCF6C">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≤250</w:t>
            </w:r>
          </w:p>
        </w:tc>
        <w:tc>
          <w:tcPr>
            <w:tcW w:w="2991" w:type="dxa"/>
            <w:vMerge w:val="continue"/>
            <w:vAlign w:val="center"/>
          </w:tcPr>
          <w:p w14:paraId="41614B82">
            <w:pPr>
              <w:pStyle w:val="123"/>
              <w:spacing w:line="300" w:lineRule="exact"/>
              <w:rPr>
                <w:rFonts w:hint="default" w:ascii="Times New Roman" w:hAnsi="Times New Roman" w:cs="Times New Roman"/>
                <w:color w:val="auto"/>
                <w:highlight w:val="none"/>
                <w:lang w:val="en-US"/>
              </w:rPr>
            </w:pPr>
          </w:p>
        </w:tc>
      </w:tr>
      <w:tr w14:paraId="3391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625CF444">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6</w:t>
            </w:r>
          </w:p>
        </w:tc>
        <w:tc>
          <w:tcPr>
            <w:tcW w:w="2828" w:type="dxa"/>
            <w:vAlign w:val="center"/>
          </w:tcPr>
          <w:p w14:paraId="2313C9B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铁</w:t>
            </w:r>
          </w:p>
        </w:tc>
        <w:tc>
          <w:tcPr>
            <w:tcW w:w="1386" w:type="dxa"/>
            <w:noWrap/>
            <w:vAlign w:val="center"/>
          </w:tcPr>
          <w:p w14:paraId="492F4D39">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36B25D52">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≤0.3</w:t>
            </w:r>
          </w:p>
        </w:tc>
        <w:tc>
          <w:tcPr>
            <w:tcW w:w="2991" w:type="dxa"/>
            <w:vMerge w:val="continue"/>
            <w:vAlign w:val="center"/>
          </w:tcPr>
          <w:p w14:paraId="73B2F5EB">
            <w:pPr>
              <w:pStyle w:val="123"/>
              <w:spacing w:line="300" w:lineRule="exact"/>
              <w:rPr>
                <w:rFonts w:hint="default" w:ascii="Times New Roman" w:hAnsi="Times New Roman" w:cs="Times New Roman"/>
                <w:color w:val="auto"/>
                <w:highlight w:val="none"/>
                <w:lang w:val="en-US"/>
              </w:rPr>
            </w:pPr>
          </w:p>
        </w:tc>
      </w:tr>
      <w:tr w14:paraId="1487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613D7EE0">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7</w:t>
            </w:r>
          </w:p>
        </w:tc>
        <w:tc>
          <w:tcPr>
            <w:tcW w:w="2828" w:type="dxa"/>
            <w:vAlign w:val="center"/>
          </w:tcPr>
          <w:p w14:paraId="0F393BA2">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锰</w:t>
            </w:r>
          </w:p>
        </w:tc>
        <w:tc>
          <w:tcPr>
            <w:tcW w:w="1386" w:type="dxa"/>
            <w:noWrap/>
            <w:vAlign w:val="center"/>
          </w:tcPr>
          <w:p w14:paraId="21B16AA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2E564ADC">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≤0.10</w:t>
            </w:r>
          </w:p>
        </w:tc>
        <w:tc>
          <w:tcPr>
            <w:tcW w:w="2991" w:type="dxa"/>
            <w:vMerge w:val="continue"/>
            <w:vAlign w:val="center"/>
          </w:tcPr>
          <w:p w14:paraId="3F82B5DC">
            <w:pPr>
              <w:pStyle w:val="123"/>
              <w:spacing w:line="300" w:lineRule="exact"/>
              <w:rPr>
                <w:rFonts w:hint="default" w:ascii="Times New Roman" w:hAnsi="Times New Roman" w:cs="Times New Roman"/>
                <w:color w:val="auto"/>
                <w:highlight w:val="none"/>
                <w:lang w:val="en-US"/>
              </w:rPr>
            </w:pPr>
          </w:p>
        </w:tc>
      </w:tr>
      <w:tr w14:paraId="375E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2F5B3CEB">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8</w:t>
            </w:r>
          </w:p>
        </w:tc>
        <w:tc>
          <w:tcPr>
            <w:tcW w:w="2828" w:type="dxa"/>
            <w:vAlign w:val="center"/>
          </w:tcPr>
          <w:p w14:paraId="5A3CDC16">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挥发性酚类（以苯酚计）</w:t>
            </w:r>
          </w:p>
        </w:tc>
        <w:tc>
          <w:tcPr>
            <w:tcW w:w="1386" w:type="dxa"/>
            <w:noWrap/>
            <w:vAlign w:val="center"/>
          </w:tcPr>
          <w:p w14:paraId="6BD4143A">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4218E5EA">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≤0.002</w:t>
            </w:r>
          </w:p>
        </w:tc>
        <w:tc>
          <w:tcPr>
            <w:tcW w:w="2991" w:type="dxa"/>
            <w:vMerge w:val="continue"/>
            <w:vAlign w:val="center"/>
          </w:tcPr>
          <w:p w14:paraId="50390AC3">
            <w:pPr>
              <w:pStyle w:val="123"/>
              <w:spacing w:line="300" w:lineRule="exact"/>
              <w:rPr>
                <w:rFonts w:hint="default" w:ascii="Times New Roman" w:hAnsi="Times New Roman" w:cs="Times New Roman"/>
                <w:color w:val="auto"/>
                <w:highlight w:val="none"/>
                <w:lang w:val="en-US"/>
              </w:rPr>
            </w:pPr>
          </w:p>
        </w:tc>
      </w:tr>
      <w:tr w14:paraId="61C7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496B502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9</w:t>
            </w:r>
          </w:p>
        </w:tc>
        <w:tc>
          <w:tcPr>
            <w:tcW w:w="2828" w:type="dxa"/>
            <w:vAlign w:val="center"/>
          </w:tcPr>
          <w:p w14:paraId="34EFE09C">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耗氧量（COD</w:t>
            </w:r>
            <w:r>
              <w:rPr>
                <w:rFonts w:hint="default" w:ascii="Times New Roman" w:hAnsi="Times New Roman" w:cs="Times New Roman"/>
                <w:color w:val="auto"/>
                <w:sz w:val="12"/>
                <w:szCs w:val="12"/>
                <w:highlight w:val="none"/>
                <w:lang w:val="en-US"/>
              </w:rPr>
              <w:t>Mn</w:t>
            </w:r>
            <w:r>
              <w:rPr>
                <w:rFonts w:hint="default" w:ascii="Times New Roman" w:hAnsi="Times New Roman" w:cs="Times New Roman"/>
                <w:color w:val="auto"/>
                <w:highlight w:val="none"/>
                <w:lang w:val="en-US"/>
              </w:rPr>
              <w:t>法，以O</w:t>
            </w:r>
            <w:r>
              <w:rPr>
                <w:rFonts w:hint="default" w:ascii="Times New Roman" w:hAnsi="Times New Roman" w:cs="Times New Roman"/>
                <w:color w:val="auto"/>
                <w:sz w:val="12"/>
                <w:szCs w:val="12"/>
                <w:highlight w:val="none"/>
                <w:lang w:val="en-US"/>
              </w:rPr>
              <w:t>2</w:t>
            </w:r>
            <w:r>
              <w:rPr>
                <w:rFonts w:hint="default" w:ascii="Times New Roman" w:hAnsi="Times New Roman" w:cs="Times New Roman"/>
                <w:color w:val="auto"/>
                <w:highlight w:val="none"/>
                <w:lang w:val="en-US"/>
              </w:rPr>
              <w:t>计）</w:t>
            </w:r>
          </w:p>
        </w:tc>
        <w:tc>
          <w:tcPr>
            <w:tcW w:w="1386" w:type="dxa"/>
            <w:noWrap/>
            <w:vAlign w:val="center"/>
          </w:tcPr>
          <w:p w14:paraId="718889B9">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1E18823C">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≤3.0</w:t>
            </w:r>
          </w:p>
        </w:tc>
        <w:tc>
          <w:tcPr>
            <w:tcW w:w="2991" w:type="dxa"/>
            <w:vMerge w:val="continue"/>
            <w:vAlign w:val="center"/>
          </w:tcPr>
          <w:p w14:paraId="2D48ED5F">
            <w:pPr>
              <w:pStyle w:val="123"/>
              <w:spacing w:line="300" w:lineRule="exact"/>
              <w:rPr>
                <w:rFonts w:hint="default" w:ascii="Times New Roman" w:hAnsi="Times New Roman" w:cs="Times New Roman"/>
                <w:color w:val="auto"/>
                <w:highlight w:val="none"/>
                <w:lang w:val="en-US"/>
              </w:rPr>
            </w:pPr>
          </w:p>
        </w:tc>
      </w:tr>
      <w:tr w14:paraId="203C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30B589C6">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10</w:t>
            </w:r>
          </w:p>
        </w:tc>
        <w:tc>
          <w:tcPr>
            <w:tcW w:w="2828" w:type="dxa"/>
            <w:vAlign w:val="center"/>
          </w:tcPr>
          <w:p w14:paraId="3F7349A5">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氨氮（以N计）</w:t>
            </w:r>
          </w:p>
        </w:tc>
        <w:tc>
          <w:tcPr>
            <w:tcW w:w="1386" w:type="dxa"/>
            <w:noWrap/>
            <w:vAlign w:val="center"/>
          </w:tcPr>
          <w:p w14:paraId="44DD1B2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71687E30">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≤0.50</w:t>
            </w:r>
          </w:p>
        </w:tc>
        <w:tc>
          <w:tcPr>
            <w:tcW w:w="2991" w:type="dxa"/>
            <w:vMerge w:val="continue"/>
            <w:vAlign w:val="center"/>
          </w:tcPr>
          <w:p w14:paraId="50BDE668">
            <w:pPr>
              <w:pStyle w:val="123"/>
              <w:spacing w:line="300" w:lineRule="exact"/>
              <w:rPr>
                <w:rFonts w:hint="default" w:ascii="Times New Roman" w:hAnsi="Times New Roman" w:cs="Times New Roman"/>
                <w:color w:val="auto"/>
                <w:highlight w:val="none"/>
                <w:lang w:val="en-US"/>
              </w:rPr>
            </w:pPr>
          </w:p>
        </w:tc>
      </w:tr>
      <w:tr w14:paraId="39F0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5EEBCDA8">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11</w:t>
            </w:r>
          </w:p>
        </w:tc>
        <w:tc>
          <w:tcPr>
            <w:tcW w:w="2828" w:type="dxa"/>
            <w:vAlign w:val="center"/>
          </w:tcPr>
          <w:p w14:paraId="173D8D0F">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钠</w:t>
            </w:r>
          </w:p>
        </w:tc>
        <w:tc>
          <w:tcPr>
            <w:tcW w:w="1386" w:type="dxa"/>
            <w:noWrap/>
            <w:vAlign w:val="center"/>
          </w:tcPr>
          <w:p w14:paraId="2F5948EC">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0F4F62B9">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≤200</w:t>
            </w:r>
          </w:p>
        </w:tc>
        <w:tc>
          <w:tcPr>
            <w:tcW w:w="2991" w:type="dxa"/>
            <w:vMerge w:val="continue"/>
            <w:vAlign w:val="center"/>
          </w:tcPr>
          <w:p w14:paraId="738B16A4">
            <w:pPr>
              <w:pStyle w:val="123"/>
              <w:spacing w:line="300" w:lineRule="exact"/>
              <w:rPr>
                <w:rFonts w:hint="default" w:ascii="Times New Roman" w:hAnsi="Times New Roman" w:cs="Times New Roman"/>
                <w:color w:val="auto"/>
                <w:highlight w:val="none"/>
                <w:lang w:val="en-US"/>
              </w:rPr>
            </w:pPr>
          </w:p>
        </w:tc>
      </w:tr>
      <w:tr w14:paraId="6BFE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83" w:type="dxa"/>
            <w:gridSpan w:val="4"/>
            <w:noWrap/>
            <w:vAlign w:val="center"/>
          </w:tcPr>
          <w:p w14:paraId="5A131A10">
            <w:pPr>
              <w:pStyle w:val="123"/>
              <w:spacing w:line="300" w:lineRule="exact"/>
              <w:rPr>
                <w:rFonts w:hint="default" w:ascii="Times New Roman" w:hAnsi="Times New Roman" w:eastAsia="楷体" w:cs="Times New Roman"/>
                <w:b/>
                <w:color w:val="auto"/>
                <w:highlight w:val="none"/>
                <w:lang w:val="en-US"/>
              </w:rPr>
            </w:pPr>
            <w:r>
              <w:rPr>
                <w:rFonts w:hint="default" w:ascii="Times New Roman" w:hAnsi="Times New Roman" w:eastAsia="楷体" w:cs="Times New Roman"/>
                <w:b/>
                <w:color w:val="auto"/>
                <w:highlight w:val="none"/>
                <w:lang w:val="en-US"/>
              </w:rPr>
              <w:t>微生物指标</w:t>
            </w:r>
          </w:p>
        </w:tc>
        <w:tc>
          <w:tcPr>
            <w:tcW w:w="2991" w:type="dxa"/>
            <w:vMerge w:val="continue"/>
            <w:vAlign w:val="center"/>
          </w:tcPr>
          <w:p w14:paraId="29DBB014">
            <w:pPr>
              <w:pStyle w:val="123"/>
              <w:spacing w:line="300" w:lineRule="exact"/>
              <w:rPr>
                <w:rFonts w:hint="default" w:ascii="Times New Roman" w:hAnsi="Times New Roman" w:cs="Times New Roman"/>
                <w:b/>
                <w:color w:val="auto"/>
                <w:highlight w:val="none"/>
                <w:lang w:val="en-US"/>
              </w:rPr>
            </w:pPr>
          </w:p>
        </w:tc>
      </w:tr>
      <w:tr w14:paraId="7EFF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284DA44B">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12</w:t>
            </w:r>
          </w:p>
        </w:tc>
        <w:tc>
          <w:tcPr>
            <w:tcW w:w="2828" w:type="dxa"/>
            <w:vAlign w:val="center"/>
          </w:tcPr>
          <w:p w14:paraId="45A4979B">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总大肠菌群</w:t>
            </w:r>
          </w:p>
        </w:tc>
        <w:tc>
          <w:tcPr>
            <w:tcW w:w="1386" w:type="dxa"/>
            <w:noWrap/>
            <w:vAlign w:val="center"/>
          </w:tcPr>
          <w:p w14:paraId="5658DE4A">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MPN/100mL</w:t>
            </w:r>
          </w:p>
        </w:tc>
        <w:tc>
          <w:tcPr>
            <w:tcW w:w="1259" w:type="dxa"/>
            <w:noWrap/>
            <w:vAlign w:val="center"/>
          </w:tcPr>
          <w:p w14:paraId="2A549394">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≤3.0</w:t>
            </w:r>
          </w:p>
        </w:tc>
        <w:tc>
          <w:tcPr>
            <w:tcW w:w="2991" w:type="dxa"/>
            <w:vMerge w:val="continue"/>
            <w:vAlign w:val="center"/>
          </w:tcPr>
          <w:p w14:paraId="09AE4E50">
            <w:pPr>
              <w:pStyle w:val="123"/>
              <w:spacing w:line="300" w:lineRule="exact"/>
              <w:rPr>
                <w:rFonts w:hint="default" w:ascii="Times New Roman" w:hAnsi="Times New Roman" w:cs="Times New Roman"/>
                <w:color w:val="auto"/>
                <w:highlight w:val="none"/>
                <w:lang w:val="en-US"/>
              </w:rPr>
            </w:pPr>
          </w:p>
        </w:tc>
      </w:tr>
      <w:tr w14:paraId="47BE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1B8A8CB3">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13</w:t>
            </w:r>
          </w:p>
        </w:tc>
        <w:tc>
          <w:tcPr>
            <w:tcW w:w="2828" w:type="dxa"/>
            <w:vAlign w:val="center"/>
          </w:tcPr>
          <w:p w14:paraId="2D447563">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菌落总数</w:t>
            </w:r>
          </w:p>
        </w:tc>
        <w:tc>
          <w:tcPr>
            <w:tcW w:w="1386" w:type="dxa"/>
            <w:noWrap/>
            <w:vAlign w:val="center"/>
          </w:tcPr>
          <w:p w14:paraId="36581FF2">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CFU/mL</w:t>
            </w:r>
          </w:p>
        </w:tc>
        <w:tc>
          <w:tcPr>
            <w:tcW w:w="1259" w:type="dxa"/>
            <w:noWrap/>
            <w:vAlign w:val="center"/>
          </w:tcPr>
          <w:p w14:paraId="6DCE5D9B">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≤100</w:t>
            </w:r>
          </w:p>
        </w:tc>
        <w:tc>
          <w:tcPr>
            <w:tcW w:w="2991" w:type="dxa"/>
            <w:vMerge w:val="continue"/>
            <w:vAlign w:val="center"/>
          </w:tcPr>
          <w:p w14:paraId="20E9E338">
            <w:pPr>
              <w:pStyle w:val="123"/>
              <w:spacing w:line="300" w:lineRule="exact"/>
              <w:rPr>
                <w:rFonts w:hint="default" w:ascii="Times New Roman" w:hAnsi="Times New Roman" w:cs="Times New Roman"/>
                <w:color w:val="auto"/>
                <w:highlight w:val="none"/>
                <w:lang w:val="en-US"/>
              </w:rPr>
            </w:pPr>
          </w:p>
        </w:tc>
      </w:tr>
      <w:tr w14:paraId="77E0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83" w:type="dxa"/>
            <w:gridSpan w:val="4"/>
            <w:noWrap/>
            <w:vAlign w:val="center"/>
          </w:tcPr>
          <w:p w14:paraId="7759BEDA">
            <w:pPr>
              <w:pStyle w:val="123"/>
              <w:spacing w:line="300" w:lineRule="exact"/>
              <w:rPr>
                <w:rFonts w:hint="default" w:ascii="Times New Roman" w:hAnsi="Times New Roman" w:eastAsia="楷体" w:cs="Times New Roman"/>
                <w:b/>
                <w:color w:val="auto"/>
                <w:highlight w:val="none"/>
                <w:lang w:val="en-US"/>
              </w:rPr>
            </w:pPr>
            <w:r>
              <w:rPr>
                <w:rFonts w:hint="default" w:ascii="Times New Roman" w:hAnsi="Times New Roman" w:eastAsia="楷体" w:cs="Times New Roman"/>
                <w:b/>
                <w:color w:val="auto"/>
                <w:highlight w:val="none"/>
                <w:lang w:val="en-US"/>
              </w:rPr>
              <w:t>毒理学指标</w:t>
            </w:r>
          </w:p>
        </w:tc>
        <w:tc>
          <w:tcPr>
            <w:tcW w:w="2991" w:type="dxa"/>
            <w:vMerge w:val="continue"/>
            <w:vAlign w:val="center"/>
          </w:tcPr>
          <w:p w14:paraId="48FB9DC4">
            <w:pPr>
              <w:pStyle w:val="123"/>
              <w:spacing w:line="300" w:lineRule="exact"/>
              <w:rPr>
                <w:rFonts w:hint="default" w:ascii="Times New Roman" w:hAnsi="Times New Roman" w:cs="Times New Roman"/>
                <w:b/>
                <w:color w:val="auto"/>
                <w:highlight w:val="none"/>
                <w:lang w:val="en-US"/>
              </w:rPr>
            </w:pPr>
          </w:p>
        </w:tc>
      </w:tr>
      <w:tr w14:paraId="25F0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7277A479">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14</w:t>
            </w:r>
          </w:p>
        </w:tc>
        <w:tc>
          <w:tcPr>
            <w:tcW w:w="2828" w:type="dxa"/>
            <w:vAlign w:val="center"/>
          </w:tcPr>
          <w:p w14:paraId="72EDB75B">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亚硝酸盐（以N计）</w:t>
            </w:r>
          </w:p>
        </w:tc>
        <w:tc>
          <w:tcPr>
            <w:tcW w:w="1386" w:type="dxa"/>
            <w:noWrap/>
            <w:vAlign w:val="center"/>
          </w:tcPr>
          <w:p w14:paraId="24A01293">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2BF55643">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≤1.00</w:t>
            </w:r>
          </w:p>
        </w:tc>
        <w:tc>
          <w:tcPr>
            <w:tcW w:w="2991" w:type="dxa"/>
            <w:vMerge w:val="continue"/>
            <w:vAlign w:val="center"/>
          </w:tcPr>
          <w:p w14:paraId="7DFB1F67">
            <w:pPr>
              <w:pStyle w:val="123"/>
              <w:spacing w:line="300" w:lineRule="exact"/>
              <w:rPr>
                <w:rFonts w:hint="default" w:ascii="Times New Roman" w:hAnsi="Times New Roman" w:cs="Times New Roman"/>
                <w:color w:val="auto"/>
                <w:highlight w:val="none"/>
                <w:lang w:val="en-US"/>
              </w:rPr>
            </w:pPr>
          </w:p>
        </w:tc>
      </w:tr>
      <w:tr w14:paraId="1338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1E630B1D">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15</w:t>
            </w:r>
          </w:p>
        </w:tc>
        <w:tc>
          <w:tcPr>
            <w:tcW w:w="2828" w:type="dxa"/>
            <w:vAlign w:val="center"/>
          </w:tcPr>
          <w:p w14:paraId="58AE1ED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硝酸盐（以N计）</w:t>
            </w:r>
          </w:p>
        </w:tc>
        <w:tc>
          <w:tcPr>
            <w:tcW w:w="1386" w:type="dxa"/>
            <w:noWrap/>
            <w:vAlign w:val="center"/>
          </w:tcPr>
          <w:p w14:paraId="2AE3017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61BD0641">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≤20.0</w:t>
            </w:r>
          </w:p>
        </w:tc>
        <w:tc>
          <w:tcPr>
            <w:tcW w:w="2991" w:type="dxa"/>
            <w:vMerge w:val="continue"/>
            <w:vAlign w:val="center"/>
          </w:tcPr>
          <w:p w14:paraId="2BA5D065">
            <w:pPr>
              <w:pStyle w:val="123"/>
              <w:spacing w:line="300" w:lineRule="exact"/>
              <w:rPr>
                <w:rFonts w:hint="default" w:ascii="Times New Roman" w:hAnsi="Times New Roman" w:cs="Times New Roman"/>
                <w:color w:val="auto"/>
                <w:highlight w:val="none"/>
                <w:lang w:val="en-US"/>
              </w:rPr>
            </w:pPr>
          </w:p>
        </w:tc>
      </w:tr>
      <w:tr w14:paraId="3A01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77779CFC">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16</w:t>
            </w:r>
          </w:p>
        </w:tc>
        <w:tc>
          <w:tcPr>
            <w:tcW w:w="2828" w:type="dxa"/>
            <w:vAlign w:val="center"/>
          </w:tcPr>
          <w:p w14:paraId="42CE7478">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氰化物</w:t>
            </w:r>
          </w:p>
        </w:tc>
        <w:tc>
          <w:tcPr>
            <w:tcW w:w="1386" w:type="dxa"/>
            <w:noWrap/>
            <w:vAlign w:val="center"/>
          </w:tcPr>
          <w:p w14:paraId="0557026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7604D979">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≤0.05</w:t>
            </w:r>
          </w:p>
        </w:tc>
        <w:tc>
          <w:tcPr>
            <w:tcW w:w="2991" w:type="dxa"/>
            <w:vMerge w:val="continue"/>
            <w:vAlign w:val="center"/>
          </w:tcPr>
          <w:p w14:paraId="3317FAE8">
            <w:pPr>
              <w:pStyle w:val="123"/>
              <w:spacing w:line="300" w:lineRule="exact"/>
              <w:rPr>
                <w:rFonts w:hint="default" w:ascii="Times New Roman" w:hAnsi="Times New Roman" w:cs="Times New Roman"/>
                <w:color w:val="auto"/>
                <w:highlight w:val="none"/>
                <w:lang w:val="en-US"/>
              </w:rPr>
            </w:pPr>
          </w:p>
        </w:tc>
      </w:tr>
      <w:tr w14:paraId="39D1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63796F78">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17</w:t>
            </w:r>
          </w:p>
        </w:tc>
        <w:tc>
          <w:tcPr>
            <w:tcW w:w="2828" w:type="dxa"/>
            <w:vAlign w:val="center"/>
          </w:tcPr>
          <w:p w14:paraId="44B62B6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氟化物</w:t>
            </w:r>
          </w:p>
        </w:tc>
        <w:tc>
          <w:tcPr>
            <w:tcW w:w="1386" w:type="dxa"/>
            <w:noWrap/>
            <w:vAlign w:val="center"/>
          </w:tcPr>
          <w:p w14:paraId="1BACF6D3">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5585CAA7">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≤1.0</w:t>
            </w:r>
          </w:p>
        </w:tc>
        <w:tc>
          <w:tcPr>
            <w:tcW w:w="2991" w:type="dxa"/>
            <w:vMerge w:val="continue"/>
            <w:vAlign w:val="center"/>
          </w:tcPr>
          <w:p w14:paraId="08BC45E2">
            <w:pPr>
              <w:pStyle w:val="123"/>
              <w:spacing w:line="300" w:lineRule="exact"/>
              <w:rPr>
                <w:rFonts w:hint="default" w:ascii="Times New Roman" w:hAnsi="Times New Roman" w:cs="Times New Roman"/>
                <w:color w:val="auto"/>
                <w:highlight w:val="none"/>
                <w:lang w:val="en-US"/>
              </w:rPr>
            </w:pPr>
          </w:p>
        </w:tc>
      </w:tr>
      <w:tr w14:paraId="6EAC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3A1D5C06">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18</w:t>
            </w:r>
          </w:p>
        </w:tc>
        <w:tc>
          <w:tcPr>
            <w:tcW w:w="2828" w:type="dxa"/>
            <w:vAlign w:val="center"/>
          </w:tcPr>
          <w:p w14:paraId="13603144">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汞</w:t>
            </w:r>
          </w:p>
        </w:tc>
        <w:tc>
          <w:tcPr>
            <w:tcW w:w="1386" w:type="dxa"/>
            <w:noWrap/>
            <w:vAlign w:val="center"/>
          </w:tcPr>
          <w:p w14:paraId="6C4EC46F">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24D2C226">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≤0.001</w:t>
            </w:r>
          </w:p>
        </w:tc>
        <w:tc>
          <w:tcPr>
            <w:tcW w:w="2991" w:type="dxa"/>
            <w:vMerge w:val="continue"/>
            <w:vAlign w:val="center"/>
          </w:tcPr>
          <w:p w14:paraId="446EEDF7">
            <w:pPr>
              <w:pStyle w:val="123"/>
              <w:spacing w:line="300" w:lineRule="exact"/>
              <w:rPr>
                <w:rFonts w:hint="default" w:ascii="Times New Roman" w:hAnsi="Times New Roman" w:cs="Times New Roman"/>
                <w:color w:val="auto"/>
                <w:highlight w:val="none"/>
                <w:lang w:val="en-US"/>
              </w:rPr>
            </w:pPr>
          </w:p>
        </w:tc>
      </w:tr>
      <w:tr w14:paraId="5893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585B16F9">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19</w:t>
            </w:r>
          </w:p>
        </w:tc>
        <w:tc>
          <w:tcPr>
            <w:tcW w:w="2828" w:type="dxa"/>
            <w:vAlign w:val="center"/>
          </w:tcPr>
          <w:p w14:paraId="398D3FD3">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砷</w:t>
            </w:r>
          </w:p>
        </w:tc>
        <w:tc>
          <w:tcPr>
            <w:tcW w:w="1386" w:type="dxa"/>
            <w:noWrap/>
            <w:vAlign w:val="center"/>
          </w:tcPr>
          <w:p w14:paraId="7AD654AB">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0B7B2E38">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≤0.01</w:t>
            </w:r>
          </w:p>
        </w:tc>
        <w:tc>
          <w:tcPr>
            <w:tcW w:w="2991" w:type="dxa"/>
            <w:vMerge w:val="continue"/>
            <w:vAlign w:val="center"/>
          </w:tcPr>
          <w:p w14:paraId="0FA8C4D5">
            <w:pPr>
              <w:pStyle w:val="123"/>
              <w:spacing w:line="300" w:lineRule="exact"/>
              <w:rPr>
                <w:rFonts w:hint="default" w:ascii="Times New Roman" w:hAnsi="Times New Roman" w:cs="Times New Roman"/>
                <w:color w:val="auto"/>
                <w:highlight w:val="none"/>
                <w:lang w:val="en-US"/>
              </w:rPr>
            </w:pPr>
          </w:p>
        </w:tc>
      </w:tr>
      <w:tr w14:paraId="043A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39FE8DE1">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20</w:t>
            </w:r>
          </w:p>
        </w:tc>
        <w:tc>
          <w:tcPr>
            <w:tcW w:w="2828" w:type="dxa"/>
            <w:vAlign w:val="center"/>
          </w:tcPr>
          <w:p w14:paraId="7595B85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镉</w:t>
            </w:r>
          </w:p>
        </w:tc>
        <w:tc>
          <w:tcPr>
            <w:tcW w:w="1386" w:type="dxa"/>
            <w:noWrap/>
            <w:vAlign w:val="center"/>
          </w:tcPr>
          <w:p w14:paraId="0BCEE0DE">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1A955BB9">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≤0.005</w:t>
            </w:r>
          </w:p>
        </w:tc>
        <w:tc>
          <w:tcPr>
            <w:tcW w:w="2991" w:type="dxa"/>
            <w:vMerge w:val="continue"/>
            <w:vAlign w:val="center"/>
          </w:tcPr>
          <w:p w14:paraId="6EEC8F16">
            <w:pPr>
              <w:pStyle w:val="123"/>
              <w:spacing w:line="300" w:lineRule="exact"/>
              <w:rPr>
                <w:rFonts w:hint="default" w:ascii="Times New Roman" w:hAnsi="Times New Roman" w:cs="Times New Roman"/>
                <w:color w:val="auto"/>
                <w:highlight w:val="none"/>
                <w:lang w:val="en-US"/>
              </w:rPr>
            </w:pPr>
          </w:p>
        </w:tc>
      </w:tr>
      <w:tr w14:paraId="0543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489FFE08">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21</w:t>
            </w:r>
          </w:p>
        </w:tc>
        <w:tc>
          <w:tcPr>
            <w:tcW w:w="2828" w:type="dxa"/>
            <w:vAlign w:val="center"/>
          </w:tcPr>
          <w:p w14:paraId="3CE16268">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铬（六价）</w:t>
            </w:r>
          </w:p>
        </w:tc>
        <w:tc>
          <w:tcPr>
            <w:tcW w:w="1386" w:type="dxa"/>
            <w:noWrap/>
            <w:vAlign w:val="center"/>
          </w:tcPr>
          <w:p w14:paraId="2D890008">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7BD2FAFC">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≤0.05</w:t>
            </w:r>
          </w:p>
        </w:tc>
        <w:tc>
          <w:tcPr>
            <w:tcW w:w="2991" w:type="dxa"/>
            <w:vMerge w:val="continue"/>
            <w:vAlign w:val="center"/>
          </w:tcPr>
          <w:p w14:paraId="67F38BB5">
            <w:pPr>
              <w:pStyle w:val="123"/>
              <w:spacing w:line="300" w:lineRule="exact"/>
              <w:rPr>
                <w:rFonts w:hint="default" w:ascii="Times New Roman" w:hAnsi="Times New Roman" w:cs="Times New Roman"/>
                <w:color w:val="auto"/>
                <w:highlight w:val="none"/>
                <w:lang w:val="en-US"/>
              </w:rPr>
            </w:pPr>
          </w:p>
        </w:tc>
      </w:tr>
      <w:tr w14:paraId="5D01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ign w:val="center"/>
          </w:tcPr>
          <w:p w14:paraId="0B0B5326">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22</w:t>
            </w:r>
          </w:p>
        </w:tc>
        <w:tc>
          <w:tcPr>
            <w:tcW w:w="2828" w:type="dxa"/>
            <w:vAlign w:val="center"/>
          </w:tcPr>
          <w:p w14:paraId="4C819712">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铅</w:t>
            </w:r>
          </w:p>
        </w:tc>
        <w:tc>
          <w:tcPr>
            <w:tcW w:w="1386" w:type="dxa"/>
            <w:noWrap/>
            <w:vAlign w:val="center"/>
          </w:tcPr>
          <w:p w14:paraId="228D6535">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mg/L</w:t>
            </w:r>
          </w:p>
        </w:tc>
        <w:tc>
          <w:tcPr>
            <w:tcW w:w="1259" w:type="dxa"/>
            <w:noWrap/>
            <w:vAlign w:val="center"/>
          </w:tcPr>
          <w:p w14:paraId="257069AA">
            <w:pPr>
              <w:pStyle w:val="123"/>
              <w:spacing w:line="300" w:lineRule="exact"/>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≤0.01</w:t>
            </w:r>
          </w:p>
        </w:tc>
        <w:tc>
          <w:tcPr>
            <w:tcW w:w="2991" w:type="dxa"/>
            <w:vMerge w:val="continue"/>
            <w:vAlign w:val="center"/>
          </w:tcPr>
          <w:p w14:paraId="64925634">
            <w:pPr>
              <w:pStyle w:val="123"/>
              <w:spacing w:line="300" w:lineRule="exact"/>
              <w:rPr>
                <w:rFonts w:hint="default" w:ascii="Times New Roman" w:hAnsi="Times New Roman" w:cs="Times New Roman"/>
                <w:color w:val="auto"/>
                <w:highlight w:val="none"/>
                <w:lang w:val="en-US"/>
              </w:rPr>
            </w:pPr>
          </w:p>
        </w:tc>
      </w:tr>
    </w:tbl>
    <w:p w14:paraId="2EC5563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p w14:paraId="63885184">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规划区域属1</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2、4a</w:t>
      </w:r>
      <w:r>
        <w:rPr>
          <w:rFonts w:hint="default" w:ascii="Times New Roman" w:hAnsi="Times New Roman" w:cs="Times New Roman"/>
          <w:color w:val="auto"/>
          <w:kern w:val="0"/>
          <w:sz w:val="24"/>
          <w:highlight w:val="none"/>
        </w:rPr>
        <w:t>类声环境功能区，</w:t>
      </w:r>
      <w:r>
        <w:rPr>
          <w:rFonts w:hint="eastAsia" w:cs="Times New Roman"/>
          <w:color w:val="auto"/>
          <w:kern w:val="0"/>
          <w:sz w:val="24"/>
          <w:highlight w:val="none"/>
          <w:lang w:val="en-US" w:eastAsia="zh-CN"/>
        </w:rPr>
        <w:t>分别</w:t>
      </w:r>
      <w:r>
        <w:rPr>
          <w:rFonts w:hint="default" w:ascii="Times New Roman" w:hAnsi="Times New Roman" w:cs="Times New Roman"/>
          <w:color w:val="auto"/>
          <w:kern w:val="0"/>
          <w:sz w:val="24"/>
          <w:highlight w:val="none"/>
        </w:rPr>
        <w:t>执行《声环境质量标准》（GB3096-2008）1类标准。具体标准限值见表1.9-4。</w:t>
      </w:r>
    </w:p>
    <w:p w14:paraId="7FAC2C3C">
      <w:pPr>
        <w:pStyle w:val="1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表1.9-4  声环境质量标准一览表（摘录） 单位：dB（A）</w:t>
      </w:r>
    </w:p>
    <w:tbl>
      <w:tblPr>
        <w:tblStyle w:val="5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47"/>
        <w:gridCol w:w="1191"/>
        <w:gridCol w:w="512"/>
        <w:gridCol w:w="514"/>
        <w:gridCol w:w="3846"/>
      </w:tblGrid>
      <w:tr w14:paraId="2BC5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635" w:type="pct"/>
            <w:vMerge w:val="restart"/>
            <w:vAlign w:val="center"/>
          </w:tcPr>
          <w:p w14:paraId="0B2A0099">
            <w:pPr>
              <w:tabs>
                <w:tab w:val="left" w:pos="9000"/>
              </w:tabs>
              <w:adjustRightInd w:val="0"/>
              <w:snapToGrid w:val="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适用区域</w:t>
            </w:r>
          </w:p>
        </w:tc>
        <w:tc>
          <w:tcPr>
            <w:tcW w:w="661" w:type="pct"/>
            <w:vMerge w:val="restart"/>
            <w:vAlign w:val="center"/>
          </w:tcPr>
          <w:p w14:paraId="6565985D">
            <w:pPr>
              <w:tabs>
                <w:tab w:val="left" w:pos="9000"/>
              </w:tabs>
              <w:adjustRightInd w:val="0"/>
              <w:snapToGrid w:val="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功能区类别</w:t>
            </w:r>
          </w:p>
        </w:tc>
        <w:tc>
          <w:tcPr>
            <w:tcW w:w="569" w:type="pct"/>
            <w:gridSpan w:val="2"/>
            <w:vAlign w:val="center"/>
          </w:tcPr>
          <w:p w14:paraId="05931D20">
            <w:pPr>
              <w:tabs>
                <w:tab w:val="left" w:pos="9000"/>
              </w:tabs>
              <w:adjustRightInd w:val="0"/>
              <w:snapToGrid w:val="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标准限值</w:t>
            </w:r>
          </w:p>
        </w:tc>
        <w:tc>
          <w:tcPr>
            <w:tcW w:w="2134" w:type="pct"/>
            <w:vMerge w:val="restart"/>
            <w:vAlign w:val="center"/>
          </w:tcPr>
          <w:p w14:paraId="77D11955">
            <w:pPr>
              <w:tabs>
                <w:tab w:val="left" w:pos="9000"/>
              </w:tabs>
              <w:adjustRightInd w:val="0"/>
              <w:snapToGrid w:val="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标准来源</w:t>
            </w:r>
          </w:p>
        </w:tc>
      </w:tr>
      <w:tr w14:paraId="56AB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635" w:type="pct"/>
            <w:vMerge w:val="continue"/>
            <w:vAlign w:val="center"/>
          </w:tcPr>
          <w:p w14:paraId="5C983E24">
            <w:pPr>
              <w:tabs>
                <w:tab w:val="left" w:pos="9000"/>
              </w:tabs>
              <w:adjustRightInd w:val="0"/>
              <w:snapToGrid w:val="0"/>
              <w:jc w:val="center"/>
              <w:rPr>
                <w:rFonts w:hint="default" w:ascii="Times New Roman" w:hAnsi="Times New Roman" w:cs="Times New Roman"/>
                <w:bCs/>
                <w:color w:val="auto"/>
                <w:kern w:val="0"/>
                <w:highlight w:val="none"/>
              </w:rPr>
            </w:pPr>
          </w:p>
        </w:tc>
        <w:tc>
          <w:tcPr>
            <w:tcW w:w="661" w:type="pct"/>
            <w:vMerge w:val="continue"/>
            <w:vAlign w:val="center"/>
          </w:tcPr>
          <w:p w14:paraId="5794C2BE">
            <w:pPr>
              <w:tabs>
                <w:tab w:val="left" w:pos="9000"/>
              </w:tabs>
              <w:adjustRightInd w:val="0"/>
              <w:snapToGrid w:val="0"/>
              <w:jc w:val="center"/>
              <w:rPr>
                <w:rFonts w:hint="default" w:ascii="Times New Roman" w:hAnsi="Times New Roman" w:cs="Times New Roman"/>
                <w:bCs/>
                <w:color w:val="auto"/>
                <w:kern w:val="0"/>
                <w:highlight w:val="none"/>
              </w:rPr>
            </w:pPr>
          </w:p>
        </w:tc>
        <w:tc>
          <w:tcPr>
            <w:tcW w:w="284" w:type="pct"/>
            <w:vAlign w:val="center"/>
          </w:tcPr>
          <w:p w14:paraId="00FFE0CC">
            <w:pPr>
              <w:tabs>
                <w:tab w:val="left" w:pos="9000"/>
              </w:tabs>
              <w:adjustRightInd w:val="0"/>
              <w:snapToGrid w:val="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昼间</w:t>
            </w:r>
          </w:p>
        </w:tc>
        <w:tc>
          <w:tcPr>
            <w:tcW w:w="284" w:type="pct"/>
            <w:vAlign w:val="center"/>
          </w:tcPr>
          <w:p w14:paraId="735FA98E">
            <w:pPr>
              <w:tabs>
                <w:tab w:val="left" w:pos="9000"/>
              </w:tabs>
              <w:adjustRightInd w:val="0"/>
              <w:snapToGrid w:val="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夜间</w:t>
            </w:r>
          </w:p>
        </w:tc>
        <w:tc>
          <w:tcPr>
            <w:tcW w:w="2134" w:type="pct"/>
            <w:vMerge w:val="continue"/>
            <w:vAlign w:val="center"/>
          </w:tcPr>
          <w:p w14:paraId="37F89650">
            <w:pPr>
              <w:tabs>
                <w:tab w:val="left" w:pos="9000"/>
              </w:tabs>
              <w:adjustRightInd w:val="0"/>
              <w:snapToGrid w:val="0"/>
              <w:jc w:val="center"/>
              <w:rPr>
                <w:rFonts w:hint="default" w:ascii="Times New Roman" w:hAnsi="Times New Roman" w:cs="Times New Roman"/>
                <w:color w:val="auto"/>
                <w:kern w:val="0"/>
                <w:highlight w:val="none"/>
              </w:rPr>
            </w:pPr>
          </w:p>
        </w:tc>
      </w:tr>
      <w:tr w14:paraId="5967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635" w:type="pct"/>
            <w:vAlign w:val="center"/>
          </w:tcPr>
          <w:p w14:paraId="0394CE3C">
            <w:pPr>
              <w:tabs>
                <w:tab w:val="left" w:pos="9000"/>
              </w:tabs>
              <w:adjustRightInd w:val="0"/>
              <w:snapToGrid w:val="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公共绿地、居住</w:t>
            </w:r>
            <w:r>
              <w:rPr>
                <w:rFonts w:hint="eastAsia" w:cs="Times New Roman"/>
                <w:color w:val="auto"/>
                <w:kern w:val="0"/>
                <w:highlight w:val="none"/>
                <w:lang w:val="en-US" w:eastAsia="zh-CN"/>
              </w:rPr>
              <w:t>等</w:t>
            </w:r>
            <w:r>
              <w:rPr>
                <w:rFonts w:hint="default" w:ascii="Times New Roman" w:hAnsi="Times New Roman" w:cs="Times New Roman"/>
                <w:color w:val="auto"/>
                <w:kern w:val="0"/>
                <w:highlight w:val="none"/>
              </w:rPr>
              <w:t>区域</w:t>
            </w:r>
          </w:p>
        </w:tc>
        <w:tc>
          <w:tcPr>
            <w:tcW w:w="661" w:type="pct"/>
            <w:vAlign w:val="center"/>
          </w:tcPr>
          <w:p w14:paraId="7EB88BC4">
            <w:pPr>
              <w:tabs>
                <w:tab w:val="left" w:pos="9000"/>
              </w:tabs>
              <w:adjustRightInd w:val="0"/>
              <w:snapToGrid w:val="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1类区</w:t>
            </w:r>
          </w:p>
        </w:tc>
        <w:tc>
          <w:tcPr>
            <w:tcW w:w="284" w:type="pct"/>
            <w:vAlign w:val="center"/>
          </w:tcPr>
          <w:p w14:paraId="08D6D258">
            <w:pPr>
              <w:tabs>
                <w:tab w:val="left" w:pos="9000"/>
              </w:tabs>
              <w:adjustRightInd w:val="0"/>
              <w:snapToGrid w:val="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55</w:t>
            </w:r>
          </w:p>
        </w:tc>
        <w:tc>
          <w:tcPr>
            <w:tcW w:w="284" w:type="pct"/>
            <w:vAlign w:val="center"/>
          </w:tcPr>
          <w:p w14:paraId="3450426D">
            <w:pPr>
              <w:tabs>
                <w:tab w:val="left" w:pos="9000"/>
              </w:tabs>
              <w:adjustRightInd w:val="0"/>
              <w:snapToGrid w:val="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45</w:t>
            </w:r>
          </w:p>
        </w:tc>
        <w:tc>
          <w:tcPr>
            <w:tcW w:w="2134" w:type="pct"/>
            <w:vMerge w:val="restart"/>
            <w:vAlign w:val="center"/>
          </w:tcPr>
          <w:p w14:paraId="06111BE1">
            <w:pPr>
              <w:tabs>
                <w:tab w:val="left" w:pos="9000"/>
              </w:tabs>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《声环境质量标准》（GB3096-2008）</w:t>
            </w:r>
          </w:p>
        </w:tc>
      </w:tr>
      <w:tr w14:paraId="0A96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635" w:type="pct"/>
            <w:vAlign w:val="center"/>
          </w:tcPr>
          <w:p w14:paraId="227E1CF4">
            <w:pPr>
              <w:tabs>
                <w:tab w:val="left" w:pos="9000"/>
              </w:tabs>
              <w:adjustRightInd w:val="0"/>
              <w:snapToGrid w:val="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娱乐活动区域</w:t>
            </w:r>
          </w:p>
        </w:tc>
        <w:tc>
          <w:tcPr>
            <w:tcW w:w="661" w:type="pct"/>
            <w:vAlign w:val="center"/>
          </w:tcPr>
          <w:p w14:paraId="706B465A">
            <w:pPr>
              <w:tabs>
                <w:tab w:val="left" w:pos="9000"/>
              </w:tabs>
              <w:adjustRightInd w:val="0"/>
              <w:snapToGrid w:val="0"/>
              <w:jc w:val="center"/>
              <w:rPr>
                <w:rFonts w:hint="default" w:ascii="Times New Roman" w:hAnsi="Times New Roman" w:eastAsia="宋体" w:cs="Times New Roman"/>
                <w:color w:val="auto"/>
                <w:kern w:val="0"/>
                <w:highlight w:val="none"/>
                <w:lang w:val="en-US" w:eastAsia="zh-CN"/>
              </w:rPr>
            </w:pPr>
            <w:r>
              <w:rPr>
                <w:rFonts w:hint="eastAsia" w:cs="Times New Roman"/>
                <w:color w:val="auto"/>
                <w:kern w:val="0"/>
                <w:highlight w:val="none"/>
                <w:lang w:val="en-US" w:eastAsia="zh-CN"/>
              </w:rPr>
              <w:t>2类区</w:t>
            </w:r>
          </w:p>
        </w:tc>
        <w:tc>
          <w:tcPr>
            <w:tcW w:w="284" w:type="pct"/>
            <w:vAlign w:val="center"/>
          </w:tcPr>
          <w:p w14:paraId="702EE6A8">
            <w:pPr>
              <w:tabs>
                <w:tab w:val="left" w:pos="9000"/>
              </w:tabs>
              <w:adjustRightInd w:val="0"/>
              <w:snapToGrid w:val="0"/>
              <w:jc w:val="center"/>
              <w:rPr>
                <w:rFonts w:hint="default" w:ascii="Times New Roman" w:hAnsi="Times New Roman" w:eastAsia="宋体" w:cs="Times New Roman"/>
                <w:color w:val="auto"/>
                <w:kern w:val="0"/>
                <w:highlight w:val="none"/>
                <w:lang w:val="en-US" w:eastAsia="zh-CN"/>
              </w:rPr>
            </w:pPr>
            <w:r>
              <w:rPr>
                <w:rFonts w:hint="eastAsia" w:cs="Times New Roman"/>
                <w:color w:val="auto"/>
                <w:kern w:val="0"/>
                <w:highlight w:val="none"/>
                <w:lang w:val="en-US" w:eastAsia="zh-CN"/>
              </w:rPr>
              <w:t>60</w:t>
            </w:r>
          </w:p>
        </w:tc>
        <w:tc>
          <w:tcPr>
            <w:tcW w:w="284" w:type="pct"/>
            <w:vAlign w:val="center"/>
          </w:tcPr>
          <w:p w14:paraId="5BC23DCC">
            <w:pPr>
              <w:tabs>
                <w:tab w:val="left" w:pos="9000"/>
              </w:tabs>
              <w:adjustRightInd w:val="0"/>
              <w:snapToGrid w:val="0"/>
              <w:jc w:val="center"/>
              <w:rPr>
                <w:rFonts w:hint="default" w:ascii="Times New Roman" w:hAnsi="Times New Roman" w:eastAsia="宋体" w:cs="Times New Roman"/>
                <w:color w:val="auto"/>
                <w:kern w:val="0"/>
                <w:highlight w:val="none"/>
                <w:lang w:val="en-US" w:eastAsia="zh-CN"/>
              </w:rPr>
            </w:pPr>
            <w:r>
              <w:rPr>
                <w:rFonts w:hint="eastAsia" w:cs="Times New Roman"/>
                <w:color w:val="auto"/>
                <w:kern w:val="0"/>
                <w:highlight w:val="none"/>
                <w:lang w:val="en-US" w:eastAsia="zh-CN"/>
              </w:rPr>
              <w:t>50</w:t>
            </w:r>
          </w:p>
        </w:tc>
        <w:tc>
          <w:tcPr>
            <w:tcW w:w="2134" w:type="pct"/>
            <w:vMerge w:val="continue"/>
            <w:vAlign w:val="center"/>
          </w:tcPr>
          <w:p w14:paraId="341453ED">
            <w:pPr>
              <w:tabs>
                <w:tab w:val="left" w:pos="9000"/>
              </w:tabs>
              <w:adjustRightInd w:val="0"/>
              <w:snapToGrid w:val="0"/>
              <w:jc w:val="center"/>
              <w:rPr>
                <w:rFonts w:hint="default" w:ascii="Times New Roman" w:hAnsi="Times New Roman" w:cs="Times New Roman"/>
                <w:color w:val="auto"/>
                <w:kern w:val="0"/>
                <w:szCs w:val="21"/>
                <w:highlight w:val="none"/>
              </w:rPr>
            </w:pPr>
          </w:p>
        </w:tc>
      </w:tr>
      <w:tr w14:paraId="6888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635" w:type="pct"/>
            <w:vAlign w:val="center"/>
          </w:tcPr>
          <w:p w14:paraId="128A38B6">
            <w:pPr>
              <w:tabs>
                <w:tab w:val="left" w:pos="9000"/>
              </w:tabs>
              <w:adjustRightInd w:val="0"/>
              <w:snapToGrid w:val="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G318交通干线两侧35m范围</w:t>
            </w:r>
          </w:p>
        </w:tc>
        <w:tc>
          <w:tcPr>
            <w:tcW w:w="661" w:type="pct"/>
            <w:vAlign w:val="center"/>
          </w:tcPr>
          <w:p w14:paraId="377EE68F">
            <w:pPr>
              <w:tabs>
                <w:tab w:val="left" w:pos="9000"/>
              </w:tabs>
              <w:adjustRightInd w:val="0"/>
              <w:snapToGrid w:val="0"/>
              <w:jc w:val="center"/>
              <w:rPr>
                <w:rFonts w:hint="default" w:ascii="Times New Roman" w:hAnsi="Times New Roman" w:eastAsia="宋体" w:cs="Times New Roman"/>
                <w:color w:val="auto"/>
                <w:kern w:val="0"/>
                <w:highlight w:val="none"/>
                <w:lang w:val="en-US" w:eastAsia="zh-CN"/>
              </w:rPr>
            </w:pPr>
            <w:r>
              <w:rPr>
                <w:rFonts w:hint="eastAsia" w:cs="Times New Roman"/>
                <w:color w:val="auto"/>
                <w:kern w:val="0"/>
                <w:highlight w:val="none"/>
                <w:lang w:val="en-US" w:eastAsia="zh-CN"/>
              </w:rPr>
              <w:t>4a类区</w:t>
            </w:r>
          </w:p>
        </w:tc>
        <w:tc>
          <w:tcPr>
            <w:tcW w:w="284" w:type="pct"/>
            <w:vAlign w:val="center"/>
          </w:tcPr>
          <w:p w14:paraId="7875D788">
            <w:pPr>
              <w:tabs>
                <w:tab w:val="left" w:pos="9000"/>
              </w:tabs>
              <w:adjustRightInd w:val="0"/>
              <w:snapToGrid w:val="0"/>
              <w:jc w:val="center"/>
              <w:rPr>
                <w:rFonts w:hint="default" w:ascii="Times New Roman" w:hAnsi="Times New Roman" w:eastAsia="宋体" w:cs="Times New Roman"/>
                <w:color w:val="auto"/>
                <w:kern w:val="0"/>
                <w:highlight w:val="none"/>
                <w:lang w:val="en-US" w:eastAsia="zh-CN"/>
              </w:rPr>
            </w:pPr>
            <w:r>
              <w:rPr>
                <w:rFonts w:hint="eastAsia" w:cs="Times New Roman"/>
                <w:color w:val="auto"/>
                <w:kern w:val="0"/>
                <w:highlight w:val="none"/>
                <w:lang w:val="en-US" w:eastAsia="zh-CN"/>
              </w:rPr>
              <w:t>65</w:t>
            </w:r>
          </w:p>
        </w:tc>
        <w:tc>
          <w:tcPr>
            <w:tcW w:w="284" w:type="pct"/>
            <w:vAlign w:val="center"/>
          </w:tcPr>
          <w:p w14:paraId="4E137AC6">
            <w:pPr>
              <w:tabs>
                <w:tab w:val="left" w:pos="9000"/>
              </w:tabs>
              <w:adjustRightInd w:val="0"/>
              <w:snapToGrid w:val="0"/>
              <w:jc w:val="center"/>
              <w:rPr>
                <w:rFonts w:hint="default" w:ascii="Times New Roman" w:hAnsi="Times New Roman" w:eastAsia="宋体" w:cs="Times New Roman"/>
                <w:color w:val="auto"/>
                <w:kern w:val="0"/>
                <w:highlight w:val="none"/>
                <w:lang w:val="en-US" w:eastAsia="zh-CN"/>
              </w:rPr>
            </w:pPr>
            <w:r>
              <w:rPr>
                <w:rFonts w:hint="eastAsia" w:cs="Times New Roman"/>
                <w:color w:val="auto"/>
                <w:kern w:val="0"/>
                <w:highlight w:val="none"/>
                <w:lang w:val="en-US" w:eastAsia="zh-CN"/>
              </w:rPr>
              <w:t>55</w:t>
            </w:r>
          </w:p>
        </w:tc>
        <w:tc>
          <w:tcPr>
            <w:tcW w:w="2134" w:type="pct"/>
            <w:vMerge w:val="continue"/>
            <w:vAlign w:val="center"/>
          </w:tcPr>
          <w:p w14:paraId="2107BE91">
            <w:pPr>
              <w:tabs>
                <w:tab w:val="left" w:pos="9000"/>
              </w:tabs>
              <w:adjustRightInd w:val="0"/>
              <w:snapToGrid w:val="0"/>
              <w:jc w:val="center"/>
              <w:rPr>
                <w:rFonts w:hint="default" w:ascii="Times New Roman" w:hAnsi="Times New Roman" w:cs="Times New Roman"/>
                <w:color w:val="auto"/>
                <w:kern w:val="0"/>
                <w:szCs w:val="21"/>
                <w:highlight w:val="none"/>
              </w:rPr>
            </w:pPr>
          </w:p>
        </w:tc>
      </w:tr>
    </w:tbl>
    <w:p w14:paraId="67ACE799">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w:t>
      </w:r>
    </w:p>
    <w:p w14:paraId="4CEB139E">
      <w:pPr>
        <w:pStyle w:val="108"/>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rPr>
        <w:t>规划区内建设用地</w:t>
      </w:r>
      <w:r>
        <w:rPr>
          <w:rFonts w:hint="default" w:ascii="Times New Roman" w:hAnsi="Times New Roman" w:cs="Times New Roman" w:eastAsiaTheme="minorEastAsia"/>
          <w:color w:val="auto"/>
          <w:kern w:val="0"/>
          <w:szCs w:val="24"/>
          <w:highlight w:val="none"/>
          <w:lang w:eastAsia="zh-CN"/>
        </w:rPr>
        <w:t>分别执行《土壤环境质量建设用地土壤污染风险管控标准（试行）》（GB36600-2018）第一类、第二类用地筛选值标准</w:t>
      </w:r>
      <w:r>
        <w:rPr>
          <w:rFonts w:hint="default" w:ascii="Times New Roman" w:hAnsi="Times New Roman" w:cs="Times New Roman" w:eastAsiaTheme="minorEastAsia"/>
          <w:color w:val="auto"/>
          <w:kern w:val="0"/>
          <w:szCs w:val="24"/>
          <w:highlight w:val="none"/>
        </w:rPr>
        <w:t>。规划区内农用地包含耕地、林地、草地、湿地、农业设施建设用地等，执行《土壤环境质量农用地土壤污染风险管控标准（试行）》（GB15618-2018）风险筛选值标准</w:t>
      </w:r>
      <w:r>
        <w:rPr>
          <w:rFonts w:hint="default" w:ascii="Times New Roman" w:hAnsi="Times New Roman" w:cs="Times New Roman" w:eastAsiaTheme="minorEastAsia"/>
          <w:color w:val="auto"/>
          <w:kern w:val="0"/>
          <w:szCs w:val="24"/>
          <w:highlight w:val="none"/>
          <w:lang w:eastAsia="zh-CN"/>
        </w:rPr>
        <w:t>。</w:t>
      </w:r>
    </w:p>
    <w:p w14:paraId="324AED59">
      <w:pPr>
        <w:pStyle w:val="108"/>
        <w:rPr>
          <w:rFonts w:hint="default" w:ascii="Times New Roman" w:hAnsi="Times New Roman" w:cs="Times New Roman" w:eastAsiaTheme="minorEastAsia"/>
          <w:color w:val="auto"/>
          <w:kern w:val="0"/>
          <w:szCs w:val="24"/>
          <w:highlight w:val="none"/>
        </w:rPr>
      </w:pPr>
      <w:r>
        <w:rPr>
          <w:rFonts w:hint="default" w:ascii="Times New Roman" w:hAnsi="Times New Roman" w:cs="Times New Roman" w:eastAsiaTheme="minorEastAsia"/>
          <w:color w:val="auto"/>
          <w:kern w:val="0"/>
          <w:szCs w:val="24"/>
          <w:highlight w:val="none"/>
        </w:rPr>
        <w:t>具体标准值见表1.9-5、表1.9-6。</w:t>
      </w:r>
    </w:p>
    <w:p w14:paraId="7F8043C6">
      <w:pPr>
        <w:pStyle w:val="16"/>
        <w:ind w:firstLine="0" w:firstLineChars="0"/>
        <w:jc w:val="center"/>
        <w:rPr>
          <w:rFonts w:hint="default" w:ascii="Times New Roman" w:hAnsi="Times New Roman" w:cs="Times New Roman"/>
          <w:color w:val="auto"/>
          <w:sz w:val="21"/>
          <w:szCs w:val="21"/>
          <w:highlight w:val="none"/>
        </w:rPr>
      </w:pPr>
      <w:bookmarkStart w:id="72" w:name="_Ref482883517"/>
      <w:r>
        <w:rPr>
          <w:rFonts w:hint="default" w:ascii="Times New Roman" w:hAnsi="Times New Roman" w:cs="Times New Roman"/>
          <w:color w:val="auto"/>
          <w:sz w:val="21"/>
          <w:szCs w:val="21"/>
          <w:highlight w:val="none"/>
        </w:rPr>
        <w:t>表</w:t>
      </w:r>
      <w:bookmarkEnd w:id="72"/>
      <w:r>
        <w:rPr>
          <w:rFonts w:hint="default" w:ascii="Times New Roman" w:hAnsi="Times New Roman" w:cs="Times New Roman"/>
          <w:color w:val="auto"/>
          <w:sz w:val="21"/>
          <w:szCs w:val="21"/>
          <w:highlight w:val="none"/>
        </w:rPr>
        <w:t>1.9-5  建设用地土壤环境质量标准一览表（摘录）  单位：mg/kg</w:t>
      </w:r>
    </w:p>
    <w:tbl>
      <w:tblPr>
        <w:tblStyle w:val="58"/>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09"/>
        <w:gridCol w:w="1843"/>
        <w:gridCol w:w="1417"/>
        <w:gridCol w:w="1418"/>
        <w:gridCol w:w="1978"/>
      </w:tblGrid>
      <w:tr w14:paraId="6167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vMerge w:val="restart"/>
            <w:shd w:val="clear" w:color="auto" w:fill="auto"/>
            <w:vAlign w:val="center"/>
          </w:tcPr>
          <w:p w14:paraId="76B4F7F7">
            <w:pPr>
              <w:pStyle w:val="650"/>
              <w:ind w:left="0" w:leftChars="0" w:right="0" w:right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序号</w:t>
            </w:r>
          </w:p>
        </w:tc>
        <w:tc>
          <w:tcPr>
            <w:tcW w:w="1809" w:type="dxa"/>
            <w:vMerge w:val="restart"/>
            <w:shd w:val="clear" w:color="auto" w:fill="auto"/>
            <w:vAlign w:val="center"/>
          </w:tcPr>
          <w:p w14:paraId="1799B472">
            <w:pPr>
              <w:pStyle w:val="650"/>
              <w:ind w:left="0" w:leftChars="0" w:right="0" w:right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污染物项目</w:t>
            </w:r>
          </w:p>
        </w:tc>
        <w:tc>
          <w:tcPr>
            <w:tcW w:w="1843" w:type="dxa"/>
            <w:vMerge w:val="restart"/>
            <w:shd w:val="clear" w:color="auto" w:fill="auto"/>
            <w:vAlign w:val="center"/>
          </w:tcPr>
          <w:p w14:paraId="7EAC3AAC">
            <w:pPr>
              <w:pStyle w:val="650"/>
              <w:ind w:left="0" w:leftChars="0" w:right="0" w:right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CAS编号</w:t>
            </w:r>
          </w:p>
        </w:tc>
        <w:tc>
          <w:tcPr>
            <w:tcW w:w="2835" w:type="dxa"/>
            <w:gridSpan w:val="2"/>
            <w:shd w:val="clear" w:color="auto" w:fill="auto"/>
            <w:vAlign w:val="center"/>
          </w:tcPr>
          <w:p w14:paraId="3053E0B5">
            <w:pPr>
              <w:pStyle w:val="650"/>
              <w:ind w:left="0" w:leftChars="0" w:right="0" w:right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筛选值</w:t>
            </w:r>
          </w:p>
        </w:tc>
        <w:tc>
          <w:tcPr>
            <w:tcW w:w="1978" w:type="dxa"/>
            <w:vMerge w:val="restart"/>
            <w:vAlign w:val="center"/>
          </w:tcPr>
          <w:p w14:paraId="1CE03BEC">
            <w:pPr>
              <w:pStyle w:val="650"/>
              <w:ind w:left="0" w:leftChars="0" w:right="0" w:right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标准来源</w:t>
            </w:r>
          </w:p>
        </w:tc>
      </w:tr>
      <w:tr w14:paraId="1D6C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vMerge w:val="continue"/>
            <w:shd w:val="clear" w:color="auto" w:fill="auto"/>
            <w:vAlign w:val="center"/>
          </w:tcPr>
          <w:p w14:paraId="5F9C5083">
            <w:pPr>
              <w:pStyle w:val="650"/>
              <w:ind w:left="0" w:leftChars="0" w:right="0" w:rightChars="0"/>
              <w:rPr>
                <w:rFonts w:hint="default" w:ascii="Times New Roman" w:hAnsi="Times New Roman" w:cs="Times New Roman"/>
                <w:bCs/>
                <w:color w:val="auto"/>
                <w:sz w:val="21"/>
                <w:szCs w:val="21"/>
                <w:highlight w:val="none"/>
              </w:rPr>
            </w:pPr>
          </w:p>
        </w:tc>
        <w:tc>
          <w:tcPr>
            <w:tcW w:w="1809" w:type="dxa"/>
            <w:vMerge w:val="continue"/>
            <w:shd w:val="clear" w:color="auto" w:fill="auto"/>
            <w:vAlign w:val="center"/>
          </w:tcPr>
          <w:p w14:paraId="0AC9AB47">
            <w:pPr>
              <w:pStyle w:val="650"/>
              <w:ind w:left="0" w:leftChars="0" w:right="0" w:rightChars="0"/>
              <w:rPr>
                <w:rFonts w:hint="default" w:ascii="Times New Roman" w:hAnsi="Times New Roman" w:cs="Times New Roman"/>
                <w:bCs/>
                <w:color w:val="auto"/>
                <w:sz w:val="21"/>
                <w:szCs w:val="21"/>
                <w:highlight w:val="none"/>
              </w:rPr>
            </w:pPr>
          </w:p>
        </w:tc>
        <w:tc>
          <w:tcPr>
            <w:tcW w:w="1843" w:type="dxa"/>
            <w:vMerge w:val="continue"/>
            <w:shd w:val="clear" w:color="auto" w:fill="auto"/>
            <w:vAlign w:val="center"/>
          </w:tcPr>
          <w:p w14:paraId="75BC75AB">
            <w:pPr>
              <w:pStyle w:val="650"/>
              <w:ind w:left="0" w:leftChars="0" w:right="0" w:rightChars="0"/>
              <w:rPr>
                <w:rFonts w:hint="default" w:ascii="Times New Roman" w:hAnsi="Times New Roman" w:cs="Times New Roman"/>
                <w:bCs/>
                <w:color w:val="auto"/>
                <w:sz w:val="21"/>
                <w:szCs w:val="21"/>
                <w:highlight w:val="none"/>
              </w:rPr>
            </w:pPr>
          </w:p>
        </w:tc>
        <w:tc>
          <w:tcPr>
            <w:tcW w:w="1417" w:type="dxa"/>
            <w:shd w:val="clear" w:color="auto" w:fill="auto"/>
            <w:vAlign w:val="center"/>
          </w:tcPr>
          <w:p w14:paraId="59FB07C6">
            <w:pPr>
              <w:pStyle w:val="650"/>
              <w:ind w:left="0" w:leftChars="0" w:right="0" w:right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第一类用地</w:t>
            </w:r>
          </w:p>
        </w:tc>
        <w:tc>
          <w:tcPr>
            <w:tcW w:w="1418" w:type="dxa"/>
            <w:shd w:val="clear" w:color="auto" w:fill="auto"/>
            <w:vAlign w:val="center"/>
          </w:tcPr>
          <w:p w14:paraId="0E660B14">
            <w:pPr>
              <w:pStyle w:val="650"/>
              <w:ind w:left="0" w:leftChars="0" w:right="0" w:right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第二类用地</w:t>
            </w:r>
          </w:p>
        </w:tc>
        <w:tc>
          <w:tcPr>
            <w:tcW w:w="1978" w:type="dxa"/>
            <w:vMerge w:val="continue"/>
          </w:tcPr>
          <w:p w14:paraId="7BC3B110">
            <w:pPr>
              <w:pStyle w:val="650"/>
              <w:ind w:left="0" w:leftChars="0" w:right="0" w:rightChars="0"/>
              <w:rPr>
                <w:rFonts w:hint="default" w:ascii="Times New Roman" w:hAnsi="Times New Roman" w:cs="Times New Roman"/>
                <w:b/>
                <w:color w:val="auto"/>
                <w:sz w:val="21"/>
                <w:szCs w:val="21"/>
                <w:highlight w:val="none"/>
              </w:rPr>
            </w:pPr>
          </w:p>
        </w:tc>
      </w:tr>
      <w:tr w14:paraId="00FA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6" w:type="dxa"/>
            <w:gridSpan w:val="5"/>
            <w:shd w:val="clear" w:color="auto" w:fill="auto"/>
            <w:vAlign w:val="center"/>
          </w:tcPr>
          <w:p w14:paraId="6EFCA81C">
            <w:pPr>
              <w:pStyle w:val="650"/>
              <w:ind w:left="0" w:leftChars="0" w:right="0" w:rightChars="0"/>
              <w:rPr>
                <w:rFonts w:hint="default" w:ascii="Times New Roman" w:hAnsi="Times New Roman" w:cs="Times New Roman"/>
                <w:b/>
                <w:color w:val="auto"/>
                <w:sz w:val="21"/>
                <w:szCs w:val="21"/>
                <w:highlight w:val="none"/>
              </w:rPr>
            </w:pPr>
            <w:r>
              <w:rPr>
                <w:rFonts w:hint="default" w:ascii="Times New Roman" w:hAnsi="Times New Roman" w:eastAsia="楷体" w:cs="Times New Roman"/>
                <w:b/>
                <w:color w:val="auto"/>
                <w:sz w:val="21"/>
                <w:szCs w:val="20"/>
                <w:highlight w:val="none"/>
              </w:rPr>
              <w:t>重金属和无机物</w:t>
            </w:r>
          </w:p>
        </w:tc>
        <w:tc>
          <w:tcPr>
            <w:tcW w:w="1978" w:type="dxa"/>
            <w:vMerge w:val="restart"/>
            <w:vAlign w:val="center"/>
          </w:tcPr>
          <w:p w14:paraId="6DCA325B">
            <w:pPr>
              <w:pStyle w:val="650"/>
              <w:ind w:left="0" w:leftChars="0" w:right="0" w:rightChars="0"/>
              <w:rPr>
                <w:rFonts w:hint="default" w:ascii="Times New Roman" w:hAnsi="Times New Roman" w:cs="Times New Roman"/>
                <w:b/>
                <w:color w:val="auto"/>
                <w:sz w:val="21"/>
                <w:szCs w:val="21"/>
                <w:highlight w:val="none"/>
              </w:rPr>
            </w:pPr>
            <w:r>
              <w:rPr>
                <w:rFonts w:hint="default" w:ascii="Times New Roman" w:hAnsi="Times New Roman" w:cs="Times New Roman" w:eastAsiaTheme="minorEastAsia"/>
                <w:color w:val="auto"/>
                <w:kern w:val="0"/>
                <w:sz w:val="21"/>
                <w:szCs w:val="21"/>
                <w:highlight w:val="none"/>
              </w:rPr>
              <w:t>《土壤环境质量建设用地土壤污染风险管控标准（试行）》（GB36600-2018）第一类、第二类用地筛选值</w:t>
            </w:r>
          </w:p>
        </w:tc>
      </w:tr>
      <w:tr w14:paraId="1569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2CE7000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809" w:type="dxa"/>
            <w:shd w:val="clear" w:color="auto" w:fill="auto"/>
            <w:vAlign w:val="center"/>
          </w:tcPr>
          <w:p w14:paraId="34F8B9A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w:t>
            </w:r>
          </w:p>
        </w:tc>
        <w:tc>
          <w:tcPr>
            <w:tcW w:w="1843" w:type="dxa"/>
            <w:shd w:val="clear" w:color="auto" w:fill="auto"/>
            <w:vAlign w:val="center"/>
          </w:tcPr>
          <w:p w14:paraId="44F707F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7440-38-2</w:t>
            </w:r>
          </w:p>
        </w:tc>
        <w:tc>
          <w:tcPr>
            <w:tcW w:w="1417" w:type="dxa"/>
            <w:shd w:val="clear" w:color="auto" w:fill="auto"/>
            <w:vAlign w:val="center"/>
          </w:tcPr>
          <w:p w14:paraId="53FA153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1418" w:type="dxa"/>
            <w:shd w:val="clear" w:color="auto" w:fill="auto"/>
            <w:vAlign w:val="center"/>
          </w:tcPr>
          <w:p w14:paraId="3C0DC0A4">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1978" w:type="dxa"/>
            <w:vMerge w:val="continue"/>
          </w:tcPr>
          <w:p w14:paraId="76A43A9A">
            <w:pPr>
              <w:pStyle w:val="650"/>
              <w:ind w:left="0" w:leftChars="0" w:right="0" w:rightChars="0"/>
              <w:rPr>
                <w:rFonts w:hint="default" w:ascii="Times New Roman" w:hAnsi="Times New Roman" w:cs="Times New Roman"/>
                <w:color w:val="auto"/>
                <w:sz w:val="21"/>
                <w:szCs w:val="21"/>
                <w:highlight w:val="none"/>
              </w:rPr>
            </w:pPr>
          </w:p>
        </w:tc>
      </w:tr>
      <w:tr w14:paraId="1419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shd w:val="clear" w:color="auto" w:fill="auto"/>
            <w:vAlign w:val="center"/>
          </w:tcPr>
          <w:p w14:paraId="7C8201C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809" w:type="dxa"/>
            <w:shd w:val="clear" w:color="auto" w:fill="auto"/>
            <w:vAlign w:val="center"/>
          </w:tcPr>
          <w:p w14:paraId="228B9A1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w:t>
            </w:r>
          </w:p>
        </w:tc>
        <w:tc>
          <w:tcPr>
            <w:tcW w:w="1843" w:type="dxa"/>
            <w:shd w:val="clear" w:color="auto" w:fill="auto"/>
            <w:vAlign w:val="center"/>
          </w:tcPr>
          <w:p w14:paraId="60A454ED">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7440-43-9</w:t>
            </w:r>
          </w:p>
        </w:tc>
        <w:tc>
          <w:tcPr>
            <w:tcW w:w="1417" w:type="dxa"/>
            <w:shd w:val="clear" w:color="auto" w:fill="auto"/>
            <w:vAlign w:val="center"/>
          </w:tcPr>
          <w:p w14:paraId="1B5AF4B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1418" w:type="dxa"/>
            <w:shd w:val="clear" w:color="auto" w:fill="auto"/>
            <w:vAlign w:val="center"/>
          </w:tcPr>
          <w:p w14:paraId="0B6C056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1978" w:type="dxa"/>
            <w:vMerge w:val="continue"/>
          </w:tcPr>
          <w:p w14:paraId="4A17F4DE">
            <w:pPr>
              <w:pStyle w:val="650"/>
              <w:ind w:left="0" w:leftChars="0" w:right="0" w:rightChars="0"/>
              <w:rPr>
                <w:rFonts w:hint="default" w:ascii="Times New Roman" w:hAnsi="Times New Roman" w:cs="Times New Roman"/>
                <w:color w:val="auto"/>
                <w:sz w:val="21"/>
                <w:szCs w:val="21"/>
                <w:highlight w:val="none"/>
              </w:rPr>
            </w:pPr>
          </w:p>
        </w:tc>
      </w:tr>
      <w:tr w14:paraId="6D7F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3C217D41">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809" w:type="dxa"/>
            <w:shd w:val="clear" w:color="auto" w:fill="auto"/>
            <w:vAlign w:val="center"/>
          </w:tcPr>
          <w:p w14:paraId="6BCEF9B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铬（六价）</w:t>
            </w:r>
          </w:p>
        </w:tc>
        <w:tc>
          <w:tcPr>
            <w:tcW w:w="1843" w:type="dxa"/>
            <w:shd w:val="clear" w:color="auto" w:fill="auto"/>
            <w:vAlign w:val="center"/>
          </w:tcPr>
          <w:p w14:paraId="7E4E7F7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18540-29-9</w:t>
            </w:r>
          </w:p>
        </w:tc>
        <w:tc>
          <w:tcPr>
            <w:tcW w:w="1417" w:type="dxa"/>
            <w:shd w:val="clear" w:color="auto" w:fill="auto"/>
            <w:vAlign w:val="center"/>
          </w:tcPr>
          <w:p w14:paraId="247C51C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1418" w:type="dxa"/>
            <w:shd w:val="clear" w:color="auto" w:fill="auto"/>
            <w:vAlign w:val="center"/>
          </w:tcPr>
          <w:p w14:paraId="505AABB1">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5.7</w:t>
            </w:r>
          </w:p>
        </w:tc>
        <w:tc>
          <w:tcPr>
            <w:tcW w:w="1978" w:type="dxa"/>
            <w:vMerge w:val="continue"/>
          </w:tcPr>
          <w:p w14:paraId="41798210">
            <w:pPr>
              <w:pStyle w:val="650"/>
              <w:ind w:left="0" w:leftChars="0" w:right="0" w:rightChars="0"/>
              <w:rPr>
                <w:rFonts w:hint="default" w:ascii="Times New Roman" w:hAnsi="Times New Roman" w:cs="Times New Roman"/>
                <w:color w:val="auto"/>
                <w:sz w:val="21"/>
                <w:szCs w:val="21"/>
                <w:highlight w:val="none"/>
              </w:rPr>
            </w:pPr>
          </w:p>
        </w:tc>
      </w:tr>
      <w:tr w14:paraId="6465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4DAD15E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809" w:type="dxa"/>
            <w:shd w:val="clear" w:color="auto" w:fill="auto"/>
            <w:vAlign w:val="center"/>
          </w:tcPr>
          <w:p w14:paraId="042D0F3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tc>
        <w:tc>
          <w:tcPr>
            <w:tcW w:w="1843" w:type="dxa"/>
            <w:shd w:val="clear" w:color="auto" w:fill="auto"/>
            <w:vAlign w:val="center"/>
          </w:tcPr>
          <w:p w14:paraId="4FAD667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7440-50-8</w:t>
            </w:r>
          </w:p>
        </w:tc>
        <w:tc>
          <w:tcPr>
            <w:tcW w:w="1417" w:type="dxa"/>
            <w:shd w:val="clear" w:color="auto" w:fill="auto"/>
            <w:vAlign w:val="center"/>
          </w:tcPr>
          <w:p w14:paraId="4A414AA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2000</w:t>
            </w:r>
          </w:p>
        </w:tc>
        <w:tc>
          <w:tcPr>
            <w:tcW w:w="1418" w:type="dxa"/>
            <w:shd w:val="clear" w:color="auto" w:fill="auto"/>
            <w:vAlign w:val="center"/>
          </w:tcPr>
          <w:p w14:paraId="45DAF8C9">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18000</w:t>
            </w:r>
          </w:p>
        </w:tc>
        <w:tc>
          <w:tcPr>
            <w:tcW w:w="1978" w:type="dxa"/>
            <w:vMerge w:val="continue"/>
          </w:tcPr>
          <w:p w14:paraId="7C870F5B">
            <w:pPr>
              <w:pStyle w:val="650"/>
              <w:ind w:left="0" w:leftChars="0" w:right="0" w:rightChars="0"/>
              <w:rPr>
                <w:rFonts w:hint="default" w:ascii="Times New Roman" w:hAnsi="Times New Roman" w:cs="Times New Roman"/>
                <w:color w:val="auto"/>
                <w:sz w:val="21"/>
                <w:szCs w:val="21"/>
                <w:highlight w:val="none"/>
              </w:rPr>
            </w:pPr>
          </w:p>
        </w:tc>
      </w:tr>
      <w:tr w14:paraId="4499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15F6EFF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09" w:type="dxa"/>
            <w:shd w:val="clear" w:color="auto" w:fill="auto"/>
            <w:vAlign w:val="center"/>
          </w:tcPr>
          <w:p w14:paraId="3D5FEB9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w:t>
            </w:r>
          </w:p>
        </w:tc>
        <w:tc>
          <w:tcPr>
            <w:tcW w:w="1843" w:type="dxa"/>
            <w:shd w:val="clear" w:color="auto" w:fill="auto"/>
            <w:vAlign w:val="center"/>
          </w:tcPr>
          <w:p w14:paraId="23DD96B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7439-92-1</w:t>
            </w:r>
          </w:p>
        </w:tc>
        <w:tc>
          <w:tcPr>
            <w:tcW w:w="1417" w:type="dxa"/>
            <w:shd w:val="clear" w:color="auto" w:fill="auto"/>
            <w:vAlign w:val="center"/>
          </w:tcPr>
          <w:p w14:paraId="06EB86F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c>
          <w:tcPr>
            <w:tcW w:w="1418" w:type="dxa"/>
            <w:shd w:val="clear" w:color="auto" w:fill="auto"/>
            <w:vAlign w:val="center"/>
          </w:tcPr>
          <w:p w14:paraId="14A51962">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800</w:t>
            </w:r>
          </w:p>
        </w:tc>
        <w:tc>
          <w:tcPr>
            <w:tcW w:w="1978" w:type="dxa"/>
            <w:vMerge w:val="continue"/>
          </w:tcPr>
          <w:p w14:paraId="1CCB76CE">
            <w:pPr>
              <w:pStyle w:val="650"/>
              <w:ind w:left="0" w:leftChars="0" w:right="0" w:rightChars="0"/>
              <w:rPr>
                <w:rFonts w:hint="default" w:ascii="Times New Roman" w:hAnsi="Times New Roman" w:cs="Times New Roman"/>
                <w:color w:val="auto"/>
                <w:sz w:val="21"/>
                <w:szCs w:val="21"/>
                <w:highlight w:val="none"/>
              </w:rPr>
            </w:pPr>
          </w:p>
        </w:tc>
      </w:tr>
      <w:tr w14:paraId="3261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517B906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809" w:type="dxa"/>
            <w:shd w:val="clear" w:color="auto" w:fill="auto"/>
            <w:vAlign w:val="center"/>
          </w:tcPr>
          <w:p w14:paraId="0C60E08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w:t>
            </w:r>
          </w:p>
        </w:tc>
        <w:tc>
          <w:tcPr>
            <w:tcW w:w="1843" w:type="dxa"/>
            <w:shd w:val="clear" w:color="auto" w:fill="auto"/>
            <w:vAlign w:val="center"/>
          </w:tcPr>
          <w:p w14:paraId="7B9315C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7439-97-6</w:t>
            </w:r>
          </w:p>
        </w:tc>
        <w:tc>
          <w:tcPr>
            <w:tcW w:w="1417" w:type="dxa"/>
            <w:shd w:val="clear" w:color="auto" w:fill="auto"/>
            <w:vAlign w:val="center"/>
          </w:tcPr>
          <w:p w14:paraId="54B65E1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1418" w:type="dxa"/>
            <w:shd w:val="clear" w:color="auto" w:fill="auto"/>
            <w:vAlign w:val="center"/>
          </w:tcPr>
          <w:p w14:paraId="73453FA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w:t>
            </w:r>
          </w:p>
        </w:tc>
        <w:tc>
          <w:tcPr>
            <w:tcW w:w="1978" w:type="dxa"/>
            <w:vMerge w:val="continue"/>
          </w:tcPr>
          <w:p w14:paraId="42A79739">
            <w:pPr>
              <w:pStyle w:val="650"/>
              <w:ind w:left="0" w:leftChars="0" w:right="0" w:rightChars="0"/>
              <w:rPr>
                <w:rFonts w:hint="default" w:ascii="Times New Roman" w:hAnsi="Times New Roman" w:cs="Times New Roman"/>
                <w:color w:val="auto"/>
                <w:sz w:val="21"/>
                <w:szCs w:val="21"/>
                <w:highlight w:val="none"/>
              </w:rPr>
            </w:pPr>
          </w:p>
        </w:tc>
      </w:tr>
      <w:tr w14:paraId="5E3D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5A53929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1809" w:type="dxa"/>
            <w:shd w:val="clear" w:color="auto" w:fill="auto"/>
            <w:vAlign w:val="center"/>
          </w:tcPr>
          <w:p w14:paraId="532A754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w:t>
            </w:r>
          </w:p>
        </w:tc>
        <w:tc>
          <w:tcPr>
            <w:tcW w:w="1843" w:type="dxa"/>
            <w:shd w:val="clear" w:color="auto" w:fill="auto"/>
            <w:vAlign w:val="center"/>
          </w:tcPr>
          <w:p w14:paraId="1EE306C2">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7440-02-0</w:t>
            </w:r>
          </w:p>
        </w:tc>
        <w:tc>
          <w:tcPr>
            <w:tcW w:w="1417" w:type="dxa"/>
            <w:shd w:val="clear" w:color="auto" w:fill="auto"/>
            <w:vAlign w:val="center"/>
          </w:tcPr>
          <w:p w14:paraId="0686F6A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c>
          <w:tcPr>
            <w:tcW w:w="1418" w:type="dxa"/>
            <w:shd w:val="clear" w:color="auto" w:fill="auto"/>
            <w:vAlign w:val="center"/>
          </w:tcPr>
          <w:p w14:paraId="02B124A9">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w:t>
            </w:r>
          </w:p>
        </w:tc>
        <w:tc>
          <w:tcPr>
            <w:tcW w:w="1978" w:type="dxa"/>
            <w:vMerge w:val="continue"/>
          </w:tcPr>
          <w:p w14:paraId="60D81F84">
            <w:pPr>
              <w:pStyle w:val="650"/>
              <w:ind w:left="0" w:leftChars="0" w:right="0" w:rightChars="0"/>
              <w:rPr>
                <w:rFonts w:hint="default" w:ascii="Times New Roman" w:hAnsi="Times New Roman" w:cs="Times New Roman"/>
                <w:color w:val="auto"/>
                <w:sz w:val="21"/>
                <w:szCs w:val="21"/>
                <w:highlight w:val="none"/>
              </w:rPr>
            </w:pPr>
          </w:p>
        </w:tc>
      </w:tr>
      <w:tr w14:paraId="3057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6" w:type="dxa"/>
            <w:gridSpan w:val="5"/>
            <w:shd w:val="clear" w:color="auto" w:fill="auto"/>
            <w:vAlign w:val="center"/>
          </w:tcPr>
          <w:p w14:paraId="07C70531">
            <w:pPr>
              <w:pStyle w:val="650"/>
              <w:ind w:left="0" w:leftChars="0" w:right="0" w:rightChars="0"/>
              <w:rPr>
                <w:rFonts w:hint="default" w:ascii="Times New Roman" w:hAnsi="Times New Roman" w:cs="Times New Roman"/>
                <w:b/>
                <w:color w:val="auto"/>
                <w:sz w:val="21"/>
                <w:szCs w:val="21"/>
                <w:highlight w:val="none"/>
              </w:rPr>
            </w:pPr>
            <w:r>
              <w:rPr>
                <w:rFonts w:hint="default" w:ascii="Times New Roman" w:hAnsi="Times New Roman" w:eastAsia="楷体" w:cs="Times New Roman"/>
                <w:b/>
                <w:color w:val="auto"/>
                <w:sz w:val="21"/>
                <w:szCs w:val="20"/>
                <w:highlight w:val="none"/>
              </w:rPr>
              <w:t>挥发性有机物</w:t>
            </w:r>
          </w:p>
        </w:tc>
        <w:tc>
          <w:tcPr>
            <w:tcW w:w="1978" w:type="dxa"/>
            <w:vMerge w:val="continue"/>
          </w:tcPr>
          <w:p w14:paraId="791EDED2">
            <w:pPr>
              <w:pStyle w:val="650"/>
              <w:ind w:left="0" w:leftChars="0" w:right="0" w:rightChars="0"/>
              <w:rPr>
                <w:rFonts w:hint="default" w:ascii="Times New Roman" w:hAnsi="Times New Roman" w:cs="Times New Roman"/>
                <w:b/>
                <w:color w:val="auto"/>
                <w:sz w:val="21"/>
                <w:szCs w:val="21"/>
                <w:highlight w:val="none"/>
              </w:rPr>
            </w:pPr>
          </w:p>
        </w:tc>
      </w:tr>
      <w:tr w14:paraId="0E54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1902FBE8">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1809" w:type="dxa"/>
            <w:shd w:val="clear" w:color="auto" w:fill="auto"/>
            <w:vAlign w:val="center"/>
          </w:tcPr>
          <w:p w14:paraId="2286A7E2">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四氯化碳</w:t>
            </w:r>
          </w:p>
        </w:tc>
        <w:tc>
          <w:tcPr>
            <w:tcW w:w="1843" w:type="dxa"/>
            <w:shd w:val="clear" w:color="auto" w:fill="auto"/>
            <w:vAlign w:val="center"/>
          </w:tcPr>
          <w:p w14:paraId="22E3503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56-23-5</w:t>
            </w:r>
          </w:p>
        </w:tc>
        <w:tc>
          <w:tcPr>
            <w:tcW w:w="1417" w:type="dxa"/>
            <w:shd w:val="clear" w:color="auto" w:fill="auto"/>
            <w:vAlign w:val="center"/>
          </w:tcPr>
          <w:p w14:paraId="0588E98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0.9</w:t>
            </w:r>
          </w:p>
        </w:tc>
        <w:tc>
          <w:tcPr>
            <w:tcW w:w="1418" w:type="dxa"/>
            <w:shd w:val="clear" w:color="auto" w:fill="auto"/>
            <w:vAlign w:val="center"/>
          </w:tcPr>
          <w:p w14:paraId="7074C06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1978" w:type="dxa"/>
            <w:vMerge w:val="continue"/>
          </w:tcPr>
          <w:p w14:paraId="4A071F9E">
            <w:pPr>
              <w:pStyle w:val="650"/>
              <w:ind w:left="0" w:leftChars="0" w:right="0" w:rightChars="0"/>
              <w:rPr>
                <w:rFonts w:hint="default" w:ascii="Times New Roman" w:hAnsi="Times New Roman" w:cs="Times New Roman"/>
                <w:color w:val="auto"/>
                <w:sz w:val="21"/>
                <w:szCs w:val="21"/>
                <w:highlight w:val="none"/>
              </w:rPr>
            </w:pPr>
          </w:p>
        </w:tc>
      </w:tr>
      <w:tr w14:paraId="6BD2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637DF33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1809" w:type="dxa"/>
            <w:shd w:val="clear" w:color="auto" w:fill="auto"/>
            <w:vAlign w:val="center"/>
          </w:tcPr>
          <w:p w14:paraId="71E9AEF2">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氯仿</w:t>
            </w:r>
          </w:p>
        </w:tc>
        <w:tc>
          <w:tcPr>
            <w:tcW w:w="1843" w:type="dxa"/>
            <w:shd w:val="clear" w:color="auto" w:fill="auto"/>
            <w:vAlign w:val="center"/>
          </w:tcPr>
          <w:p w14:paraId="2CE96BC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67-66-3</w:t>
            </w:r>
          </w:p>
        </w:tc>
        <w:tc>
          <w:tcPr>
            <w:tcW w:w="1417" w:type="dxa"/>
            <w:shd w:val="clear" w:color="auto" w:fill="auto"/>
            <w:vAlign w:val="center"/>
          </w:tcPr>
          <w:p w14:paraId="11D99B4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w:t>
            </w:r>
          </w:p>
        </w:tc>
        <w:tc>
          <w:tcPr>
            <w:tcW w:w="1418" w:type="dxa"/>
            <w:shd w:val="clear" w:color="auto" w:fill="auto"/>
            <w:vAlign w:val="center"/>
          </w:tcPr>
          <w:p w14:paraId="6426934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0.9</w:t>
            </w:r>
          </w:p>
        </w:tc>
        <w:tc>
          <w:tcPr>
            <w:tcW w:w="1978" w:type="dxa"/>
            <w:vMerge w:val="continue"/>
          </w:tcPr>
          <w:p w14:paraId="36EE3775">
            <w:pPr>
              <w:pStyle w:val="650"/>
              <w:ind w:left="0" w:leftChars="0" w:right="0" w:rightChars="0"/>
              <w:rPr>
                <w:rFonts w:hint="default" w:ascii="Times New Roman" w:hAnsi="Times New Roman" w:cs="Times New Roman"/>
                <w:color w:val="auto"/>
                <w:sz w:val="21"/>
                <w:szCs w:val="21"/>
                <w:highlight w:val="none"/>
              </w:rPr>
            </w:pPr>
          </w:p>
        </w:tc>
      </w:tr>
      <w:tr w14:paraId="6AC3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01481FA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809" w:type="dxa"/>
            <w:shd w:val="clear" w:color="auto" w:fill="auto"/>
            <w:vAlign w:val="center"/>
          </w:tcPr>
          <w:p w14:paraId="46F2F7C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氯甲烷</w:t>
            </w:r>
          </w:p>
        </w:tc>
        <w:tc>
          <w:tcPr>
            <w:tcW w:w="1843" w:type="dxa"/>
            <w:shd w:val="clear" w:color="auto" w:fill="auto"/>
            <w:vAlign w:val="center"/>
          </w:tcPr>
          <w:p w14:paraId="72174F6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74-87-3</w:t>
            </w:r>
          </w:p>
        </w:tc>
        <w:tc>
          <w:tcPr>
            <w:tcW w:w="1417" w:type="dxa"/>
            <w:shd w:val="clear" w:color="auto" w:fill="auto"/>
            <w:vAlign w:val="center"/>
          </w:tcPr>
          <w:p w14:paraId="034EE34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1418" w:type="dxa"/>
            <w:shd w:val="clear" w:color="auto" w:fill="auto"/>
            <w:vAlign w:val="center"/>
          </w:tcPr>
          <w:p w14:paraId="0471531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w:t>
            </w:r>
          </w:p>
        </w:tc>
        <w:tc>
          <w:tcPr>
            <w:tcW w:w="1978" w:type="dxa"/>
            <w:vMerge w:val="continue"/>
          </w:tcPr>
          <w:p w14:paraId="0A8D535B">
            <w:pPr>
              <w:pStyle w:val="650"/>
              <w:ind w:left="0" w:leftChars="0" w:right="0" w:rightChars="0"/>
              <w:rPr>
                <w:rFonts w:hint="default" w:ascii="Times New Roman" w:hAnsi="Times New Roman" w:cs="Times New Roman"/>
                <w:color w:val="auto"/>
                <w:sz w:val="21"/>
                <w:szCs w:val="21"/>
                <w:highlight w:val="none"/>
              </w:rPr>
            </w:pPr>
          </w:p>
        </w:tc>
      </w:tr>
      <w:tr w14:paraId="341B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69CA39E9">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1809" w:type="dxa"/>
            <w:shd w:val="clear" w:color="auto" w:fill="auto"/>
            <w:vAlign w:val="center"/>
          </w:tcPr>
          <w:p w14:paraId="0E1C949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1,1-二氯乙烷</w:t>
            </w:r>
          </w:p>
        </w:tc>
        <w:tc>
          <w:tcPr>
            <w:tcW w:w="1843" w:type="dxa"/>
            <w:shd w:val="clear" w:color="auto" w:fill="auto"/>
            <w:vAlign w:val="center"/>
          </w:tcPr>
          <w:p w14:paraId="797DECE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75-34-3</w:t>
            </w:r>
          </w:p>
        </w:tc>
        <w:tc>
          <w:tcPr>
            <w:tcW w:w="1417" w:type="dxa"/>
            <w:shd w:val="clear" w:color="auto" w:fill="auto"/>
            <w:vAlign w:val="center"/>
          </w:tcPr>
          <w:p w14:paraId="6EF637A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418" w:type="dxa"/>
            <w:shd w:val="clear" w:color="auto" w:fill="auto"/>
            <w:vAlign w:val="center"/>
          </w:tcPr>
          <w:p w14:paraId="76C1E47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1978" w:type="dxa"/>
            <w:vMerge w:val="continue"/>
          </w:tcPr>
          <w:p w14:paraId="0767CC75">
            <w:pPr>
              <w:pStyle w:val="650"/>
              <w:ind w:left="0" w:leftChars="0" w:right="0" w:rightChars="0"/>
              <w:rPr>
                <w:rFonts w:hint="default" w:ascii="Times New Roman" w:hAnsi="Times New Roman" w:cs="Times New Roman"/>
                <w:color w:val="auto"/>
                <w:sz w:val="21"/>
                <w:szCs w:val="21"/>
                <w:highlight w:val="none"/>
              </w:rPr>
            </w:pPr>
          </w:p>
        </w:tc>
      </w:tr>
      <w:tr w14:paraId="3817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19A8F73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1809" w:type="dxa"/>
            <w:shd w:val="clear" w:color="auto" w:fill="auto"/>
            <w:vAlign w:val="center"/>
          </w:tcPr>
          <w:p w14:paraId="0221803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1,2-二氯乙烷</w:t>
            </w:r>
          </w:p>
        </w:tc>
        <w:tc>
          <w:tcPr>
            <w:tcW w:w="1843" w:type="dxa"/>
            <w:shd w:val="clear" w:color="auto" w:fill="auto"/>
            <w:vAlign w:val="center"/>
          </w:tcPr>
          <w:p w14:paraId="5A4028B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107-06-2</w:t>
            </w:r>
          </w:p>
        </w:tc>
        <w:tc>
          <w:tcPr>
            <w:tcW w:w="1417" w:type="dxa"/>
            <w:shd w:val="clear" w:color="auto" w:fill="auto"/>
            <w:vAlign w:val="center"/>
          </w:tcPr>
          <w:p w14:paraId="6A6644C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0.52</w:t>
            </w:r>
          </w:p>
        </w:tc>
        <w:tc>
          <w:tcPr>
            <w:tcW w:w="1418" w:type="dxa"/>
            <w:shd w:val="clear" w:color="auto" w:fill="auto"/>
            <w:vAlign w:val="center"/>
          </w:tcPr>
          <w:p w14:paraId="706875E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978" w:type="dxa"/>
            <w:vMerge w:val="continue"/>
          </w:tcPr>
          <w:p w14:paraId="72801E4B">
            <w:pPr>
              <w:pStyle w:val="650"/>
              <w:ind w:left="0" w:leftChars="0" w:right="0" w:rightChars="0"/>
              <w:rPr>
                <w:rFonts w:hint="default" w:ascii="Times New Roman" w:hAnsi="Times New Roman" w:cs="Times New Roman"/>
                <w:color w:val="auto"/>
                <w:sz w:val="21"/>
                <w:szCs w:val="21"/>
                <w:highlight w:val="none"/>
              </w:rPr>
            </w:pPr>
          </w:p>
        </w:tc>
      </w:tr>
      <w:tr w14:paraId="0CBE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6981527D">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1809" w:type="dxa"/>
            <w:shd w:val="clear" w:color="auto" w:fill="auto"/>
            <w:vAlign w:val="center"/>
          </w:tcPr>
          <w:p w14:paraId="21467CD9">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1,1-二氯乙烯</w:t>
            </w:r>
          </w:p>
        </w:tc>
        <w:tc>
          <w:tcPr>
            <w:tcW w:w="1843" w:type="dxa"/>
            <w:shd w:val="clear" w:color="auto" w:fill="auto"/>
            <w:vAlign w:val="center"/>
          </w:tcPr>
          <w:p w14:paraId="283058D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75-35-4</w:t>
            </w:r>
          </w:p>
        </w:tc>
        <w:tc>
          <w:tcPr>
            <w:tcW w:w="1417" w:type="dxa"/>
            <w:shd w:val="clear" w:color="auto" w:fill="auto"/>
            <w:vAlign w:val="center"/>
          </w:tcPr>
          <w:p w14:paraId="61CCF8E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1418" w:type="dxa"/>
            <w:shd w:val="clear" w:color="auto" w:fill="auto"/>
            <w:vAlign w:val="center"/>
          </w:tcPr>
          <w:p w14:paraId="0F76D7F2">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66</w:t>
            </w:r>
          </w:p>
        </w:tc>
        <w:tc>
          <w:tcPr>
            <w:tcW w:w="1978" w:type="dxa"/>
            <w:vMerge w:val="continue"/>
          </w:tcPr>
          <w:p w14:paraId="5D4720B3">
            <w:pPr>
              <w:pStyle w:val="650"/>
              <w:ind w:left="0" w:leftChars="0" w:right="0" w:rightChars="0"/>
              <w:rPr>
                <w:rFonts w:hint="default" w:ascii="Times New Roman" w:hAnsi="Times New Roman" w:cs="Times New Roman"/>
                <w:color w:val="auto"/>
                <w:sz w:val="21"/>
                <w:szCs w:val="21"/>
                <w:highlight w:val="none"/>
              </w:rPr>
            </w:pPr>
          </w:p>
        </w:tc>
      </w:tr>
      <w:tr w14:paraId="4742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7E5AD281">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1809" w:type="dxa"/>
            <w:shd w:val="clear" w:color="auto" w:fill="auto"/>
            <w:vAlign w:val="center"/>
          </w:tcPr>
          <w:p w14:paraId="7D4A8E4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顺-1,2-二氯乙烯</w:t>
            </w:r>
          </w:p>
        </w:tc>
        <w:tc>
          <w:tcPr>
            <w:tcW w:w="1843" w:type="dxa"/>
            <w:shd w:val="clear" w:color="auto" w:fill="auto"/>
            <w:vAlign w:val="center"/>
          </w:tcPr>
          <w:p w14:paraId="30413DE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156-59-2</w:t>
            </w:r>
          </w:p>
        </w:tc>
        <w:tc>
          <w:tcPr>
            <w:tcW w:w="1417" w:type="dxa"/>
            <w:shd w:val="clear" w:color="auto" w:fill="auto"/>
            <w:vAlign w:val="center"/>
          </w:tcPr>
          <w:p w14:paraId="51F036A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66</w:t>
            </w:r>
          </w:p>
        </w:tc>
        <w:tc>
          <w:tcPr>
            <w:tcW w:w="1418" w:type="dxa"/>
            <w:shd w:val="clear" w:color="auto" w:fill="auto"/>
            <w:vAlign w:val="center"/>
          </w:tcPr>
          <w:p w14:paraId="076DBB4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596</w:t>
            </w:r>
          </w:p>
        </w:tc>
        <w:tc>
          <w:tcPr>
            <w:tcW w:w="1978" w:type="dxa"/>
            <w:vMerge w:val="continue"/>
          </w:tcPr>
          <w:p w14:paraId="17B64A05">
            <w:pPr>
              <w:pStyle w:val="650"/>
              <w:ind w:left="0" w:leftChars="0" w:right="0" w:rightChars="0"/>
              <w:rPr>
                <w:rFonts w:hint="default" w:ascii="Times New Roman" w:hAnsi="Times New Roman" w:cs="Times New Roman"/>
                <w:color w:val="auto"/>
                <w:sz w:val="21"/>
                <w:szCs w:val="21"/>
                <w:highlight w:val="none"/>
              </w:rPr>
            </w:pPr>
          </w:p>
        </w:tc>
      </w:tr>
      <w:tr w14:paraId="331E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560E589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809" w:type="dxa"/>
            <w:shd w:val="clear" w:color="auto" w:fill="auto"/>
            <w:vAlign w:val="center"/>
          </w:tcPr>
          <w:p w14:paraId="7F692D1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反-1,2-二氯乙烯</w:t>
            </w:r>
          </w:p>
        </w:tc>
        <w:tc>
          <w:tcPr>
            <w:tcW w:w="1843" w:type="dxa"/>
            <w:shd w:val="clear" w:color="auto" w:fill="auto"/>
            <w:vAlign w:val="center"/>
          </w:tcPr>
          <w:p w14:paraId="00F3807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156-60-5</w:t>
            </w:r>
          </w:p>
        </w:tc>
        <w:tc>
          <w:tcPr>
            <w:tcW w:w="1417" w:type="dxa"/>
            <w:shd w:val="clear" w:color="auto" w:fill="auto"/>
            <w:vAlign w:val="center"/>
          </w:tcPr>
          <w:p w14:paraId="1894C04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1418" w:type="dxa"/>
            <w:shd w:val="clear" w:color="auto" w:fill="auto"/>
            <w:vAlign w:val="center"/>
          </w:tcPr>
          <w:p w14:paraId="1DA15C9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w:t>
            </w:r>
          </w:p>
        </w:tc>
        <w:tc>
          <w:tcPr>
            <w:tcW w:w="1978" w:type="dxa"/>
            <w:vMerge w:val="continue"/>
          </w:tcPr>
          <w:p w14:paraId="5269779D">
            <w:pPr>
              <w:pStyle w:val="650"/>
              <w:ind w:left="0" w:leftChars="0" w:right="0" w:rightChars="0"/>
              <w:rPr>
                <w:rFonts w:hint="default" w:ascii="Times New Roman" w:hAnsi="Times New Roman" w:cs="Times New Roman"/>
                <w:color w:val="auto"/>
                <w:sz w:val="21"/>
                <w:szCs w:val="21"/>
                <w:highlight w:val="none"/>
              </w:rPr>
            </w:pPr>
          </w:p>
        </w:tc>
      </w:tr>
      <w:tr w14:paraId="0BA9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3855E1B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1809" w:type="dxa"/>
            <w:shd w:val="clear" w:color="auto" w:fill="auto"/>
            <w:vAlign w:val="center"/>
          </w:tcPr>
          <w:p w14:paraId="51BFE88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二氯甲烷</w:t>
            </w:r>
          </w:p>
        </w:tc>
        <w:tc>
          <w:tcPr>
            <w:tcW w:w="1843" w:type="dxa"/>
            <w:shd w:val="clear" w:color="auto" w:fill="auto"/>
            <w:vAlign w:val="center"/>
          </w:tcPr>
          <w:p w14:paraId="4A48DA89">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75-09-2</w:t>
            </w:r>
          </w:p>
        </w:tc>
        <w:tc>
          <w:tcPr>
            <w:tcW w:w="1417" w:type="dxa"/>
            <w:shd w:val="clear" w:color="auto" w:fill="auto"/>
            <w:vAlign w:val="center"/>
          </w:tcPr>
          <w:p w14:paraId="67F4A2E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w:t>
            </w:r>
          </w:p>
        </w:tc>
        <w:tc>
          <w:tcPr>
            <w:tcW w:w="1418" w:type="dxa"/>
            <w:shd w:val="clear" w:color="auto" w:fill="auto"/>
            <w:vAlign w:val="center"/>
          </w:tcPr>
          <w:p w14:paraId="2F19FEF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616</w:t>
            </w:r>
          </w:p>
        </w:tc>
        <w:tc>
          <w:tcPr>
            <w:tcW w:w="1978" w:type="dxa"/>
            <w:vMerge w:val="continue"/>
          </w:tcPr>
          <w:p w14:paraId="1357000E">
            <w:pPr>
              <w:pStyle w:val="650"/>
              <w:ind w:left="0" w:leftChars="0" w:right="0" w:rightChars="0"/>
              <w:rPr>
                <w:rFonts w:hint="default" w:ascii="Times New Roman" w:hAnsi="Times New Roman" w:cs="Times New Roman"/>
                <w:color w:val="auto"/>
                <w:sz w:val="21"/>
                <w:szCs w:val="21"/>
                <w:highlight w:val="none"/>
              </w:rPr>
            </w:pPr>
          </w:p>
        </w:tc>
      </w:tr>
      <w:tr w14:paraId="0D9E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1010345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1809" w:type="dxa"/>
            <w:shd w:val="clear" w:color="auto" w:fill="auto"/>
            <w:vAlign w:val="center"/>
          </w:tcPr>
          <w:p w14:paraId="58B47D5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1,2-二氯丙烷</w:t>
            </w:r>
          </w:p>
        </w:tc>
        <w:tc>
          <w:tcPr>
            <w:tcW w:w="1843" w:type="dxa"/>
            <w:shd w:val="clear" w:color="auto" w:fill="auto"/>
            <w:vAlign w:val="center"/>
          </w:tcPr>
          <w:p w14:paraId="1F3951F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78-87-5</w:t>
            </w:r>
          </w:p>
        </w:tc>
        <w:tc>
          <w:tcPr>
            <w:tcW w:w="1417" w:type="dxa"/>
            <w:shd w:val="clear" w:color="auto" w:fill="auto"/>
            <w:vAlign w:val="center"/>
          </w:tcPr>
          <w:p w14:paraId="750B398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418" w:type="dxa"/>
            <w:shd w:val="clear" w:color="auto" w:fill="auto"/>
            <w:vAlign w:val="center"/>
          </w:tcPr>
          <w:p w14:paraId="4AAA584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978" w:type="dxa"/>
            <w:vMerge w:val="continue"/>
          </w:tcPr>
          <w:p w14:paraId="0409F8E9">
            <w:pPr>
              <w:pStyle w:val="650"/>
              <w:ind w:left="0" w:leftChars="0" w:right="0" w:rightChars="0"/>
              <w:rPr>
                <w:rFonts w:hint="default" w:ascii="Times New Roman" w:hAnsi="Times New Roman" w:cs="Times New Roman"/>
                <w:color w:val="auto"/>
                <w:sz w:val="21"/>
                <w:szCs w:val="21"/>
                <w:highlight w:val="none"/>
              </w:rPr>
            </w:pPr>
          </w:p>
        </w:tc>
      </w:tr>
      <w:tr w14:paraId="35A1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shd w:val="clear" w:color="auto" w:fill="auto"/>
            <w:vAlign w:val="center"/>
          </w:tcPr>
          <w:p w14:paraId="1CDD338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1809" w:type="dxa"/>
            <w:shd w:val="clear" w:color="auto" w:fill="auto"/>
            <w:vAlign w:val="center"/>
          </w:tcPr>
          <w:p w14:paraId="6D0DFB02">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1,1,1,2-四氯乙烷</w:t>
            </w:r>
          </w:p>
        </w:tc>
        <w:tc>
          <w:tcPr>
            <w:tcW w:w="1843" w:type="dxa"/>
            <w:shd w:val="clear" w:color="auto" w:fill="auto"/>
            <w:vAlign w:val="center"/>
          </w:tcPr>
          <w:p w14:paraId="4C63747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630-20-6</w:t>
            </w:r>
          </w:p>
        </w:tc>
        <w:tc>
          <w:tcPr>
            <w:tcW w:w="1417" w:type="dxa"/>
            <w:shd w:val="clear" w:color="auto" w:fill="auto"/>
            <w:vAlign w:val="center"/>
          </w:tcPr>
          <w:p w14:paraId="1E76B82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2.6</w:t>
            </w:r>
          </w:p>
        </w:tc>
        <w:tc>
          <w:tcPr>
            <w:tcW w:w="1418" w:type="dxa"/>
            <w:shd w:val="clear" w:color="auto" w:fill="auto"/>
            <w:vAlign w:val="center"/>
          </w:tcPr>
          <w:p w14:paraId="4B83138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978" w:type="dxa"/>
            <w:vMerge w:val="continue"/>
          </w:tcPr>
          <w:p w14:paraId="7E91ACDC">
            <w:pPr>
              <w:pStyle w:val="650"/>
              <w:ind w:left="0" w:leftChars="0" w:right="0" w:rightChars="0"/>
              <w:rPr>
                <w:rFonts w:hint="default" w:ascii="Times New Roman" w:hAnsi="Times New Roman" w:cs="Times New Roman"/>
                <w:color w:val="auto"/>
                <w:sz w:val="21"/>
                <w:szCs w:val="21"/>
                <w:highlight w:val="none"/>
              </w:rPr>
            </w:pPr>
          </w:p>
        </w:tc>
      </w:tr>
      <w:tr w14:paraId="1472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0CEB2D12">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1809" w:type="dxa"/>
            <w:shd w:val="clear" w:color="auto" w:fill="auto"/>
            <w:vAlign w:val="center"/>
          </w:tcPr>
          <w:p w14:paraId="352CB5F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1,1,2,2-四氯乙烷</w:t>
            </w:r>
          </w:p>
        </w:tc>
        <w:tc>
          <w:tcPr>
            <w:tcW w:w="1843" w:type="dxa"/>
            <w:shd w:val="clear" w:color="auto" w:fill="auto"/>
            <w:vAlign w:val="center"/>
          </w:tcPr>
          <w:p w14:paraId="0F4CFDC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79-34-5</w:t>
            </w:r>
          </w:p>
        </w:tc>
        <w:tc>
          <w:tcPr>
            <w:tcW w:w="1417" w:type="dxa"/>
            <w:shd w:val="clear" w:color="auto" w:fill="auto"/>
            <w:vAlign w:val="center"/>
          </w:tcPr>
          <w:p w14:paraId="17B06E3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w:t>
            </w:r>
          </w:p>
        </w:tc>
        <w:tc>
          <w:tcPr>
            <w:tcW w:w="1418" w:type="dxa"/>
            <w:shd w:val="clear" w:color="auto" w:fill="auto"/>
            <w:vAlign w:val="center"/>
          </w:tcPr>
          <w:p w14:paraId="66822E24">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6.8</w:t>
            </w:r>
          </w:p>
        </w:tc>
        <w:tc>
          <w:tcPr>
            <w:tcW w:w="1978" w:type="dxa"/>
            <w:vMerge w:val="continue"/>
          </w:tcPr>
          <w:p w14:paraId="2B311151">
            <w:pPr>
              <w:pStyle w:val="650"/>
              <w:ind w:left="0" w:leftChars="0" w:right="0" w:rightChars="0"/>
              <w:rPr>
                <w:rFonts w:hint="default" w:ascii="Times New Roman" w:hAnsi="Times New Roman" w:cs="Times New Roman"/>
                <w:color w:val="auto"/>
                <w:sz w:val="21"/>
                <w:szCs w:val="21"/>
                <w:highlight w:val="none"/>
              </w:rPr>
            </w:pPr>
          </w:p>
        </w:tc>
      </w:tr>
      <w:tr w14:paraId="1B10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78AA1CF2">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1809" w:type="dxa"/>
            <w:shd w:val="clear" w:color="auto" w:fill="auto"/>
            <w:vAlign w:val="center"/>
          </w:tcPr>
          <w:p w14:paraId="3125590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四氯乙烯</w:t>
            </w:r>
          </w:p>
        </w:tc>
        <w:tc>
          <w:tcPr>
            <w:tcW w:w="1843" w:type="dxa"/>
            <w:shd w:val="clear" w:color="auto" w:fill="auto"/>
            <w:vAlign w:val="center"/>
          </w:tcPr>
          <w:p w14:paraId="00D5A87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127-18-4</w:t>
            </w:r>
          </w:p>
        </w:tc>
        <w:tc>
          <w:tcPr>
            <w:tcW w:w="1417" w:type="dxa"/>
            <w:shd w:val="clear" w:color="auto" w:fill="auto"/>
            <w:vAlign w:val="center"/>
          </w:tcPr>
          <w:p w14:paraId="1FAD33F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1418" w:type="dxa"/>
            <w:shd w:val="clear" w:color="auto" w:fill="auto"/>
            <w:vAlign w:val="center"/>
          </w:tcPr>
          <w:p w14:paraId="52AFC7A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w:t>
            </w:r>
          </w:p>
        </w:tc>
        <w:tc>
          <w:tcPr>
            <w:tcW w:w="1978" w:type="dxa"/>
            <w:vMerge w:val="continue"/>
          </w:tcPr>
          <w:p w14:paraId="3C8A273E">
            <w:pPr>
              <w:pStyle w:val="650"/>
              <w:ind w:left="0" w:leftChars="0" w:right="0" w:rightChars="0"/>
              <w:rPr>
                <w:rFonts w:hint="default" w:ascii="Times New Roman" w:hAnsi="Times New Roman" w:cs="Times New Roman"/>
                <w:color w:val="auto"/>
                <w:sz w:val="21"/>
                <w:szCs w:val="21"/>
                <w:highlight w:val="none"/>
              </w:rPr>
            </w:pPr>
          </w:p>
        </w:tc>
      </w:tr>
      <w:tr w14:paraId="59C5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5DCF7CC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1809" w:type="dxa"/>
            <w:shd w:val="clear" w:color="auto" w:fill="auto"/>
            <w:vAlign w:val="center"/>
          </w:tcPr>
          <w:p w14:paraId="7BF337E2">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1,1,1-三氯乙烷</w:t>
            </w:r>
          </w:p>
        </w:tc>
        <w:tc>
          <w:tcPr>
            <w:tcW w:w="1843" w:type="dxa"/>
            <w:shd w:val="clear" w:color="auto" w:fill="auto"/>
            <w:vAlign w:val="center"/>
          </w:tcPr>
          <w:p w14:paraId="3CB3C58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71-55-6</w:t>
            </w:r>
          </w:p>
        </w:tc>
        <w:tc>
          <w:tcPr>
            <w:tcW w:w="1417" w:type="dxa"/>
            <w:shd w:val="clear" w:color="auto" w:fill="auto"/>
            <w:vAlign w:val="center"/>
          </w:tcPr>
          <w:p w14:paraId="57AD793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701</w:t>
            </w:r>
          </w:p>
        </w:tc>
        <w:tc>
          <w:tcPr>
            <w:tcW w:w="1418" w:type="dxa"/>
            <w:shd w:val="clear" w:color="auto" w:fill="auto"/>
            <w:vAlign w:val="center"/>
          </w:tcPr>
          <w:p w14:paraId="35106DD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840</w:t>
            </w:r>
          </w:p>
        </w:tc>
        <w:tc>
          <w:tcPr>
            <w:tcW w:w="1978" w:type="dxa"/>
            <w:vMerge w:val="continue"/>
          </w:tcPr>
          <w:p w14:paraId="52531E7C">
            <w:pPr>
              <w:pStyle w:val="650"/>
              <w:ind w:left="0" w:leftChars="0" w:right="0" w:rightChars="0"/>
              <w:rPr>
                <w:rFonts w:hint="default" w:ascii="Times New Roman" w:hAnsi="Times New Roman" w:cs="Times New Roman"/>
                <w:color w:val="auto"/>
                <w:sz w:val="21"/>
                <w:szCs w:val="21"/>
                <w:highlight w:val="none"/>
              </w:rPr>
            </w:pPr>
          </w:p>
        </w:tc>
      </w:tr>
      <w:tr w14:paraId="2A38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01A1424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c>
          <w:tcPr>
            <w:tcW w:w="1809" w:type="dxa"/>
            <w:shd w:val="clear" w:color="auto" w:fill="auto"/>
            <w:vAlign w:val="center"/>
          </w:tcPr>
          <w:p w14:paraId="2278BAF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1,1,2-三氯乙烷</w:t>
            </w:r>
          </w:p>
        </w:tc>
        <w:tc>
          <w:tcPr>
            <w:tcW w:w="1843" w:type="dxa"/>
            <w:shd w:val="clear" w:color="auto" w:fill="auto"/>
            <w:vAlign w:val="center"/>
          </w:tcPr>
          <w:p w14:paraId="0CAA7F44">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79-00-5</w:t>
            </w:r>
          </w:p>
        </w:tc>
        <w:tc>
          <w:tcPr>
            <w:tcW w:w="1417" w:type="dxa"/>
            <w:shd w:val="clear" w:color="auto" w:fill="auto"/>
            <w:vAlign w:val="center"/>
          </w:tcPr>
          <w:p w14:paraId="03E0FC4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w:t>
            </w:r>
          </w:p>
        </w:tc>
        <w:tc>
          <w:tcPr>
            <w:tcW w:w="1418" w:type="dxa"/>
            <w:shd w:val="clear" w:color="auto" w:fill="auto"/>
            <w:vAlign w:val="center"/>
          </w:tcPr>
          <w:p w14:paraId="693B043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1978" w:type="dxa"/>
            <w:vMerge w:val="continue"/>
          </w:tcPr>
          <w:p w14:paraId="181CF6E7">
            <w:pPr>
              <w:pStyle w:val="650"/>
              <w:ind w:left="0" w:leftChars="0" w:right="0" w:rightChars="0"/>
              <w:rPr>
                <w:rFonts w:hint="default" w:ascii="Times New Roman" w:hAnsi="Times New Roman" w:cs="Times New Roman"/>
                <w:color w:val="auto"/>
                <w:sz w:val="21"/>
                <w:szCs w:val="21"/>
                <w:highlight w:val="none"/>
              </w:rPr>
            </w:pPr>
          </w:p>
        </w:tc>
      </w:tr>
      <w:tr w14:paraId="05D8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shd w:val="clear" w:color="auto" w:fill="auto"/>
            <w:vAlign w:val="center"/>
          </w:tcPr>
          <w:p w14:paraId="5D42D52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c>
          <w:tcPr>
            <w:tcW w:w="1809" w:type="dxa"/>
            <w:shd w:val="clear" w:color="auto" w:fill="auto"/>
            <w:vAlign w:val="center"/>
          </w:tcPr>
          <w:p w14:paraId="67F726C2">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三氯乙烯</w:t>
            </w:r>
          </w:p>
        </w:tc>
        <w:tc>
          <w:tcPr>
            <w:tcW w:w="1843" w:type="dxa"/>
            <w:shd w:val="clear" w:color="auto" w:fill="auto"/>
            <w:vAlign w:val="center"/>
          </w:tcPr>
          <w:p w14:paraId="0F96BD2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79-01-6</w:t>
            </w:r>
          </w:p>
        </w:tc>
        <w:tc>
          <w:tcPr>
            <w:tcW w:w="1417" w:type="dxa"/>
            <w:shd w:val="clear" w:color="auto" w:fill="auto"/>
            <w:vAlign w:val="center"/>
          </w:tcPr>
          <w:p w14:paraId="24E3C22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0.7</w:t>
            </w:r>
          </w:p>
        </w:tc>
        <w:tc>
          <w:tcPr>
            <w:tcW w:w="1418" w:type="dxa"/>
            <w:shd w:val="clear" w:color="auto" w:fill="auto"/>
            <w:vAlign w:val="center"/>
          </w:tcPr>
          <w:p w14:paraId="509D5B51">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1978" w:type="dxa"/>
            <w:vMerge w:val="continue"/>
          </w:tcPr>
          <w:p w14:paraId="3FC50EE3">
            <w:pPr>
              <w:pStyle w:val="650"/>
              <w:ind w:left="0" w:leftChars="0" w:right="0" w:rightChars="0"/>
              <w:rPr>
                <w:rFonts w:hint="default" w:ascii="Times New Roman" w:hAnsi="Times New Roman" w:cs="Times New Roman"/>
                <w:color w:val="auto"/>
                <w:sz w:val="21"/>
                <w:szCs w:val="21"/>
                <w:highlight w:val="none"/>
              </w:rPr>
            </w:pPr>
          </w:p>
        </w:tc>
      </w:tr>
      <w:tr w14:paraId="2649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6FF5DC6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1809" w:type="dxa"/>
            <w:shd w:val="clear" w:color="auto" w:fill="auto"/>
            <w:vAlign w:val="center"/>
          </w:tcPr>
          <w:p w14:paraId="4616900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1,2,3-三氯丙烷</w:t>
            </w:r>
          </w:p>
        </w:tc>
        <w:tc>
          <w:tcPr>
            <w:tcW w:w="1843" w:type="dxa"/>
            <w:shd w:val="clear" w:color="auto" w:fill="auto"/>
            <w:vAlign w:val="center"/>
          </w:tcPr>
          <w:p w14:paraId="6AA0203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96-18-4</w:t>
            </w:r>
          </w:p>
        </w:tc>
        <w:tc>
          <w:tcPr>
            <w:tcW w:w="1417" w:type="dxa"/>
            <w:shd w:val="clear" w:color="auto" w:fill="auto"/>
            <w:vAlign w:val="center"/>
          </w:tcPr>
          <w:p w14:paraId="1C00458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0.05</w:t>
            </w:r>
          </w:p>
        </w:tc>
        <w:tc>
          <w:tcPr>
            <w:tcW w:w="1418" w:type="dxa"/>
            <w:shd w:val="clear" w:color="auto" w:fill="auto"/>
            <w:vAlign w:val="center"/>
          </w:tcPr>
          <w:p w14:paraId="51792A2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w:t>
            </w:r>
          </w:p>
        </w:tc>
        <w:tc>
          <w:tcPr>
            <w:tcW w:w="1978" w:type="dxa"/>
            <w:vMerge w:val="continue"/>
          </w:tcPr>
          <w:p w14:paraId="30541F7F">
            <w:pPr>
              <w:pStyle w:val="650"/>
              <w:ind w:left="0" w:leftChars="0" w:right="0" w:rightChars="0"/>
              <w:rPr>
                <w:rFonts w:hint="default" w:ascii="Times New Roman" w:hAnsi="Times New Roman" w:cs="Times New Roman"/>
                <w:color w:val="auto"/>
                <w:sz w:val="21"/>
                <w:szCs w:val="21"/>
                <w:highlight w:val="none"/>
              </w:rPr>
            </w:pPr>
          </w:p>
        </w:tc>
      </w:tr>
      <w:tr w14:paraId="4539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5DFCE96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w:t>
            </w:r>
          </w:p>
        </w:tc>
        <w:tc>
          <w:tcPr>
            <w:tcW w:w="1809" w:type="dxa"/>
            <w:shd w:val="clear" w:color="auto" w:fill="auto"/>
            <w:vAlign w:val="center"/>
          </w:tcPr>
          <w:p w14:paraId="4A93CA19">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氯乙烯</w:t>
            </w:r>
          </w:p>
        </w:tc>
        <w:tc>
          <w:tcPr>
            <w:tcW w:w="1843" w:type="dxa"/>
            <w:shd w:val="clear" w:color="auto" w:fill="auto"/>
            <w:vAlign w:val="center"/>
          </w:tcPr>
          <w:p w14:paraId="22BCF03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75-01-4</w:t>
            </w:r>
          </w:p>
        </w:tc>
        <w:tc>
          <w:tcPr>
            <w:tcW w:w="1417" w:type="dxa"/>
            <w:shd w:val="clear" w:color="auto" w:fill="auto"/>
            <w:vAlign w:val="center"/>
          </w:tcPr>
          <w:p w14:paraId="4557F3E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0.12</w:t>
            </w:r>
          </w:p>
        </w:tc>
        <w:tc>
          <w:tcPr>
            <w:tcW w:w="1418" w:type="dxa"/>
            <w:shd w:val="clear" w:color="auto" w:fill="auto"/>
            <w:vAlign w:val="center"/>
          </w:tcPr>
          <w:p w14:paraId="5A34A5C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0.43</w:t>
            </w:r>
          </w:p>
        </w:tc>
        <w:tc>
          <w:tcPr>
            <w:tcW w:w="1978" w:type="dxa"/>
            <w:vMerge w:val="continue"/>
          </w:tcPr>
          <w:p w14:paraId="30C9B537">
            <w:pPr>
              <w:pStyle w:val="650"/>
              <w:ind w:left="0" w:leftChars="0" w:right="0" w:rightChars="0"/>
              <w:rPr>
                <w:rFonts w:hint="default" w:ascii="Times New Roman" w:hAnsi="Times New Roman" w:cs="Times New Roman"/>
                <w:color w:val="auto"/>
                <w:sz w:val="21"/>
                <w:szCs w:val="21"/>
                <w:highlight w:val="none"/>
              </w:rPr>
            </w:pPr>
          </w:p>
        </w:tc>
      </w:tr>
      <w:tr w14:paraId="5C12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55DE31D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w:t>
            </w:r>
          </w:p>
        </w:tc>
        <w:tc>
          <w:tcPr>
            <w:tcW w:w="1809" w:type="dxa"/>
            <w:shd w:val="clear" w:color="auto" w:fill="auto"/>
            <w:vAlign w:val="center"/>
          </w:tcPr>
          <w:p w14:paraId="482BF334">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w:t>
            </w:r>
          </w:p>
        </w:tc>
        <w:tc>
          <w:tcPr>
            <w:tcW w:w="1843" w:type="dxa"/>
            <w:shd w:val="clear" w:color="auto" w:fill="auto"/>
            <w:vAlign w:val="center"/>
          </w:tcPr>
          <w:p w14:paraId="591DFEC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71-43-2</w:t>
            </w:r>
          </w:p>
        </w:tc>
        <w:tc>
          <w:tcPr>
            <w:tcW w:w="1417" w:type="dxa"/>
            <w:shd w:val="clear" w:color="auto" w:fill="auto"/>
            <w:vAlign w:val="center"/>
          </w:tcPr>
          <w:p w14:paraId="6EC355C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418" w:type="dxa"/>
            <w:shd w:val="clear" w:color="auto" w:fill="auto"/>
            <w:vAlign w:val="center"/>
          </w:tcPr>
          <w:p w14:paraId="56BDC1ED">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978" w:type="dxa"/>
            <w:vMerge w:val="continue"/>
          </w:tcPr>
          <w:p w14:paraId="48C581D4">
            <w:pPr>
              <w:pStyle w:val="650"/>
              <w:ind w:left="0" w:leftChars="0" w:right="0" w:rightChars="0"/>
              <w:rPr>
                <w:rFonts w:hint="default" w:ascii="Times New Roman" w:hAnsi="Times New Roman" w:cs="Times New Roman"/>
                <w:color w:val="auto"/>
                <w:sz w:val="21"/>
                <w:szCs w:val="21"/>
                <w:highlight w:val="none"/>
              </w:rPr>
            </w:pPr>
          </w:p>
        </w:tc>
      </w:tr>
      <w:tr w14:paraId="60CA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4F03514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w:t>
            </w:r>
          </w:p>
        </w:tc>
        <w:tc>
          <w:tcPr>
            <w:tcW w:w="1809" w:type="dxa"/>
            <w:shd w:val="clear" w:color="auto" w:fill="auto"/>
            <w:vAlign w:val="center"/>
          </w:tcPr>
          <w:p w14:paraId="4D50F4F1">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氯苯</w:t>
            </w:r>
          </w:p>
        </w:tc>
        <w:tc>
          <w:tcPr>
            <w:tcW w:w="1843" w:type="dxa"/>
            <w:shd w:val="clear" w:color="auto" w:fill="auto"/>
            <w:vAlign w:val="center"/>
          </w:tcPr>
          <w:p w14:paraId="35D1A29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108-90-7</w:t>
            </w:r>
          </w:p>
        </w:tc>
        <w:tc>
          <w:tcPr>
            <w:tcW w:w="1417" w:type="dxa"/>
            <w:shd w:val="clear" w:color="auto" w:fill="auto"/>
            <w:vAlign w:val="center"/>
          </w:tcPr>
          <w:p w14:paraId="4657109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68</w:t>
            </w:r>
          </w:p>
        </w:tc>
        <w:tc>
          <w:tcPr>
            <w:tcW w:w="1418" w:type="dxa"/>
            <w:shd w:val="clear" w:color="auto" w:fill="auto"/>
            <w:vAlign w:val="center"/>
          </w:tcPr>
          <w:p w14:paraId="152417E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270</w:t>
            </w:r>
          </w:p>
        </w:tc>
        <w:tc>
          <w:tcPr>
            <w:tcW w:w="1978" w:type="dxa"/>
            <w:vMerge w:val="continue"/>
          </w:tcPr>
          <w:p w14:paraId="24B57805">
            <w:pPr>
              <w:pStyle w:val="650"/>
              <w:ind w:left="0" w:leftChars="0" w:right="0" w:rightChars="0"/>
              <w:rPr>
                <w:rFonts w:hint="default" w:ascii="Times New Roman" w:hAnsi="Times New Roman" w:cs="Times New Roman"/>
                <w:color w:val="auto"/>
                <w:sz w:val="21"/>
                <w:szCs w:val="21"/>
                <w:highlight w:val="none"/>
              </w:rPr>
            </w:pPr>
          </w:p>
        </w:tc>
      </w:tr>
      <w:tr w14:paraId="7236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46D7579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1809" w:type="dxa"/>
            <w:shd w:val="clear" w:color="auto" w:fill="auto"/>
            <w:vAlign w:val="center"/>
          </w:tcPr>
          <w:p w14:paraId="4E4883D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1,2-二氯苯</w:t>
            </w:r>
          </w:p>
        </w:tc>
        <w:tc>
          <w:tcPr>
            <w:tcW w:w="1843" w:type="dxa"/>
            <w:shd w:val="clear" w:color="auto" w:fill="auto"/>
            <w:vAlign w:val="center"/>
          </w:tcPr>
          <w:p w14:paraId="4EF6A13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95-50-1</w:t>
            </w:r>
          </w:p>
        </w:tc>
        <w:tc>
          <w:tcPr>
            <w:tcW w:w="1417" w:type="dxa"/>
            <w:shd w:val="clear" w:color="auto" w:fill="auto"/>
            <w:vAlign w:val="center"/>
          </w:tcPr>
          <w:p w14:paraId="66940AE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560</w:t>
            </w:r>
          </w:p>
        </w:tc>
        <w:tc>
          <w:tcPr>
            <w:tcW w:w="1418" w:type="dxa"/>
            <w:shd w:val="clear" w:color="auto" w:fill="auto"/>
            <w:vAlign w:val="center"/>
          </w:tcPr>
          <w:p w14:paraId="58734224">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560</w:t>
            </w:r>
          </w:p>
        </w:tc>
        <w:tc>
          <w:tcPr>
            <w:tcW w:w="1978" w:type="dxa"/>
            <w:vMerge w:val="continue"/>
          </w:tcPr>
          <w:p w14:paraId="58BD5371">
            <w:pPr>
              <w:pStyle w:val="650"/>
              <w:ind w:left="0" w:leftChars="0" w:right="0" w:rightChars="0"/>
              <w:rPr>
                <w:rFonts w:hint="default" w:ascii="Times New Roman" w:hAnsi="Times New Roman" w:cs="Times New Roman"/>
                <w:color w:val="auto"/>
                <w:sz w:val="21"/>
                <w:szCs w:val="21"/>
                <w:highlight w:val="none"/>
              </w:rPr>
            </w:pPr>
          </w:p>
        </w:tc>
      </w:tr>
      <w:tr w14:paraId="0AE7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411F29A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w:t>
            </w:r>
          </w:p>
        </w:tc>
        <w:tc>
          <w:tcPr>
            <w:tcW w:w="1809" w:type="dxa"/>
            <w:shd w:val="clear" w:color="auto" w:fill="auto"/>
            <w:vAlign w:val="center"/>
          </w:tcPr>
          <w:p w14:paraId="638ED80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1,4-二氯苯</w:t>
            </w:r>
          </w:p>
        </w:tc>
        <w:tc>
          <w:tcPr>
            <w:tcW w:w="1843" w:type="dxa"/>
            <w:shd w:val="clear" w:color="auto" w:fill="auto"/>
            <w:vAlign w:val="center"/>
          </w:tcPr>
          <w:p w14:paraId="7A03040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106-46-7</w:t>
            </w:r>
          </w:p>
        </w:tc>
        <w:tc>
          <w:tcPr>
            <w:tcW w:w="1417" w:type="dxa"/>
            <w:shd w:val="clear" w:color="auto" w:fill="auto"/>
            <w:vAlign w:val="center"/>
          </w:tcPr>
          <w:p w14:paraId="60BF295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5.6</w:t>
            </w:r>
          </w:p>
        </w:tc>
        <w:tc>
          <w:tcPr>
            <w:tcW w:w="1418" w:type="dxa"/>
            <w:shd w:val="clear" w:color="auto" w:fill="auto"/>
            <w:vAlign w:val="center"/>
          </w:tcPr>
          <w:p w14:paraId="20A18E2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1978" w:type="dxa"/>
            <w:vMerge w:val="continue"/>
          </w:tcPr>
          <w:p w14:paraId="70D733B3">
            <w:pPr>
              <w:pStyle w:val="650"/>
              <w:ind w:left="0" w:leftChars="0" w:right="0" w:rightChars="0"/>
              <w:rPr>
                <w:rFonts w:hint="default" w:ascii="Times New Roman" w:hAnsi="Times New Roman" w:cs="Times New Roman"/>
                <w:color w:val="auto"/>
                <w:sz w:val="21"/>
                <w:szCs w:val="21"/>
                <w:highlight w:val="none"/>
              </w:rPr>
            </w:pPr>
          </w:p>
        </w:tc>
      </w:tr>
      <w:tr w14:paraId="01A0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shd w:val="clear" w:color="auto" w:fill="auto"/>
            <w:vAlign w:val="center"/>
          </w:tcPr>
          <w:p w14:paraId="65F9782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1809" w:type="dxa"/>
            <w:shd w:val="clear" w:color="auto" w:fill="auto"/>
            <w:vAlign w:val="center"/>
          </w:tcPr>
          <w:p w14:paraId="2E832C9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1843" w:type="dxa"/>
            <w:shd w:val="clear" w:color="auto" w:fill="auto"/>
            <w:vAlign w:val="center"/>
          </w:tcPr>
          <w:p w14:paraId="79515338">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100-41-4</w:t>
            </w:r>
          </w:p>
        </w:tc>
        <w:tc>
          <w:tcPr>
            <w:tcW w:w="1417" w:type="dxa"/>
            <w:shd w:val="clear" w:color="auto" w:fill="auto"/>
            <w:vAlign w:val="center"/>
          </w:tcPr>
          <w:p w14:paraId="3FF2936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7.2</w:t>
            </w:r>
          </w:p>
        </w:tc>
        <w:tc>
          <w:tcPr>
            <w:tcW w:w="1418" w:type="dxa"/>
            <w:shd w:val="clear" w:color="auto" w:fill="auto"/>
            <w:vAlign w:val="center"/>
          </w:tcPr>
          <w:p w14:paraId="580E1DF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1978" w:type="dxa"/>
            <w:vMerge w:val="continue"/>
          </w:tcPr>
          <w:p w14:paraId="309FE851">
            <w:pPr>
              <w:pStyle w:val="650"/>
              <w:ind w:left="0" w:leftChars="0" w:right="0" w:rightChars="0"/>
              <w:rPr>
                <w:rFonts w:hint="default" w:ascii="Times New Roman" w:hAnsi="Times New Roman" w:cs="Times New Roman"/>
                <w:color w:val="auto"/>
                <w:sz w:val="21"/>
                <w:szCs w:val="21"/>
                <w:highlight w:val="none"/>
              </w:rPr>
            </w:pPr>
          </w:p>
        </w:tc>
      </w:tr>
      <w:tr w14:paraId="5829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7AF5E5B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w:t>
            </w:r>
          </w:p>
        </w:tc>
        <w:tc>
          <w:tcPr>
            <w:tcW w:w="1809" w:type="dxa"/>
            <w:shd w:val="clear" w:color="auto" w:fill="auto"/>
            <w:vAlign w:val="center"/>
          </w:tcPr>
          <w:p w14:paraId="467B66C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苯乙烯</w:t>
            </w:r>
          </w:p>
        </w:tc>
        <w:tc>
          <w:tcPr>
            <w:tcW w:w="1843" w:type="dxa"/>
            <w:shd w:val="clear" w:color="auto" w:fill="auto"/>
            <w:vAlign w:val="center"/>
          </w:tcPr>
          <w:p w14:paraId="072344C1">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100-42-5</w:t>
            </w:r>
          </w:p>
        </w:tc>
        <w:tc>
          <w:tcPr>
            <w:tcW w:w="1417" w:type="dxa"/>
            <w:shd w:val="clear" w:color="auto" w:fill="auto"/>
            <w:vAlign w:val="center"/>
          </w:tcPr>
          <w:p w14:paraId="6F114CC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1290</w:t>
            </w:r>
          </w:p>
        </w:tc>
        <w:tc>
          <w:tcPr>
            <w:tcW w:w="1418" w:type="dxa"/>
            <w:shd w:val="clear" w:color="auto" w:fill="auto"/>
            <w:vAlign w:val="center"/>
          </w:tcPr>
          <w:p w14:paraId="05BB054D">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1290</w:t>
            </w:r>
          </w:p>
        </w:tc>
        <w:tc>
          <w:tcPr>
            <w:tcW w:w="1978" w:type="dxa"/>
            <w:vMerge w:val="continue"/>
          </w:tcPr>
          <w:p w14:paraId="72C70574">
            <w:pPr>
              <w:pStyle w:val="650"/>
              <w:ind w:left="0" w:leftChars="0" w:right="0" w:rightChars="0"/>
              <w:rPr>
                <w:rFonts w:hint="default" w:ascii="Times New Roman" w:hAnsi="Times New Roman" w:cs="Times New Roman"/>
                <w:color w:val="auto"/>
                <w:sz w:val="21"/>
                <w:szCs w:val="21"/>
                <w:highlight w:val="none"/>
              </w:rPr>
            </w:pPr>
          </w:p>
        </w:tc>
      </w:tr>
      <w:tr w14:paraId="0F04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3F95297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w:t>
            </w:r>
          </w:p>
        </w:tc>
        <w:tc>
          <w:tcPr>
            <w:tcW w:w="1809" w:type="dxa"/>
            <w:shd w:val="clear" w:color="auto" w:fill="auto"/>
            <w:vAlign w:val="center"/>
          </w:tcPr>
          <w:p w14:paraId="58638341">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甲苯</w:t>
            </w:r>
          </w:p>
        </w:tc>
        <w:tc>
          <w:tcPr>
            <w:tcW w:w="1843" w:type="dxa"/>
            <w:shd w:val="clear" w:color="auto" w:fill="auto"/>
            <w:vAlign w:val="center"/>
          </w:tcPr>
          <w:p w14:paraId="7CAF3F1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108-88-3</w:t>
            </w:r>
          </w:p>
        </w:tc>
        <w:tc>
          <w:tcPr>
            <w:tcW w:w="1417" w:type="dxa"/>
            <w:shd w:val="clear" w:color="auto" w:fill="auto"/>
            <w:vAlign w:val="center"/>
          </w:tcPr>
          <w:p w14:paraId="6A140D1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1200</w:t>
            </w:r>
          </w:p>
        </w:tc>
        <w:tc>
          <w:tcPr>
            <w:tcW w:w="1418" w:type="dxa"/>
            <w:shd w:val="clear" w:color="auto" w:fill="auto"/>
            <w:vAlign w:val="center"/>
          </w:tcPr>
          <w:p w14:paraId="1E477DA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1200</w:t>
            </w:r>
          </w:p>
        </w:tc>
        <w:tc>
          <w:tcPr>
            <w:tcW w:w="1978" w:type="dxa"/>
            <w:vMerge w:val="continue"/>
          </w:tcPr>
          <w:p w14:paraId="37AD50E1">
            <w:pPr>
              <w:pStyle w:val="650"/>
              <w:ind w:left="0" w:leftChars="0" w:right="0" w:rightChars="0"/>
              <w:rPr>
                <w:rFonts w:hint="default" w:ascii="Times New Roman" w:hAnsi="Times New Roman" w:cs="Times New Roman"/>
                <w:color w:val="auto"/>
                <w:sz w:val="21"/>
                <w:szCs w:val="21"/>
                <w:highlight w:val="none"/>
              </w:rPr>
            </w:pPr>
          </w:p>
        </w:tc>
      </w:tr>
      <w:tr w14:paraId="29B8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412D2BA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w:t>
            </w:r>
          </w:p>
        </w:tc>
        <w:tc>
          <w:tcPr>
            <w:tcW w:w="1809" w:type="dxa"/>
            <w:shd w:val="clear" w:color="auto" w:fill="auto"/>
            <w:vAlign w:val="center"/>
          </w:tcPr>
          <w:p w14:paraId="7CEF73D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间二甲苯+对二甲苯</w:t>
            </w:r>
          </w:p>
        </w:tc>
        <w:tc>
          <w:tcPr>
            <w:tcW w:w="1843" w:type="dxa"/>
            <w:shd w:val="clear" w:color="auto" w:fill="auto"/>
            <w:vAlign w:val="center"/>
          </w:tcPr>
          <w:p w14:paraId="093CBDD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108-38-3,</w:t>
            </w:r>
          </w:p>
          <w:p w14:paraId="7A4C22A4">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106-42-3</w:t>
            </w:r>
          </w:p>
        </w:tc>
        <w:tc>
          <w:tcPr>
            <w:tcW w:w="1417" w:type="dxa"/>
            <w:shd w:val="clear" w:color="auto" w:fill="auto"/>
            <w:vAlign w:val="center"/>
          </w:tcPr>
          <w:p w14:paraId="55D9F49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163</w:t>
            </w:r>
          </w:p>
        </w:tc>
        <w:tc>
          <w:tcPr>
            <w:tcW w:w="1418" w:type="dxa"/>
            <w:shd w:val="clear" w:color="auto" w:fill="auto"/>
            <w:vAlign w:val="center"/>
          </w:tcPr>
          <w:p w14:paraId="258977B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570</w:t>
            </w:r>
          </w:p>
        </w:tc>
        <w:tc>
          <w:tcPr>
            <w:tcW w:w="1978" w:type="dxa"/>
            <w:vMerge w:val="continue"/>
          </w:tcPr>
          <w:p w14:paraId="25C24AB3">
            <w:pPr>
              <w:pStyle w:val="650"/>
              <w:ind w:left="0" w:leftChars="0" w:right="0" w:rightChars="0"/>
              <w:rPr>
                <w:rFonts w:hint="default" w:ascii="Times New Roman" w:hAnsi="Times New Roman" w:cs="Times New Roman"/>
                <w:color w:val="auto"/>
                <w:sz w:val="21"/>
                <w:szCs w:val="21"/>
                <w:highlight w:val="none"/>
              </w:rPr>
            </w:pPr>
          </w:p>
        </w:tc>
      </w:tr>
      <w:tr w14:paraId="4D72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24B015F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w:t>
            </w:r>
          </w:p>
        </w:tc>
        <w:tc>
          <w:tcPr>
            <w:tcW w:w="1809" w:type="dxa"/>
            <w:shd w:val="clear" w:color="auto" w:fill="auto"/>
            <w:vAlign w:val="center"/>
          </w:tcPr>
          <w:p w14:paraId="12476E6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邻二甲苯</w:t>
            </w:r>
          </w:p>
        </w:tc>
        <w:tc>
          <w:tcPr>
            <w:tcW w:w="1843" w:type="dxa"/>
            <w:shd w:val="clear" w:color="auto" w:fill="auto"/>
            <w:vAlign w:val="center"/>
          </w:tcPr>
          <w:p w14:paraId="596294A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95-47-6</w:t>
            </w:r>
          </w:p>
        </w:tc>
        <w:tc>
          <w:tcPr>
            <w:tcW w:w="1417" w:type="dxa"/>
            <w:shd w:val="clear" w:color="auto" w:fill="auto"/>
            <w:vAlign w:val="center"/>
          </w:tcPr>
          <w:p w14:paraId="35ED5F2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w:t>
            </w:r>
          </w:p>
        </w:tc>
        <w:tc>
          <w:tcPr>
            <w:tcW w:w="1418" w:type="dxa"/>
            <w:shd w:val="clear" w:color="auto" w:fill="auto"/>
            <w:vAlign w:val="center"/>
          </w:tcPr>
          <w:p w14:paraId="6E6718A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640</w:t>
            </w:r>
          </w:p>
        </w:tc>
        <w:tc>
          <w:tcPr>
            <w:tcW w:w="1978" w:type="dxa"/>
            <w:vMerge w:val="continue"/>
          </w:tcPr>
          <w:p w14:paraId="0429AA32">
            <w:pPr>
              <w:pStyle w:val="650"/>
              <w:ind w:left="0" w:leftChars="0" w:right="0" w:rightChars="0"/>
              <w:rPr>
                <w:rFonts w:hint="default" w:ascii="Times New Roman" w:hAnsi="Times New Roman" w:cs="Times New Roman"/>
                <w:color w:val="auto"/>
                <w:sz w:val="21"/>
                <w:szCs w:val="21"/>
                <w:highlight w:val="none"/>
              </w:rPr>
            </w:pPr>
          </w:p>
        </w:tc>
      </w:tr>
      <w:tr w14:paraId="6378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6" w:type="dxa"/>
            <w:gridSpan w:val="5"/>
            <w:shd w:val="clear" w:color="auto" w:fill="auto"/>
            <w:vAlign w:val="center"/>
          </w:tcPr>
          <w:p w14:paraId="4BFFC303">
            <w:pPr>
              <w:pStyle w:val="650"/>
              <w:ind w:left="0" w:leftChars="0" w:right="0" w:rightChars="0"/>
              <w:rPr>
                <w:rFonts w:hint="default" w:ascii="Times New Roman" w:hAnsi="Times New Roman" w:cs="Times New Roman"/>
                <w:b/>
                <w:color w:val="auto"/>
                <w:sz w:val="21"/>
                <w:szCs w:val="21"/>
                <w:highlight w:val="none"/>
              </w:rPr>
            </w:pPr>
            <w:r>
              <w:rPr>
                <w:rFonts w:hint="default" w:ascii="Times New Roman" w:hAnsi="Times New Roman" w:eastAsia="楷体" w:cs="Times New Roman"/>
                <w:b/>
                <w:color w:val="auto"/>
                <w:sz w:val="21"/>
                <w:szCs w:val="20"/>
                <w:highlight w:val="none"/>
              </w:rPr>
              <w:t>半挥发性有机物</w:t>
            </w:r>
          </w:p>
        </w:tc>
        <w:tc>
          <w:tcPr>
            <w:tcW w:w="1978" w:type="dxa"/>
            <w:vMerge w:val="continue"/>
          </w:tcPr>
          <w:p w14:paraId="2DE91FE2">
            <w:pPr>
              <w:pStyle w:val="650"/>
              <w:ind w:left="0" w:leftChars="0" w:right="0" w:rightChars="0"/>
              <w:rPr>
                <w:rFonts w:hint="default" w:ascii="Times New Roman" w:hAnsi="Times New Roman" w:cs="Times New Roman"/>
                <w:b/>
                <w:color w:val="auto"/>
                <w:sz w:val="21"/>
                <w:szCs w:val="21"/>
                <w:highlight w:val="none"/>
              </w:rPr>
            </w:pPr>
          </w:p>
        </w:tc>
      </w:tr>
      <w:tr w14:paraId="336D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shd w:val="clear" w:color="auto" w:fill="auto"/>
            <w:vAlign w:val="center"/>
          </w:tcPr>
          <w:p w14:paraId="332022A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1809" w:type="dxa"/>
            <w:shd w:val="clear" w:color="auto" w:fill="auto"/>
            <w:vAlign w:val="center"/>
          </w:tcPr>
          <w:p w14:paraId="72DDF44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硝基苯</w:t>
            </w:r>
          </w:p>
        </w:tc>
        <w:tc>
          <w:tcPr>
            <w:tcW w:w="1843" w:type="dxa"/>
            <w:shd w:val="clear" w:color="auto" w:fill="auto"/>
            <w:vAlign w:val="center"/>
          </w:tcPr>
          <w:p w14:paraId="47F1F814">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98-95-3</w:t>
            </w:r>
          </w:p>
        </w:tc>
        <w:tc>
          <w:tcPr>
            <w:tcW w:w="1417" w:type="dxa"/>
            <w:shd w:val="clear" w:color="auto" w:fill="auto"/>
            <w:vAlign w:val="center"/>
          </w:tcPr>
          <w:p w14:paraId="28C6E37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w:t>
            </w:r>
          </w:p>
        </w:tc>
        <w:tc>
          <w:tcPr>
            <w:tcW w:w="1418" w:type="dxa"/>
            <w:shd w:val="clear" w:color="auto" w:fill="auto"/>
            <w:vAlign w:val="center"/>
          </w:tcPr>
          <w:p w14:paraId="71114204">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76</w:t>
            </w:r>
          </w:p>
        </w:tc>
        <w:tc>
          <w:tcPr>
            <w:tcW w:w="1978" w:type="dxa"/>
            <w:vMerge w:val="continue"/>
          </w:tcPr>
          <w:p w14:paraId="3E1E81F9">
            <w:pPr>
              <w:pStyle w:val="650"/>
              <w:ind w:left="0" w:leftChars="0" w:right="0" w:rightChars="0"/>
              <w:rPr>
                <w:rFonts w:hint="default" w:ascii="Times New Roman" w:hAnsi="Times New Roman" w:cs="Times New Roman"/>
                <w:color w:val="auto"/>
                <w:sz w:val="21"/>
                <w:szCs w:val="21"/>
                <w:highlight w:val="none"/>
              </w:rPr>
            </w:pPr>
          </w:p>
        </w:tc>
      </w:tr>
      <w:tr w14:paraId="5550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784AC57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p>
        </w:tc>
        <w:tc>
          <w:tcPr>
            <w:tcW w:w="1809" w:type="dxa"/>
            <w:shd w:val="clear" w:color="auto" w:fill="auto"/>
            <w:vAlign w:val="center"/>
          </w:tcPr>
          <w:p w14:paraId="6785D7E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苯胺</w:t>
            </w:r>
          </w:p>
        </w:tc>
        <w:tc>
          <w:tcPr>
            <w:tcW w:w="1843" w:type="dxa"/>
            <w:shd w:val="clear" w:color="auto" w:fill="auto"/>
            <w:vAlign w:val="center"/>
          </w:tcPr>
          <w:p w14:paraId="14B9380D">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62-53-3</w:t>
            </w:r>
          </w:p>
        </w:tc>
        <w:tc>
          <w:tcPr>
            <w:tcW w:w="1417" w:type="dxa"/>
            <w:shd w:val="clear" w:color="auto" w:fill="auto"/>
            <w:vAlign w:val="center"/>
          </w:tcPr>
          <w:p w14:paraId="20A810D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w:t>
            </w:r>
          </w:p>
        </w:tc>
        <w:tc>
          <w:tcPr>
            <w:tcW w:w="1418" w:type="dxa"/>
            <w:shd w:val="clear" w:color="auto" w:fill="auto"/>
            <w:vAlign w:val="center"/>
          </w:tcPr>
          <w:p w14:paraId="6A9B7BF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260</w:t>
            </w:r>
          </w:p>
        </w:tc>
        <w:tc>
          <w:tcPr>
            <w:tcW w:w="1978" w:type="dxa"/>
            <w:vMerge w:val="continue"/>
          </w:tcPr>
          <w:p w14:paraId="69F0C8B1">
            <w:pPr>
              <w:pStyle w:val="650"/>
              <w:ind w:left="0" w:leftChars="0" w:right="0" w:rightChars="0"/>
              <w:rPr>
                <w:rFonts w:hint="default" w:ascii="Times New Roman" w:hAnsi="Times New Roman" w:cs="Times New Roman"/>
                <w:color w:val="auto"/>
                <w:sz w:val="21"/>
                <w:szCs w:val="21"/>
                <w:highlight w:val="none"/>
              </w:rPr>
            </w:pPr>
          </w:p>
        </w:tc>
      </w:tr>
      <w:tr w14:paraId="42AF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7B12D63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w:t>
            </w:r>
          </w:p>
        </w:tc>
        <w:tc>
          <w:tcPr>
            <w:tcW w:w="1809" w:type="dxa"/>
            <w:shd w:val="clear" w:color="auto" w:fill="auto"/>
            <w:vAlign w:val="center"/>
          </w:tcPr>
          <w:p w14:paraId="1CB0D1ED">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2-氯酚</w:t>
            </w:r>
          </w:p>
        </w:tc>
        <w:tc>
          <w:tcPr>
            <w:tcW w:w="1843" w:type="dxa"/>
            <w:shd w:val="clear" w:color="auto" w:fill="auto"/>
            <w:vAlign w:val="center"/>
          </w:tcPr>
          <w:p w14:paraId="467231C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95-57-8</w:t>
            </w:r>
          </w:p>
        </w:tc>
        <w:tc>
          <w:tcPr>
            <w:tcW w:w="1417" w:type="dxa"/>
            <w:shd w:val="clear" w:color="auto" w:fill="auto"/>
            <w:vAlign w:val="center"/>
          </w:tcPr>
          <w:p w14:paraId="25EBD65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250</w:t>
            </w:r>
          </w:p>
        </w:tc>
        <w:tc>
          <w:tcPr>
            <w:tcW w:w="1418" w:type="dxa"/>
            <w:shd w:val="clear" w:color="auto" w:fill="auto"/>
            <w:vAlign w:val="center"/>
          </w:tcPr>
          <w:p w14:paraId="6389980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2256</w:t>
            </w:r>
          </w:p>
        </w:tc>
        <w:tc>
          <w:tcPr>
            <w:tcW w:w="1978" w:type="dxa"/>
            <w:vMerge w:val="continue"/>
          </w:tcPr>
          <w:p w14:paraId="309AEE29">
            <w:pPr>
              <w:pStyle w:val="650"/>
              <w:ind w:left="0" w:leftChars="0" w:right="0" w:rightChars="0"/>
              <w:rPr>
                <w:rFonts w:hint="default" w:ascii="Times New Roman" w:hAnsi="Times New Roman" w:cs="Times New Roman"/>
                <w:color w:val="auto"/>
                <w:sz w:val="21"/>
                <w:szCs w:val="21"/>
                <w:highlight w:val="none"/>
              </w:rPr>
            </w:pPr>
          </w:p>
        </w:tc>
      </w:tr>
      <w:tr w14:paraId="5CF1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5D1BC4A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w:t>
            </w:r>
          </w:p>
        </w:tc>
        <w:tc>
          <w:tcPr>
            <w:tcW w:w="1809" w:type="dxa"/>
            <w:shd w:val="clear" w:color="auto" w:fill="auto"/>
            <w:vAlign w:val="center"/>
          </w:tcPr>
          <w:p w14:paraId="0D5325C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苯并[a]蒽</w:t>
            </w:r>
          </w:p>
        </w:tc>
        <w:tc>
          <w:tcPr>
            <w:tcW w:w="1843" w:type="dxa"/>
            <w:shd w:val="clear" w:color="auto" w:fill="auto"/>
            <w:vAlign w:val="center"/>
          </w:tcPr>
          <w:p w14:paraId="49DD6CE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56-55-3</w:t>
            </w:r>
          </w:p>
        </w:tc>
        <w:tc>
          <w:tcPr>
            <w:tcW w:w="1417" w:type="dxa"/>
            <w:shd w:val="clear" w:color="auto" w:fill="auto"/>
            <w:vAlign w:val="center"/>
          </w:tcPr>
          <w:p w14:paraId="4EA8C94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c>
          <w:tcPr>
            <w:tcW w:w="1418" w:type="dxa"/>
            <w:shd w:val="clear" w:color="auto" w:fill="auto"/>
            <w:vAlign w:val="center"/>
          </w:tcPr>
          <w:p w14:paraId="3C3F0C2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978" w:type="dxa"/>
            <w:vMerge w:val="continue"/>
          </w:tcPr>
          <w:p w14:paraId="59C10536">
            <w:pPr>
              <w:pStyle w:val="650"/>
              <w:ind w:left="0" w:leftChars="0" w:right="0" w:rightChars="0"/>
              <w:rPr>
                <w:rFonts w:hint="default" w:ascii="Times New Roman" w:hAnsi="Times New Roman" w:cs="Times New Roman"/>
                <w:color w:val="auto"/>
                <w:sz w:val="21"/>
                <w:szCs w:val="21"/>
                <w:highlight w:val="none"/>
              </w:rPr>
            </w:pPr>
          </w:p>
        </w:tc>
      </w:tr>
      <w:tr w14:paraId="672C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40FD3CD7">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w:t>
            </w:r>
          </w:p>
        </w:tc>
        <w:tc>
          <w:tcPr>
            <w:tcW w:w="1809" w:type="dxa"/>
            <w:shd w:val="clear" w:color="auto" w:fill="auto"/>
            <w:vAlign w:val="center"/>
          </w:tcPr>
          <w:p w14:paraId="4E13E51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苯并[a]芘</w:t>
            </w:r>
          </w:p>
        </w:tc>
        <w:tc>
          <w:tcPr>
            <w:tcW w:w="1843" w:type="dxa"/>
            <w:shd w:val="clear" w:color="auto" w:fill="auto"/>
            <w:vAlign w:val="center"/>
          </w:tcPr>
          <w:p w14:paraId="6C47724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50-32-8</w:t>
            </w:r>
          </w:p>
        </w:tc>
        <w:tc>
          <w:tcPr>
            <w:tcW w:w="1417" w:type="dxa"/>
            <w:shd w:val="clear" w:color="auto" w:fill="auto"/>
            <w:vAlign w:val="center"/>
          </w:tcPr>
          <w:p w14:paraId="0BF8C58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0.55</w:t>
            </w:r>
          </w:p>
        </w:tc>
        <w:tc>
          <w:tcPr>
            <w:tcW w:w="1418" w:type="dxa"/>
            <w:shd w:val="clear" w:color="auto" w:fill="auto"/>
            <w:vAlign w:val="center"/>
          </w:tcPr>
          <w:p w14:paraId="61BD649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978" w:type="dxa"/>
            <w:vMerge w:val="continue"/>
          </w:tcPr>
          <w:p w14:paraId="39C8CB53">
            <w:pPr>
              <w:pStyle w:val="650"/>
              <w:ind w:left="0" w:leftChars="0" w:right="0" w:rightChars="0"/>
              <w:rPr>
                <w:rFonts w:hint="default" w:ascii="Times New Roman" w:hAnsi="Times New Roman" w:cs="Times New Roman"/>
                <w:color w:val="auto"/>
                <w:sz w:val="21"/>
                <w:szCs w:val="21"/>
                <w:highlight w:val="none"/>
              </w:rPr>
            </w:pPr>
          </w:p>
        </w:tc>
      </w:tr>
      <w:tr w14:paraId="5BE1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4385A38D">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1809" w:type="dxa"/>
            <w:shd w:val="clear" w:color="auto" w:fill="auto"/>
            <w:vAlign w:val="center"/>
          </w:tcPr>
          <w:p w14:paraId="78E03BF3">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苯并[b]荧蒽</w:t>
            </w:r>
          </w:p>
        </w:tc>
        <w:tc>
          <w:tcPr>
            <w:tcW w:w="1843" w:type="dxa"/>
            <w:shd w:val="clear" w:color="auto" w:fill="auto"/>
            <w:vAlign w:val="center"/>
          </w:tcPr>
          <w:p w14:paraId="4D68D06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205-99-2</w:t>
            </w:r>
          </w:p>
        </w:tc>
        <w:tc>
          <w:tcPr>
            <w:tcW w:w="1417" w:type="dxa"/>
            <w:shd w:val="clear" w:color="auto" w:fill="auto"/>
            <w:vAlign w:val="center"/>
          </w:tcPr>
          <w:p w14:paraId="4910452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c>
          <w:tcPr>
            <w:tcW w:w="1418" w:type="dxa"/>
            <w:shd w:val="clear" w:color="auto" w:fill="auto"/>
            <w:vAlign w:val="center"/>
          </w:tcPr>
          <w:p w14:paraId="1039D06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978" w:type="dxa"/>
            <w:vMerge w:val="continue"/>
          </w:tcPr>
          <w:p w14:paraId="14FD7E41">
            <w:pPr>
              <w:pStyle w:val="650"/>
              <w:ind w:left="0" w:leftChars="0" w:right="0" w:rightChars="0"/>
              <w:rPr>
                <w:rFonts w:hint="default" w:ascii="Times New Roman" w:hAnsi="Times New Roman" w:cs="Times New Roman"/>
                <w:color w:val="auto"/>
                <w:sz w:val="21"/>
                <w:szCs w:val="21"/>
                <w:highlight w:val="none"/>
              </w:rPr>
            </w:pPr>
          </w:p>
        </w:tc>
      </w:tr>
      <w:tr w14:paraId="0D61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68A9AEEF">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w:t>
            </w:r>
          </w:p>
        </w:tc>
        <w:tc>
          <w:tcPr>
            <w:tcW w:w="1809" w:type="dxa"/>
            <w:shd w:val="clear" w:color="auto" w:fill="auto"/>
            <w:vAlign w:val="center"/>
          </w:tcPr>
          <w:p w14:paraId="50A8E861">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苯并[k]荧蒽</w:t>
            </w:r>
          </w:p>
        </w:tc>
        <w:tc>
          <w:tcPr>
            <w:tcW w:w="1843" w:type="dxa"/>
            <w:shd w:val="clear" w:color="auto" w:fill="auto"/>
            <w:vAlign w:val="center"/>
          </w:tcPr>
          <w:p w14:paraId="7AE7BE1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207-08-9</w:t>
            </w:r>
          </w:p>
        </w:tc>
        <w:tc>
          <w:tcPr>
            <w:tcW w:w="1417" w:type="dxa"/>
            <w:shd w:val="clear" w:color="auto" w:fill="auto"/>
            <w:vAlign w:val="center"/>
          </w:tcPr>
          <w:p w14:paraId="27750F1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c>
          <w:tcPr>
            <w:tcW w:w="1418" w:type="dxa"/>
            <w:shd w:val="clear" w:color="auto" w:fill="auto"/>
            <w:vAlign w:val="center"/>
          </w:tcPr>
          <w:p w14:paraId="50D0B3CE">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151</w:t>
            </w:r>
          </w:p>
        </w:tc>
        <w:tc>
          <w:tcPr>
            <w:tcW w:w="1978" w:type="dxa"/>
            <w:vMerge w:val="continue"/>
          </w:tcPr>
          <w:p w14:paraId="718EC67E">
            <w:pPr>
              <w:pStyle w:val="650"/>
              <w:ind w:left="0" w:leftChars="0" w:right="0" w:rightChars="0"/>
              <w:rPr>
                <w:rFonts w:hint="default" w:ascii="Times New Roman" w:hAnsi="Times New Roman" w:cs="Times New Roman"/>
                <w:color w:val="auto"/>
                <w:sz w:val="21"/>
                <w:szCs w:val="21"/>
                <w:highlight w:val="none"/>
              </w:rPr>
            </w:pPr>
          </w:p>
        </w:tc>
      </w:tr>
      <w:tr w14:paraId="04CA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788668D4">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w:t>
            </w:r>
          </w:p>
        </w:tc>
        <w:tc>
          <w:tcPr>
            <w:tcW w:w="1809" w:type="dxa"/>
            <w:shd w:val="clear" w:color="auto" w:fill="auto"/>
            <w:vAlign w:val="center"/>
          </w:tcPr>
          <w:p w14:paraId="5770844D">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䓛</w:t>
            </w:r>
          </w:p>
        </w:tc>
        <w:tc>
          <w:tcPr>
            <w:tcW w:w="1843" w:type="dxa"/>
            <w:shd w:val="clear" w:color="auto" w:fill="auto"/>
            <w:vAlign w:val="center"/>
          </w:tcPr>
          <w:p w14:paraId="12905E69">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218-01-9</w:t>
            </w:r>
          </w:p>
        </w:tc>
        <w:tc>
          <w:tcPr>
            <w:tcW w:w="1417" w:type="dxa"/>
            <w:shd w:val="clear" w:color="auto" w:fill="auto"/>
            <w:vAlign w:val="center"/>
          </w:tcPr>
          <w:p w14:paraId="47828CD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490</w:t>
            </w:r>
          </w:p>
        </w:tc>
        <w:tc>
          <w:tcPr>
            <w:tcW w:w="1418" w:type="dxa"/>
            <w:shd w:val="clear" w:color="auto" w:fill="auto"/>
            <w:vAlign w:val="center"/>
          </w:tcPr>
          <w:p w14:paraId="76627590">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1293</w:t>
            </w:r>
          </w:p>
        </w:tc>
        <w:tc>
          <w:tcPr>
            <w:tcW w:w="1978" w:type="dxa"/>
            <w:vMerge w:val="continue"/>
          </w:tcPr>
          <w:p w14:paraId="3A450482">
            <w:pPr>
              <w:pStyle w:val="650"/>
              <w:ind w:left="0" w:leftChars="0" w:right="0" w:rightChars="0"/>
              <w:rPr>
                <w:rFonts w:hint="default" w:ascii="Times New Roman" w:hAnsi="Times New Roman" w:cs="Times New Roman"/>
                <w:color w:val="auto"/>
                <w:sz w:val="21"/>
                <w:szCs w:val="21"/>
                <w:highlight w:val="none"/>
              </w:rPr>
            </w:pPr>
          </w:p>
        </w:tc>
      </w:tr>
      <w:tr w14:paraId="325F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7001005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w:t>
            </w:r>
          </w:p>
        </w:tc>
        <w:tc>
          <w:tcPr>
            <w:tcW w:w="1809" w:type="dxa"/>
            <w:shd w:val="clear" w:color="auto" w:fill="auto"/>
            <w:vAlign w:val="center"/>
          </w:tcPr>
          <w:p w14:paraId="7176A92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二苯并[a,h]蒽</w:t>
            </w:r>
          </w:p>
        </w:tc>
        <w:tc>
          <w:tcPr>
            <w:tcW w:w="1843" w:type="dxa"/>
            <w:shd w:val="clear" w:color="auto" w:fill="auto"/>
            <w:vAlign w:val="center"/>
          </w:tcPr>
          <w:p w14:paraId="704402C6">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53-70-3</w:t>
            </w:r>
          </w:p>
        </w:tc>
        <w:tc>
          <w:tcPr>
            <w:tcW w:w="1417" w:type="dxa"/>
            <w:shd w:val="clear" w:color="auto" w:fill="auto"/>
            <w:vAlign w:val="center"/>
          </w:tcPr>
          <w:p w14:paraId="7C2B5C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0.55</w:t>
            </w:r>
          </w:p>
        </w:tc>
        <w:tc>
          <w:tcPr>
            <w:tcW w:w="1418" w:type="dxa"/>
            <w:shd w:val="clear" w:color="auto" w:fill="auto"/>
            <w:vAlign w:val="center"/>
          </w:tcPr>
          <w:p w14:paraId="268448EA">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978" w:type="dxa"/>
            <w:vMerge w:val="continue"/>
          </w:tcPr>
          <w:p w14:paraId="3BEDF1BB">
            <w:pPr>
              <w:pStyle w:val="650"/>
              <w:ind w:left="0" w:leftChars="0" w:right="0" w:rightChars="0"/>
              <w:rPr>
                <w:rFonts w:hint="default" w:ascii="Times New Roman" w:hAnsi="Times New Roman" w:cs="Times New Roman"/>
                <w:color w:val="auto"/>
                <w:sz w:val="21"/>
                <w:szCs w:val="21"/>
                <w:highlight w:val="none"/>
              </w:rPr>
            </w:pPr>
          </w:p>
        </w:tc>
      </w:tr>
      <w:tr w14:paraId="42B7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0EFFBA95">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w:t>
            </w:r>
          </w:p>
        </w:tc>
        <w:tc>
          <w:tcPr>
            <w:tcW w:w="1809" w:type="dxa"/>
            <w:shd w:val="clear" w:color="auto" w:fill="auto"/>
            <w:vAlign w:val="center"/>
          </w:tcPr>
          <w:p w14:paraId="03A5A838">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茚并[1,2,3-cd]芘</w:t>
            </w:r>
          </w:p>
        </w:tc>
        <w:tc>
          <w:tcPr>
            <w:tcW w:w="1843" w:type="dxa"/>
            <w:shd w:val="clear" w:color="auto" w:fill="auto"/>
            <w:vAlign w:val="center"/>
          </w:tcPr>
          <w:p w14:paraId="053327C4">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193-39-5</w:t>
            </w:r>
          </w:p>
        </w:tc>
        <w:tc>
          <w:tcPr>
            <w:tcW w:w="1417" w:type="dxa"/>
            <w:shd w:val="clear" w:color="auto" w:fill="auto"/>
            <w:vAlign w:val="center"/>
          </w:tcPr>
          <w:p w14:paraId="16893F4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c>
          <w:tcPr>
            <w:tcW w:w="1418" w:type="dxa"/>
            <w:shd w:val="clear" w:color="auto" w:fill="auto"/>
            <w:vAlign w:val="center"/>
          </w:tcPr>
          <w:p w14:paraId="2A4C6B2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978" w:type="dxa"/>
            <w:vMerge w:val="continue"/>
          </w:tcPr>
          <w:p w14:paraId="50B82032">
            <w:pPr>
              <w:pStyle w:val="650"/>
              <w:ind w:left="0" w:leftChars="0" w:right="0" w:rightChars="0"/>
              <w:rPr>
                <w:rFonts w:hint="default" w:ascii="Times New Roman" w:hAnsi="Times New Roman" w:cs="Times New Roman"/>
                <w:color w:val="auto"/>
                <w:sz w:val="21"/>
                <w:szCs w:val="21"/>
                <w:highlight w:val="none"/>
              </w:rPr>
            </w:pPr>
          </w:p>
        </w:tc>
      </w:tr>
      <w:tr w14:paraId="1900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26225681">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c>
          <w:tcPr>
            <w:tcW w:w="1809" w:type="dxa"/>
            <w:shd w:val="clear" w:color="auto" w:fill="auto"/>
            <w:vAlign w:val="center"/>
          </w:tcPr>
          <w:p w14:paraId="0E5D5421">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萘</w:t>
            </w:r>
          </w:p>
        </w:tc>
        <w:tc>
          <w:tcPr>
            <w:tcW w:w="1843" w:type="dxa"/>
            <w:shd w:val="clear" w:color="auto" w:fill="auto"/>
            <w:vAlign w:val="center"/>
          </w:tcPr>
          <w:p w14:paraId="2D71317C">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91-20-3</w:t>
            </w:r>
          </w:p>
        </w:tc>
        <w:tc>
          <w:tcPr>
            <w:tcW w:w="1417" w:type="dxa"/>
            <w:shd w:val="clear" w:color="auto" w:fill="auto"/>
            <w:vAlign w:val="center"/>
          </w:tcPr>
          <w:p w14:paraId="6A841E1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c>
          <w:tcPr>
            <w:tcW w:w="1418" w:type="dxa"/>
            <w:shd w:val="clear" w:color="auto" w:fill="auto"/>
            <w:vAlign w:val="center"/>
          </w:tcPr>
          <w:p w14:paraId="6982389B">
            <w:pPr>
              <w:pStyle w:val="650"/>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1978" w:type="dxa"/>
            <w:vMerge w:val="continue"/>
          </w:tcPr>
          <w:p w14:paraId="43C2889F">
            <w:pPr>
              <w:pStyle w:val="650"/>
              <w:ind w:left="0" w:leftChars="0" w:right="0" w:rightChars="0"/>
              <w:rPr>
                <w:rFonts w:hint="default" w:ascii="Times New Roman" w:hAnsi="Times New Roman" w:cs="Times New Roman"/>
                <w:color w:val="auto"/>
                <w:sz w:val="21"/>
                <w:szCs w:val="21"/>
                <w:highlight w:val="none"/>
              </w:rPr>
            </w:pPr>
          </w:p>
        </w:tc>
      </w:tr>
    </w:tbl>
    <w:p w14:paraId="3232B32A">
      <w:pPr>
        <w:jc w:val="right"/>
        <w:rPr>
          <w:rFonts w:hint="default" w:ascii="Times New Roman" w:hAnsi="Times New Roman" w:eastAsia="黑体" w:cs="Times New Roman"/>
          <w:color w:val="auto"/>
          <w:highlight w:val="none"/>
        </w:rPr>
      </w:pPr>
    </w:p>
    <w:p w14:paraId="5E101564">
      <w:pPr>
        <w:pStyle w:val="1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表1.9-6  农用地土壤环境质量标准一览表  单位：mg/kg</w:t>
      </w:r>
    </w:p>
    <w:tbl>
      <w:tblPr>
        <w:tblStyle w:val="58"/>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557"/>
        <w:gridCol w:w="1137"/>
        <w:gridCol w:w="1128"/>
        <w:gridCol w:w="1415"/>
        <w:gridCol w:w="1272"/>
        <w:gridCol w:w="1051"/>
        <w:gridCol w:w="1943"/>
      </w:tblGrid>
      <w:tr w14:paraId="73AE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shd w:val="clear" w:color="auto" w:fill="auto"/>
            <w:vAlign w:val="center"/>
          </w:tcPr>
          <w:p w14:paraId="2A1193F1">
            <w:pPr>
              <w:pStyle w:val="118"/>
              <w:adjustRightInd/>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序号</w:t>
            </w:r>
          </w:p>
        </w:tc>
        <w:tc>
          <w:tcPr>
            <w:tcW w:w="1694" w:type="dxa"/>
            <w:gridSpan w:val="2"/>
            <w:vMerge w:val="restart"/>
            <w:shd w:val="clear" w:color="auto" w:fill="auto"/>
            <w:vAlign w:val="center"/>
          </w:tcPr>
          <w:p w14:paraId="7F654CA1">
            <w:pPr>
              <w:pStyle w:val="118"/>
              <w:adjustRightInd/>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污染物项目</w:t>
            </w:r>
            <w:r>
              <w:rPr>
                <w:rFonts w:hint="default" w:ascii="Times New Roman" w:hAnsi="Times New Roman" w:cs="Times New Roman"/>
                <w:bCs/>
                <w:color w:val="auto"/>
                <w:highlight w:val="none"/>
                <w:vertAlign w:val="superscript"/>
              </w:rPr>
              <w:t>①②</w:t>
            </w:r>
          </w:p>
        </w:tc>
        <w:tc>
          <w:tcPr>
            <w:tcW w:w="4866" w:type="dxa"/>
            <w:gridSpan w:val="4"/>
            <w:shd w:val="clear" w:color="auto" w:fill="auto"/>
            <w:vAlign w:val="center"/>
          </w:tcPr>
          <w:p w14:paraId="6C39B2A6">
            <w:pPr>
              <w:pStyle w:val="118"/>
              <w:adjustRightInd/>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风险筛选值</w:t>
            </w:r>
          </w:p>
        </w:tc>
        <w:tc>
          <w:tcPr>
            <w:tcW w:w="1943" w:type="dxa"/>
            <w:vMerge w:val="restart"/>
            <w:shd w:val="clear" w:color="auto" w:fill="auto"/>
            <w:vAlign w:val="center"/>
          </w:tcPr>
          <w:p w14:paraId="7C877560">
            <w:pPr>
              <w:pStyle w:val="118"/>
              <w:adjustRightInd/>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标准来源</w:t>
            </w:r>
          </w:p>
        </w:tc>
      </w:tr>
      <w:tr w14:paraId="1C02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shd w:val="clear" w:color="auto" w:fill="auto"/>
            <w:vAlign w:val="center"/>
          </w:tcPr>
          <w:p w14:paraId="14F281BA">
            <w:pPr>
              <w:pStyle w:val="118"/>
              <w:adjustRightInd/>
              <w:rPr>
                <w:rFonts w:hint="default" w:ascii="Times New Roman" w:hAnsi="Times New Roman" w:cs="Times New Roman" w:eastAsiaTheme="minorEastAsia"/>
                <w:bCs/>
                <w:color w:val="auto"/>
                <w:highlight w:val="none"/>
              </w:rPr>
            </w:pPr>
          </w:p>
        </w:tc>
        <w:tc>
          <w:tcPr>
            <w:tcW w:w="1694" w:type="dxa"/>
            <w:gridSpan w:val="2"/>
            <w:vMerge w:val="continue"/>
            <w:shd w:val="clear" w:color="auto" w:fill="auto"/>
            <w:vAlign w:val="center"/>
          </w:tcPr>
          <w:p w14:paraId="366770CC">
            <w:pPr>
              <w:pStyle w:val="118"/>
              <w:adjustRightInd/>
              <w:rPr>
                <w:rFonts w:hint="default" w:ascii="Times New Roman" w:hAnsi="Times New Roman" w:cs="Times New Roman" w:eastAsiaTheme="minorEastAsia"/>
                <w:bCs/>
                <w:color w:val="auto"/>
                <w:highlight w:val="none"/>
              </w:rPr>
            </w:pPr>
          </w:p>
        </w:tc>
        <w:tc>
          <w:tcPr>
            <w:tcW w:w="1128" w:type="dxa"/>
            <w:shd w:val="clear" w:color="auto" w:fill="auto"/>
            <w:vAlign w:val="center"/>
          </w:tcPr>
          <w:p w14:paraId="395F0CBD">
            <w:pPr>
              <w:pStyle w:val="118"/>
              <w:adjustRightInd/>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pH≤5.5</w:t>
            </w:r>
          </w:p>
        </w:tc>
        <w:tc>
          <w:tcPr>
            <w:tcW w:w="1415" w:type="dxa"/>
            <w:shd w:val="clear" w:color="auto" w:fill="auto"/>
            <w:vAlign w:val="center"/>
          </w:tcPr>
          <w:p w14:paraId="0E788535">
            <w:pPr>
              <w:pStyle w:val="118"/>
              <w:adjustRightInd/>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5.5＜pH≤6.5</w:t>
            </w:r>
          </w:p>
        </w:tc>
        <w:tc>
          <w:tcPr>
            <w:tcW w:w="1272" w:type="dxa"/>
            <w:shd w:val="clear" w:color="auto" w:fill="auto"/>
            <w:vAlign w:val="center"/>
          </w:tcPr>
          <w:p w14:paraId="409AEDDD">
            <w:pPr>
              <w:pStyle w:val="118"/>
              <w:adjustRightInd/>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6.5&lt;pH≤7.5</w:t>
            </w:r>
          </w:p>
        </w:tc>
        <w:tc>
          <w:tcPr>
            <w:tcW w:w="1051" w:type="dxa"/>
            <w:shd w:val="clear" w:color="auto" w:fill="auto"/>
            <w:vAlign w:val="center"/>
          </w:tcPr>
          <w:p w14:paraId="12A40630">
            <w:pPr>
              <w:pStyle w:val="118"/>
              <w:adjustRightInd/>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pH&gt;7.5</w:t>
            </w:r>
          </w:p>
        </w:tc>
        <w:tc>
          <w:tcPr>
            <w:tcW w:w="1943" w:type="dxa"/>
            <w:vMerge w:val="continue"/>
            <w:shd w:val="clear" w:color="auto" w:fill="auto"/>
            <w:vAlign w:val="center"/>
          </w:tcPr>
          <w:p w14:paraId="398E1D2E">
            <w:pPr>
              <w:pStyle w:val="118"/>
              <w:rPr>
                <w:rFonts w:hint="default" w:ascii="Times New Roman" w:hAnsi="Times New Roman" w:cs="Times New Roman" w:eastAsiaTheme="minorEastAsia"/>
                <w:b/>
                <w:color w:val="auto"/>
                <w:highlight w:val="none"/>
              </w:rPr>
            </w:pPr>
          </w:p>
        </w:tc>
      </w:tr>
      <w:tr w14:paraId="55E0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shd w:val="clear" w:color="auto" w:fill="auto"/>
            <w:vAlign w:val="center"/>
          </w:tcPr>
          <w:p w14:paraId="1C9CD3A0">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w:t>
            </w:r>
          </w:p>
        </w:tc>
        <w:tc>
          <w:tcPr>
            <w:tcW w:w="557" w:type="dxa"/>
            <w:vMerge w:val="restart"/>
            <w:shd w:val="clear" w:color="auto" w:fill="auto"/>
            <w:vAlign w:val="center"/>
          </w:tcPr>
          <w:p w14:paraId="476F55F3">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镉</w:t>
            </w:r>
          </w:p>
        </w:tc>
        <w:tc>
          <w:tcPr>
            <w:tcW w:w="1137" w:type="dxa"/>
            <w:shd w:val="clear" w:color="auto" w:fill="auto"/>
            <w:vAlign w:val="center"/>
          </w:tcPr>
          <w:p w14:paraId="1541274B">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水田</w:t>
            </w:r>
          </w:p>
        </w:tc>
        <w:tc>
          <w:tcPr>
            <w:tcW w:w="1128" w:type="dxa"/>
            <w:shd w:val="clear" w:color="auto" w:fill="auto"/>
            <w:vAlign w:val="center"/>
          </w:tcPr>
          <w:p w14:paraId="7F8D1DD1">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0.3</w:t>
            </w:r>
          </w:p>
        </w:tc>
        <w:tc>
          <w:tcPr>
            <w:tcW w:w="1415" w:type="dxa"/>
            <w:shd w:val="clear" w:color="auto" w:fill="auto"/>
            <w:vAlign w:val="center"/>
          </w:tcPr>
          <w:p w14:paraId="63BDD642">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0.4</w:t>
            </w:r>
          </w:p>
        </w:tc>
        <w:tc>
          <w:tcPr>
            <w:tcW w:w="1272" w:type="dxa"/>
            <w:shd w:val="clear" w:color="auto" w:fill="auto"/>
            <w:vAlign w:val="center"/>
          </w:tcPr>
          <w:p w14:paraId="04D17B38">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0.6</w:t>
            </w:r>
          </w:p>
        </w:tc>
        <w:tc>
          <w:tcPr>
            <w:tcW w:w="1051" w:type="dxa"/>
            <w:shd w:val="clear" w:color="auto" w:fill="auto"/>
            <w:vAlign w:val="center"/>
          </w:tcPr>
          <w:p w14:paraId="7370D3A1">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0.8</w:t>
            </w:r>
          </w:p>
        </w:tc>
        <w:tc>
          <w:tcPr>
            <w:tcW w:w="1943" w:type="dxa"/>
            <w:vMerge w:val="restart"/>
            <w:shd w:val="clear" w:color="auto" w:fill="auto"/>
            <w:vAlign w:val="center"/>
          </w:tcPr>
          <w:p w14:paraId="4A73C1D9">
            <w:pPr>
              <w:autoSpaceDE w:val="0"/>
              <w:autoSpaceDN w:val="0"/>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《土壤环境质量农用地土壤污染风险管控标准（试行）》（GB15618-2018）风险筛选值</w:t>
            </w:r>
          </w:p>
        </w:tc>
      </w:tr>
      <w:tr w14:paraId="1701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shd w:val="clear" w:color="auto" w:fill="auto"/>
            <w:vAlign w:val="center"/>
          </w:tcPr>
          <w:p w14:paraId="1DC7A03F">
            <w:pPr>
              <w:pStyle w:val="118"/>
              <w:adjustRightInd/>
              <w:rPr>
                <w:rFonts w:hint="default" w:ascii="Times New Roman" w:hAnsi="Times New Roman" w:cs="Times New Roman" w:eastAsiaTheme="minorEastAsia"/>
                <w:color w:val="auto"/>
                <w:highlight w:val="none"/>
              </w:rPr>
            </w:pPr>
          </w:p>
        </w:tc>
        <w:tc>
          <w:tcPr>
            <w:tcW w:w="557" w:type="dxa"/>
            <w:vMerge w:val="continue"/>
            <w:shd w:val="clear" w:color="auto" w:fill="auto"/>
            <w:vAlign w:val="center"/>
          </w:tcPr>
          <w:p w14:paraId="0E5B6423">
            <w:pPr>
              <w:pStyle w:val="118"/>
              <w:adjustRightInd/>
              <w:rPr>
                <w:rFonts w:hint="default" w:ascii="Times New Roman" w:hAnsi="Times New Roman" w:cs="Times New Roman" w:eastAsiaTheme="minorEastAsia"/>
                <w:color w:val="auto"/>
                <w:highlight w:val="none"/>
              </w:rPr>
            </w:pPr>
          </w:p>
        </w:tc>
        <w:tc>
          <w:tcPr>
            <w:tcW w:w="1137" w:type="dxa"/>
            <w:shd w:val="clear" w:color="auto" w:fill="auto"/>
            <w:vAlign w:val="center"/>
          </w:tcPr>
          <w:p w14:paraId="631D3E9F">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其他</w:t>
            </w:r>
          </w:p>
        </w:tc>
        <w:tc>
          <w:tcPr>
            <w:tcW w:w="1128" w:type="dxa"/>
            <w:shd w:val="clear" w:color="auto" w:fill="auto"/>
            <w:vAlign w:val="center"/>
          </w:tcPr>
          <w:p w14:paraId="73F84488">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0.3</w:t>
            </w:r>
          </w:p>
        </w:tc>
        <w:tc>
          <w:tcPr>
            <w:tcW w:w="1415" w:type="dxa"/>
            <w:shd w:val="clear" w:color="auto" w:fill="auto"/>
            <w:vAlign w:val="center"/>
          </w:tcPr>
          <w:p w14:paraId="166A0F64">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0.3</w:t>
            </w:r>
          </w:p>
        </w:tc>
        <w:tc>
          <w:tcPr>
            <w:tcW w:w="1272" w:type="dxa"/>
            <w:shd w:val="clear" w:color="auto" w:fill="auto"/>
            <w:vAlign w:val="center"/>
          </w:tcPr>
          <w:p w14:paraId="7DDD3E13">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0.3</w:t>
            </w:r>
          </w:p>
        </w:tc>
        <w:tc>
          <w:tcPr>
            <w:tcW w:w="1051" w:type="dxa"/>
            <w:shd w:val="clear" w:color="auto" w:fill="auto"/>
            <w:vAlign w:val="center"/>
          </w:tcPr>
          <w:p w14:paraId="2BA35B6F">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0.6</w:t>
            </w:r>
          </w:p>
        </w:tc>
        <w:tc>
          <w:tcPr>
            <w:tcW w:w="1943" w:type="dxa"/>
            <w:vMerge w:val="continue"/>
            <w:shd w:val="clear" w:color="auto" w:fill="auto"/>
            <w:vAlign w:val="center"/>
          </w:tcPr>
          <w:p w14:paraId="34F786F8">
            <w:pPr>
              <w:autoSpaceDE w:val="0"/>
              <w:autoSpaceDN w:val="0"/>
              <w:jc w:val="left"/>
              <w:rPr>
                <w:rFonts w:hint="default" w:ascii="Times New Roman" w:hAnsi="Times New Roman" w:cs="Times New Roman" w:eastAsiaTheme="minorEastAsia"/>
                <w:color w:val="auto"/>
                <w:highlight w:val="none"/>
              </w:rPr>
            </w:pPr>
          </w:p>
        </w:tc>
      </w:tr>
      <w:tr w14:paraId="303D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shd w:val="clear" w:color="auto" w:fill="auto"/>
            <w:vAlign w:val="center"/>
          </w:tcPr>
          <w:p w14:paraId="34DDA8F9">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w:t>
            </w:r>
          </w:p>
        </w:tc>
        <w:tc>
          <w:tcPr>
            <w:tcW w:w="557" w:type="dxa"/>
            <w:vMerge w:val="restart"/>
            <w:shd w:val="clear" w:color="auto" w:fill="auto"/>
            <w:vAlign w:val="center"/>
          </w:tcPr>
          <w:p w14:paraId="36A83811">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汞</w:t>
            </w:r>
          </w:p>
        </w:tc>
        <w:tc>
          <w:tcPr>
            <w:tcW w:w="1137" w:type="dxa"/>
            <w:shd w:val="clear" w:color="auto" w:fill="auto"/>
            <w:vAlign w:val="center"/>
          </w:tcPr>
          <w:p w14:paraId="6E7BB552">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水田</w:t>
            </w:r>
          </w:p>
        </w:tc>
        <w:tc>
          <w:tcPr>
            <w:tcW w:w="1128" w:type="dxa"/>
            <w:shd w:val="clear" w:color="auto" w:fill="auto"/>
            <w:vAlign w:val="center"/>
          </w:tcPr>
          <w:p w14:paraId="1AE80021">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0.5</w:t>
            </w:r>
          </w:p>
        </w:tc>
        <w:tc>
          <w:tcPr>
            <w:tcW w:w="1415" w:type="dxa"/>
            <w:shd w:val="clear" w:color="auto" w:fill="auto"/>
            <w:vAlign w:val="center"/>
          </w:tcPr>
          <w:p w14:paraId="5159B6D9">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0.5</w:t>
            </w:r>
          </w:p>
        </w:tc>
        <w:tc>
          <w:tcPr>
            <w:tcW w:w="1272" w:type="dxa"/>
            <w:shd w:val="clear" w:color="auto" w:fill="auto"/>
            <w:vAlign w:val="center"/>
          </w:tcPr>
          <w:p w14:paraId="79C879E5">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0.6</w:t>
            </w:r>
          </w:p>
        </w:tc>
        <w:tc>
          <w:tcPr>
            <w:tcW w:w="1051" w:type="dxa"/>
            <w:shd w:val="clear" w:color="auto" w:fill="auto"/>
            <w:vAlign w:val="center"/>
          </w:tcPr>
          <w:p w14:paraId="1AF948F2">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w:t>
            </w:r>
          </w:p>
        </w:tc>
        <w:tc>
          <w:tcPr>
            <w:tcW w:w="1943" w:type="dxa"/>
            <w:vMerge w:val="continue"/>
            <w:shd w:val="clear" w:color="auto" w:fill="auto"/>
            <w:vAlign w:val="center"/>
          </w:tcPr>
          <w:p w14:paraId="68701E0A">
            <w:pPr>
              <w:autoSpaceDE w:val="0"/>
              <w:autoSpaceDN w:val="0"/>
              <w:jc w:val="left"/>
              <w:rPr>
                <w:rFonts w:hint="default" w:ascii="Times New Roman" w:hAnsi="Times New Roman" w:cs="Times New Roman" w:eastAsiaTheme="minorEastAsia"/>
                <w:color w:val="auto"/>
                <w:highlight w:val="none"/>
              </w:rPr>
            </w:pPr>
          </w:p>
        </w:tc>
      </w:tr>
      <w:tr w14:paraId="7E32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shd w:val="clear" w:color="auto" w:fill="auto"/>
            <w:vAlign w:val="center"/>
          </w:tcPr>
          <w:p w14:paraId="3BB2945C">
            <w:pPr>
              <w:pStyle w:val="118"/>
              <w:adjustRightInd/>
              <w:rPr>
                <w:rFonts w:hint="default" w:ascii="Times New Roman" w:hAnsi="Times New Roman" w:cs="Times New Roman" w:eastAsiaTheme="minorEastAsia"/>
                <w:color w:val="auto"/>
                <w:highlight w:val="none"/>
              </w:rPr>
            </w:pPr>
          </w:p>
        </w:tc>
        <w:tc>
          <w:tcPr>
            <w:tcW w:w="557" w:type="dxa"/>
            <w:vMerge w:val="continue"/>
            <w:shd w:val="clear" w:color="auto" w:fill="auto"/>
            <w:vAlign w:val="center"/>
          </w:tcPr>
          <w:p w14:paraId="4CF254E7">
            <w:pPr>
              <w:pStyle w:val="118"/>
              <w:adjustRightInd/>
              <w:rPr>
                <w:rFonts w:hint="default" w:ascii="Times New Roman" w:hAnsi="Times New Roman" w:cs="Times New Roman" w:eastAsiaTheme="minorEastAsia"/>
                <w:color w:val="auto"/>
                <w:highlight w:val="none"/>
              </w:rPr>
            </w:pPr>
          </w:p>
        </w:tc>
        <w:tc>
          <w:tcPr>
            <w:tcW w:w="1137" w:type="dxa"/>
            <w:shd w:val="clear" w:color="auto" w:fill="auto"/>
            <w:vAlign w:val="center"/>
          </w:tcPr>
          <w:p w14:paraId="07B006B3">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其他</w:t>
            </w:r>
          </w:p>
        </w:tc>
        <w:tc>
          <w:tcPr>
            <w:tcW w:w="1128" w:type="dxa"/>
            <w:shd w:val="clear" w:color="auto" w:fill="auto"/>
            <w:vAlign w:val="center"/>
          </w:tcPr>
          <w:p w14:paraId="06FDC045">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1.3</w:t>
            </w:r>
          </w:p>
        </w:tc>
        <w:tc>
          <w:tcPr>
            <w:tcW w:w="1415" w:type="dxa"/>
            <w:shd w:val="clear" w:color="auto" w:fill="auto"/>
            <w:vAlign w:val="center"/>
          </w:tcPr>
          <w:p w14:paraId="4FC5D63B">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1.8</w:t>
            </w:r>
          </w:p>
        </w:tc>
        <w:tc>
          <w:tcPr>
            <w:tcW w:w="1272" w:type="dxa"/>
            <w:shd w:val="clear" w:color="auto" w:fill="auto"/>
            <w:vAlign w:val="center"/>
          </w:tcPr>
          <w:p w14:paraId="73B873FE">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2.4</w:t>
            </w:r>
          </w:p>
        </w:tc>
        <w:tc>
          <w:tcPr>
            <w:tcW w:w="1051" w:type="dxa"/>
            <w:shd w:val="clear" w:color="auto" w:fill="auto"/>
            <w:vAlign w:val="center"/>
          </w:tcPr>
          <w:p w14:paraId="0646B9F5">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3.4</w:t>
            </w:r>
          </w:p>
        </w:tc>
        <w:tc>
          <w:tcPr>
            <w:tcW w:w="1943" w:type="dxa"/>
            <w:vMerge w:val="continue"/>
            <w:shd w:val="clear" w:color="auto" w:fill="auto"/>
            <w:vAlign w:val="center"/>
          </w:tcPr>
          <w:p w14:paraId="6258A805">
            <w:pPr>
              <w:autoSpaceDE w:val="0"/>
              <w:autoSpaceDN w:val="0"/>
              <w:jc w:val="left"/>
              <w:rPr>
                <w:rFonts w:hint="default" w:ascii="Times New Roman" w:hAnsi="Times New Roman" w:cs="Times New Roman" w:eastAsiaTheme="minorEastAsia"/>
                <w:color w:val="auto"/>
                <w:highlight w:val="none"/>
              </w:rPr>
            </w:pPr>
          </w:p>
        </w:tc>
      </w:tr>
      <w:tr w14:paraId="2B68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shd w:val="clear" w:color="auto" w:fill="auto"/>
            <w:vAlign w:val="center"/>
          </w:tcPr>
          <w:p w14:paraId="7A47BAFB">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w:t>
            </w:r>
          </w:p>
        </w:tc>
        <w:tc>
          <w:tcPr>
            <w:tcW w:w="557" w:type="dxa"/>
            <w:vMerge w:val="restart"/>
            <w:shd w:val="clear" w:color="auto" w:fill="auto"/>
            <w:vAlign w:val="center"/>
          </w:tcPr>
          <w:p w14:paraId="2CDD2832">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砷</w:t>
            </w:r>
          </w:p>
        </w:tc>
        <w:tc>
          <w:tcPr>
            <w:tcW w:w="1137" w:type="dxa"/>
            <w:shd w:val="clear" w:color="auto" w:fill="auto"/>
            <w:vAlign w:val="center"/>
          </w:tcPr>
          <w:p w14:paraId="3B5BC721">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水田</w:t>
            </w:r>
          </w:p>
        </w:tc>
        <w:tc>
          <w:tcPr>
            <w:tcW w:w="1128" w:type="dxa"/>
            <w:shd w:val="clear" w:color="auto" w:fill="auto"/>
            <w:vAlign w:val="center"/>
          </w:tcPr>
          <w:p w14:paraId="4AF302F9">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w:t>
            </w:r>
          </w:p>
        </w:tc>
        <w:tc>
          <w:tcPr>
            <w:tcW w:w="1415" w:type="dxa"/>
            <w:shd w:val="clear" w:color="auto" w:fill="auto"/>
            <w:vAlign w:val="center"/>
          </w:tcPr>
          <w:p w14:paraId="67C5D6F5">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w:t>
            </w:r>
          </w:p>
        </w:tc>
        <w:tc>
          <w:tcPr>
            <w:tcW w:w="1272" w:type="dxa"/>
            <w:shd w:val="clear" w:color="auto" w:fill="auto"/>
            <w:vAlign w:val="center"/>
          </w:tcPr>
          <w:p w14:paraId="2BD4604E">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w:t>
            </w:r>
          </w:p>
        </w:tc>
        <w:tc>
          <w:tcPr>
            <w:tcW w:w="1051" w:type="dxa"/>
            <w:shd w:val="clear" w:color="auto" w:fill="auto"/>
            <w:vAlign w:val="center"/>
          </w:tcPr>
          <w:p w14:paraId="0D7F4803">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w:t>
            </w:r>
          </w:p>
        </w:tc>
        <w:tc>
          <w:tcPr>
            <w:tcW w:w="1943" w:type="dxa"/>
            <w:vMerge w:val="continue"/>
            <w:shd w:val="clear" w:color="auto" w:fill="auto"/>
            <w:vAlign w:val="center"/>
          </w:tcPr>
          <w:p w14:paraId="66FA4CFD">
            <w:pPr>
              <w:autoSpaceDE w:val="0"/>
              <w:autoSpaceDN w:val="0"/>
              <w:jc w:val="left"/>
              <w:rPr>
                <w:rFonts w:hint="default" w:ascii="Times New Roman" w:hAnsi="Times New Roman" w:cs="Times New Roman" w:eastAsiaTheme="minorEastAsia"/>
                <w:color w:val="auto"/>
                <w:highlight w:val="none"/>
              </w:rPr>
            </w:pPr>
          </w:p>
        </w:tc>
      </w:tr>
      <w:tr w14:paraId="47C2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shd w:val="clear" w:color="auto" w:fill="auto"/>
            <w:vAlign w:val="center"/>
          </w:tcPr>
          <w:p w14:paraId="63C59A04">
            <w:pPr>
              <w:pStyle w:val="118"/>
              <w:adjustRightInd/>
              <w:rPr>
                <w:rFonts w:hint="default" w:ascii="Times New Roman" w:hAnsi="Times New Roman" w:cs="Times New Roman" w:eastAsiaTheme="minorEastAsia"/>
                <w:color w:val="auto"/>
                <w:highlight w:val="none"/>
              </w:rPr>
            </w:pPr>
          </w:p>
        </w:tc>
        <w:tc>
          <w:tcPr>
            <w:tcW w:w="557" w:type="dxa"/>
            <w:vMerge w:val="continue"/>
            <w:shd w:val="clear" w:color="auto" w:fill="auto"/>
            <w:vAlign w:val="center"/>
          </w:tcPr>
          <w:p w14:paraId="2EB2782D">
            <w:pPr>
              <w:pStyle w:val="118"/>
              <w:adjustRightInd/>
              <w:rPr>
                <w:rFonts w:hint="default" w:ascii="Times New Roman" w:hAnsi="Times New Roman" w:cs="Times New Roman" w:eastAsiaTheme="minorEastAsia"/>
                <w:color w:val="auto"/>
                <w:highlight w:val="none"/>
              </w:rPr>
            </w:pPr>
          </w:p>
        </w:tc>
        <w:tc>
          <w:tcPr>
            <w:tcW w:w="1137" w:type="dxa"/>
            <w:shd w:val="clear" w:color="auto" w:fill="auto"/>
            <w:vAlign w:val="center"/>
          </w:tcPr>
          <w:p w14:paraId="0FB91F55">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其他</w:t>
            </w:r>
          </w:p>
        </w:tc>
        <w:tc>
          <w:tcPr>
            <w:tcW w:w="1128" w:type="dxa"/>
            <w:shd w:val="clear" w:color="auto" w:fill="auto"/>
            <w:vAlign w:val="center"/>
          </w:tcPr>
          <w:p w14:paraId="4BF3B035">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40</w:t>
            </w:r>
          </w:p>
        </w:tc>
        <w:tc>
          <w:tcPr>
            <w:tcW w:w="1415" w:type="dxa"/>
            <w:shd w:val="clear" w:color="auto" w:fill="auto"/>
            <w:vAlign w:val="center"/>
          </w:tcPr>
          <w:p w14:paraId="5EBBC129">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40</w:t>
            </w:r>
          </w:p>
        </w:tc>
        <w:tc>
          <w:tcPr>
            <w:tcW w:w="1272" w:type="dxa"/>
            <w:shd w:val="clear" w:color="auto" w:fill="auto"/>
            <w:vAlign w:val="center"/>
          </w:tcPr>
          <w:p w14:paraId="63EE2EEA">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w:t>
            </w:r>
          </w:p>
        </w:tc>
        <w:tc>
          <w:tcPr>
            <w:tcW w:w="1051" w:type="dxa"/>
            <w:shd w:val="clear" w:color="auto" w:fill="auto"/>
            <w:vAlign w:val="center"/>
          </w:tcPr>
          <w:p w14:paraId="438AABDD">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w:t>
            </w:r>
          </w:p>
        </w:tc>
        <w:tc>
          <w:tcPr>
            <w:tcW w:w="1943" w:type="dxa"/>
            <w:vMerge w:val="continue"/>
            <w:shd w:val="clear" w:color="auto" w:fill="auto"/>
            <w:vAlign w:val="center"/>
          </w:tcPr>
          <w:p w14:paraId="39F0037E">
            <w:pPr>
              <w:autoSpaceDE w:val="0"/>
              <w:autoSpaceDN w:val="0"/>
              <w:jc w:val="left"/>
              <w:rPr>
                <w:rFonts w:hint="default" w:ascii="Times New Roman" w:hAnsi="Times New Roman" w:cs="Times New Roman" w:eastAsiaTheme="minorEastAsia"/>
                <w:color w:val="auto"/>
                <w:highlight w:val="none"/>
              </w:rPr>
            </w:pPr>
          </w:p>
        </w:tc>
      </w:tr>
      <w:tr w14:paraId="5F0F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shd w:val="clear" w:color="auto" w:fill="auto"/>
            <w:vAlign w:val="center"/>
          </w:tcPr>
          <w:p w14:paraId="1938F5A6">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w:t>
            </w:r>
          </w:p>
        </w:tc>
        <w:tc>
          <w:tcPr>
            <w:tcW w:w="557" w:type="dxa"/>
            <w:vMerge w:val="restart"/>
            <w:shd w:val="clear" w:color="auto" w:fill="auto"/>
            <w:vAlign w:val="center"/>
          </w:tcPr>
          <w:p w14:paraId="39349A1A">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铅</w:t>
            </w:r>
          </w:p>
        </w:tc>
        <w:tc>
          <w:tcPr>
            <w:tcW w:w="1137" w:type="dxa"/>
            <w:shd w:val="clear" w:color="auto" w:fill="auto"/>
            <w:vAlign w:val="center"/>
          </w:tcPr>
          <w:p w14:paraId="3208A526">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水田</w:t>
            </w:r>
          </w:p>
        </w:tc>
        <w:tc>
          <w:tcPr>
            <w:tcW w:w="1128" w:type="dxa"/>
            <w:shd w:val="clear" w:color="auto" w:fill="auto"/>
            <w:vAlign w:val="center"/>
          </w:tcPr>
          <w:p w14:paraId="10B46425">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80</w:t>
            </w:r>
          </w:p>
        </w:tc>
        <w:tc>
          <w:tcPr>
            <w:tcW w:w="1415" w:type="dxa"/>
            <w:shd w:val="clear" w:color="auto" w:fill="auto"/>
            <w:vAlign w:val="center"/>
          </w:tcPr>
          <w:p w14:paraId="7372A1E6">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c>
          <w:tcPr>
            <w:tcW w:w="1272" w:type="dxa"/>
            <w:shd w:val="clear" w:color="auto" w:fill="auto"/>
            <w:vAlign w:val="center"/>
          </w:tcPr>
          <w:p w14:paraId="0FB9F92E">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140</w:t>
            </w:r>
          </w:p>
        </w:tc>
        <w:tc>
          <w:tcPr>
            <w:tcW w:w="1051" w:type="dxa"/>
            <w:shd w:val="clear" w:color="auto" w:fill="auto"/>
            <w:vAlign w:val="center"/>
          </w:tcPr>
          <w:p w14:paraId="6C9920AA">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240</w:t>
            </w:r>
          </w:p>
        </w:tc>
        <w:tc>
          <w:tcPr>
            <w:tcW w:w="1943" w:type="dxa"/>
            <w:vMerge w:val="continue"/>
            <w:shd w:val="clear" w:color="auto" w:fill="auto"/>
            <w:vAlign w:val="center"/>
          </w:tcPr>
          <w:p w14:paraId="49871A7C">
            <w:pPr>
              <w:autoSpaceDE w:val="0"/>
              <w:autoSpaceDN w:val="0"/>
              <w:jc w:val="left"/>
              <w:rPr>
                <w:rFonts w:hint="default" w:ascii="Times New Roman" w:hAnsi="Times New Roman" w:cs="Times New Roman" w:eastAsiaTheme="minorEastAsia"/>
                <w:color w:val="auto"/>
                <w:highlight w:val="none"/>
              </w:rPr>
            </w:pPr>
          </w:p>
        </w:tc>
      </w:tr>
      <w:tr w14:paraId="5234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shd w:val="clear" w:color="auto" w:fill="auto"/>
            <w:vAlign w:val="center"/>
          </w:tcPr>
          <w:p w14:paraId="7F8F31FF">
            <w:pPr>
              <w:pStyle w:val="118"/>
              <w:adjustRightInd/>
              <w:rPr>
                <w:rFonts w:hint="default" w:ascii="Times New Roman" w:hAnsi="Times New Roman" w:cs="Times New Roman" w:eastAsiaTheme="minorEastAsia"/>
                <w:color w:val="auto"/>
                <w:highlight w:val="none"/>
              </w:rPr>
            </w:pPr>
          </w:p>
        </w:tc>
        <w:tc>
          <w:tcPr>
            <w:tcW w:w="557" w:type="dxa"/>
            <w:vMerge w:val="continue"/>
            <w:shd w:val="clear" w:color="auto" w:fill="auto"/>
            <w:vAlign w:val="center"/>
          </w:tcPr>
          <w:p w14:paraId="337DF29B">
            <w:pPr>
              <w:pStyle w:val="118"/>
              <w:adjustRightInd/>
              <w:rPr>
                <w:rFonts w:hint="default" w:ascii="Times New Roman" w:hAnsi="Times New Roman" w:cs="Times New Roman" w:eastAsiaTheme="minorEastAsia"/>
                <w:color w:val="auto"/>
                <w:highlight w:val="none"/>
              </w:rPr>
            </w:pPr>
          </w:p>
        </w:tc>
        <w:tc>
          <w:tcPr>
            <w:tcW w:w="1137" w:type="dxa"/>
            <w:shd w:val="clear" w:color="auto" w:fill="auto"/>
            <w:vAlign w:val="center"/>
          </w:tcPr>
          <w:p w14:paraId="01D0FE9A">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其他</w:t>
            </w:r>
          </w:p>
        </w:tc>
        <w:tc>
          <w:tcPr>
            <w:tcW w:w="1128" w:type="dxa"/>
            <w:shd w:val="clear" w:color="auto" w:fill="auto"/>
            <w:vAlign w:val="center"/>
          </w:tcPr>
          <w:p w14:paraId="49C408B3">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70</w:t>
            </w:r>
          </w:p>
        </w:tc>
        <w:tc>
          <w:tcPr>
            <w:tcW w:w="1415" w:type="dxa"/>
            <w:shd w:val="clear" w:color="auto" w:fill="auto"/>
            <w:vAlign w:val="center"/>
          </w:tcPr>
          <w:p w14:paraId="008EA20F">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90</w:t>
            </w:r>
          </w:p>
        </w:tc>
        <w:tc>
          <w:tcPr>
            <w:tcW w:w="1272" w:type="dxa"/>
            <w:shd w:val="clear" w:color="auto" w:fill="auto"/>
            <w:vAlign w:val="center"/>
          </w:tcPr>
          <w:p w14:paraId="7AEBDA8F">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120</w:t>
            </w:r>
          </w:p>
        </w:tc>
        <w:tc>
          <w:tcPr>
            <w:tcW w:w="1051" w:type="dxa"/>
            <w:shd w:val="clear" w:color="auto" w:fill="auto"/>
            <w:vAlign w:val="center"/>
          </w:tcPr>
          <w:p w14:paraId="452C9A3C">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170</w:t>
            </w:r>
          </w:p>
        </w:tc>
        <w:tc>
          <w:tcPr>
            <w:tcW w:w="1943" w:type="dxa"/>
            <w:vMerge w:val="continue"/>
            <w:shd w:val="clear" w:color="auto" w:fill="auto"/>
            <w:vAlign w:val="center"/>
          </w:tcPr>
          <w:p w14:paraId="5B25BF98">
            <w:pPr>
              <w:autoSpaceDE w:val="0"/>
              <w:autoSpaceDN w:val="0"/>
              <w:jc w:val="left"/>
              <w:rPr>
                <w:rFonts w:hint="default" w:ascii="Times New Roman" w:hAnsi="Times New Roman" w:cs="Times New Roman" w:eastAsiaTheme="minorEastAsia"/>
                <w:color w:val="auto"/>
                <w:highlight w:val="none"/>
              </w:rPr>
            </w:pPr>
          </w:p>
        </w:tc>
      </w:tr>
      <w:tr w14:paraId="32FC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shd w:val="clear" w:color="auto" w:fill="auto"/>
            <w:vAlign w:val="center"/>
          </w:tcPr>
          <w:p w14:paraId="331EC782">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w:t>
            </w:r>
          </w:p>
        </w:tc>
        <w:tc>
          <w:tcPr>
            <w:tcW w:w="557" w:type="dxa"/>
            <w:vMerge w:val="restart"/>
            <w:shd w:val="clear" w:color="auto" w:fill="auto"/>
            <w:vAlign w:val="center"/>
          </w:tcPr>
          <w:p w14:paraId="3ED8889D">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铬</w:t>
            </w:r>
          </w:p>
        </w:tc>
        <w:tc>
          <w:tcPr>
            <w:tcW w:w="1137" w:type="dxa"/>
            <w:shd w:val="clear" w:color="auto" w:fill="auto"/>
            <w:vAlign w:val="center"/>
          </w:tcPr>
          <w:p w14:paraId="13FDC654">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水田</w:t>
            </w:r>
          </w:p>
        </w:tc>
        <w:tc>
          <w:tcPr>
            <w:tcW w:w="1128" w:type="dxa"/>
            <w:shd w:val="clear" w:color="auto" w:fill="auto"/>
            <w:vAlign w:val="center"/>
          </w:tcPr>
          <w:p w14:paraId="09AE4F73">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250</w:t>
            </w:r>
          </w:p>
        </w:tc>
        <w:tc>
          <w:tcPr>
            <w:tcW w:w="1415" w:type="dxa"/>
            <w:shd w:val="clear" w:color="auto" w:fill="auto"/>
            <w:vAlign w:val="center"/>
          </w:tcPr>
          <w:p w14:paraId="7F2A9476">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250</w:t>
            </w:r>
          </w:p>
        </w:tc>
        <w:tc>
          <w:tcPr>
            <w:tcW w:w="1272" w:type="dxa"/>
            <w:shd w:val="clear" w:color="auto" w:fill="auto"/>
            <w:vAlign w:val="center"/>
          </w:tcPr>
          <w:p w14:paraId="1F8E8115">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300</w:t>
            </w:r>
          </w:p>
        </w:tc>
        <w:tc>
          <w:tcPr>
            <w:tcW w:w="1051" w:type="dxa"/>
            <w:shd w:val="clear" w:color="auto" w:fill="auto"/>
            <w:vAlign w:val="center"/>
          </w:tcPr>
          <w:p w14:paraId="38FAD32D">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350</w:t>
            </w:r>
          </w:p>
        </w:tc>
        <w:tc>
          <w:tcPr>
            <w:tcW w:w="1943" w:type="dxa"/>
            <w:vMerge w:val="continue"/>
            <w:shd w:val="clear" w:color="auto" w:fill="auto"/>
            <w:vAlign w:val="center"/>
          </w:tcPr>
          <w:p w14:paraId="0984494E">
            <w:pPr>
              <w:autoSpaceDE w:val="0"/>
              <w:autoSpaceDN w:val="0"/>
              <w:jc w:val="left"/>
              <w:rPr>
                <w:rFonts w:hint="default" w:ascii="Times New Roman" w:hAnsi="Times New Roman" w:cs="Times New Roman" w:eastAsiaTheme="minorEastAsia"/>
                <w:color w:val="auto"/>
                <w:highlight w:val="none"/>
              </w:rPr>
            </w:pPr>
          </w:p>
        </w:tc>
      </w:tr>
      <w:tr w14:paraId="4C6F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shd w:val="clear" w:color="auto" w:fill="auto"/>
            <w:vAlign w:val="center"/>
          </w:tcPr>
          <w:p w14:paraId="2D4270CD">
            <w:pPr>
              <w:pStyle w:val="118"/>
              <w:adjustRightInd/>
              <w:rPr>
                <w:rFonts w:hint="default" w:ascii="Times New Roman" w:hAnsi="Times New Roman" w:cs="Times New Roman" w:eastAsiaTheme="minorEastAsia"/>
                <w:color w:val="auto"/>
                <w:highlight w:val="none"/>
              </w:rPr>
            </w:pPr>
          </w:p>
        </w:tc>
        <w:tc>
          <w:tcPr>
            <w:tcW w:w="557" w:type="dxa"/>
            <w:vMerge w:val="continue"/>
            <w:shd w:val="clear" w:color="auto" w:fill="auto"/>
            <w:vAlign w:val="center"/>
          </w:tcPr>
          <w:p w14:paraId="68EE42E9">
            <w:pPr>
              <w:pStyle w:val="118"/>
              <w:adjustRightInd/>
              <w:rPr>
                <w:rFonts w:hint="default" w:ascii="Times New Roman" w:hAnsi="Times New Roman" w:cs="Times New Roman" w:eastAsiaTheme="minorEastAsia"/>
                <w:color w:val="auto"/>
                <w:highlight w:val="none"/>
              </w:rPr>
            </w:pPr>
          </w:p>
        </w:tc>
        <w:tc>
          <w:tcPr>
            <w:tcW w:w="1137" w:type="dxa"/>
            <w:shd w:val="clear" w:color="auto" w:fill="auto"/>
            <w:vAlign w:val="center"/>
          </w:tcPr>
          <w:p w14:paraId="1789C7B4">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其他</w:t>
            </w:r>
          </w:p>
        </w:tc>
        <w:tc>
          <w:tcPr>
            <w:tcW w:w="1128" w:type="dxa"/>
            <w:shd w:val="clear" w:color="auto" w:fill="auto"/>
            <w:vAlign w:val="center"/>
          </w:tcPr>
          <w:p w14:paraId="1BBEFCD0">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150</w:t>
            </w:r>
          </w:p>
        </w:tc>
        <w:tc>
          <w:tcPr>
            <w:tcW w:w="1415" w:type="dxa"/>
            <w:shd w:val="clear" w:color="auto" w:fill="auto"/>
            <w:vAlign w:val="center"/>
          </w:tcPr>
          <w:p w14:paraId="08F588CA">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150</w:t>
            </w:r>
          </w:p>
        </w:tc>
        <w:tc>
          <w:tcPr>
            <w:tcW w:w="1272" w:type="dxa"/>
            <w:shd w:val="clear" w:color="auto" w:fill="auto"/>
            <w:vAlign w:val="center"/>
          </w:tcPr>
          <w:p w14:paraId="4E8D5CF6">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200</w:t>
            </w:r>
          </w:p>
        </w:tc>
        <w:tc>
          <w:tcPr>
            <w:tcW w:w="1051" w:type="dxa"/>
            <w:shd w:val="clear" w:color="auto" w:fill="auto"/>
            <w:vAlign w:val="center"/>
          </w:tcPr>
          <w:p w14:paraId="20343052">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250</w:t>
            </w:r>
          </w:p>
        </w:tc>
        <w:tc>
          <w:tcPr>
            <w:tcW w:w="1943" w:type="dxa"/>
            <w:vMerge w:val="continue"/>
            <w:shd w:val="clear" w:color="auto" w:fill="auto"/>
            <w:vAlign w:val="center"/>
          </w:tcPr>
          <w:p w14:paraId="0D2E834C">
            <w:pPr>
              <w:autoSpaceDE w:val="0"/>
              <w:autoSpaceDN w:val="0"/>
              <w:jc w:val="left"/>
              <w:rPr>
                <w:rFonts w:hint="default" w:ascii="Times New Roman" w:hAnsi="Times New Roman" w:cs="Times New Roman" w:eastAsiaTheme="minorEastAsia"/>
                <w:color w:val="auto"/>
                <w:highlight w:val="none"/>
              </w:rPr>
            </w:pPr>
          </w:p>
        </w:tc>
      </w:tr>
      <w:tr w14:paraId="4DE7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shd w:val="clear" w:color="auto" w:fill="auto"/>
            <w:vAlign w:val="center"/>
          </w:tcPr>
          <w:p w14:paraId="748D271E">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6</w:t>
            </w:r>
          </w:p>
        </w:tc>
        <w:tc>
          <w:tcPr>
            <w:tcW w:w="557" w:type="dxa"/>
            <w:vMerge w:val="restart"/>
            <w:shd w:val="clear" w:color="auto" w:fill="auto"/>
            <w:vAlign w:val="center"/>
          </w:tcPr>
          <w:p w14:paraId="6622998A">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铜</w:t>
            </w:r>
          </w:p>
        </w:tc>
        <w:tc>
          <w:tcPr>
            <w:tcW w:w="1137" w:type="dxa"/>
            <w:shd w:val="clear" w:color="auto" w:fill="auto"/>
            <w:vAlign w:val="center"/>
          </w:tcPr>
          <w:p w14:paraId="586935D9">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果园</w:t>
            </w:r>
          </w:p>
        </w:tc>
        <w:tc>
          <w:tcPr>
            <w:tcW w:w="1128" w:type="dxa"/>
            <w:shd w:val="clear" w:color="auto" w:fill="auto"/>
            <w:vAlign w:val="center"/>
          </w:tcPr>
          <w:p w14:paraId="5743A331">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150</w:t>
            </w:r>
          </w:p>
        </w:tc>
        <w:tc>
          <w:tcPr>
            <w:tcW w:w="1415" w:type="dxa"/>
            <w:shd w:val="clear" w:color="auto" w:fill="auto"/>
            <w:vAlign w:val="center"/>
          </w:tcPr>
          <w:p w14:paraId="58D87514">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150</w:t>
            </w:r>
          </w:p>
        </w:tc>
        <w:tc>
          <w:tcPr>
            <w:tcW w:w="1272" w:type="dxa"/>
            <w:shd w:val="clear" w:color="auto" w:fill="auto"/>
            <w:vAlign w:val="center"/>
          </w:tcPr>
          <w:p w14:paraId="031057C9">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200</w:t>
            </w:r>
          </w:p>
        </w:tc>
        <w:tc>
          <w:tcPr>
            <w:tcW w:w="1051" w:type="dxa"/>
            <w:shd w:val="clear" w:color="auto" w:fill="auto"/>
            <w:vAlign w:val="center"/>
          </w:tcPr>
          <w:p w14:paraId="2504737E">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200</w:t>
            </w:r>
          </w:p>
        </w:tc>
        <w:tc>
          <w:tcPr>
            <w:tcW w:w="1943" w:type="dxa"/>
            <w:vMerge w:val="continue"/>
            <w:shd w:val="clear" w:color="auto" w:fill="auto"/>
            <w:vAlign w:val="center"/>
          </w:tcPr>
          <w:p w14:paraId="36CF6877">
            <w:pPr>
              <w:autoSpaceDE w:val="0"/>
              <w:autoSpaceDN w:val="0"/>
              <w:jc w:val="left"/>
              <w:rPr>
                <w:rFonts w:hint="default" w:ascii="Times New Roman" w:hAnsi="Times New Roman" w:cs="Times New Roman" w:eastAsiaTheme="minorEastAsia"/>
                <w:color w:val="auto"/>
                <w:highlight w:val="none"/>
              </w:rPr>
            </w:pPr>
          </w:p>
        </w:tc>
      </w:tr>
      <w:tr w14:paraId="2888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1" w:type="dxa"/>
            <w:vMerge w:val="continue"/>
            <w:shd w:val="clear" w:color="auto" w:fill="auto"/>
            <w:vAlign w:val="center"/>
          </w:tcPr>
          <w:p w14:paraId="43C71F99">
            <w:pPr>
              <w:pStyle w:val="118"/>
              <w:adjustRightInd/>
              <w:rPr>
                <w:rFonts w:hint="default" w:ascii="Times New Roman" w:hAnsi="Times New Roman" w:cs="Times New Roman" w:eastAsiaTheme="minorEastAsia"/>
                <w:color w:val="auto"/>
                <w:highlight w:val="none"/>
              </w:rPr>
            </w:pPr>
          </w:p>
        </w:tc>
        <w:tc>
          <w:tcPr>
            <w:tcW w:w="557" w:type="dxa"/>
            <w:vMerge w:val="continue"/>
            <w:shd w:val="clear" w:color="auto" w:fill="auto"/>
            <w:vAlign w:val="center"/>
          </w:tcPr>
          <w:p w14:paraId="49141656">
            <w:pPr>
              <w:pStyle w:val="118"/>
              <w:adjustRightInd/>
              <w:rPr>
                <w:rFonts w:hint="default" w:ascii="Times New Roman" w:hAnsi="Times New Roman" w:cs="Times New Roman" w:eastAsiaTheme="minorEastAsia"/>
                <w:color w:val="auto"/>
                <w:highlight w:val="none"/>
              </w:rPr>
            </w:pPr>
          </w:p>
        </w:tc>
        <w:tc>
          <w:tcPr>
            <w:tcW w:w="1137" w:type="dxa"/>
            <w:shd w:val="clear" w:color="auto" w:fill="auto"/>
            <w:vAlign w:val="center"/>
          </w:tcPr>
          <w:p w14:paraId="22A9AE58">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其他</w:t>
            </w:r>
          </w:p>
        </w:tc>
        <w:tc>
          <w:tcPr>
            <w:tcW w:w="1128" w:type="dxa"/>
            <w:shd w:val="clear" w:color="auto" w:fill="auto"/>
            <w:vAlign w:val="center"/>
          </w:tcPr>
          <w:p w14:paraId="62923C49">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50</w:t>
            </w:r>
          </w:p>
        </w:tc>
        <w:tc>
          <w:tcPr>
            <w:tcW w:w="1415" w:type="dxa"/>
            <w:shd w:val="clear" w:color="auto" w:fill="auto"/>
            <w:vAlign w:val="center"/>
          </w:tcPr>
          <w:p w14:paraId="1F1F9FF4">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50</w:t>
            </w:r>
          </w:p>
        </w:tc>
        <w:tc>
          <w:tcPr>
            <w:tcW w:w="1272" w:type="dxa"/>
            <w:shd w:val="clear" w:color="auto" w:fill="auto"/>
            <w:vAlign w:val="center"/>
          </w:tcPr>
          <w:p w14:paraId="1B48088B">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c>
          <w:tcPr>
            <w:tcW w:w="1051" w:type="dxa"/>
            <w:shd w:val="clear" w:color="auto" w:fill="auto"/>
            <w:vAlign w:val="center"/>
          </w:tcPr>
          <w:p w14:paraId="357C791D">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c>
          <w:tcPr>
            <w:tcW w:w="1943" w:type="dxa"/>
            <w:vMerge w:val="continue"/>
            <w:shd w:val="clear" w:color="auto" w:fill="auto"/>
            <w:vAlign w:val="center"/>
          </w:tcPr>
          <w:p w14:paraId="033F255B">
            <w:pPr>
              <w:autoSpaceDE w:val="0"/>
              <w:autoSpaceDN w:val="0"/>
              <w:jc w:val="left"/>
              <w:rPr>
                <w:rFonts w:hint="default" w:ascii="Times New Roman" w:hAnsi="Times New Roman" w:cs="Times New Roman" w:eastAsiaTheme="minorEastAsia"/>
                <w:color w:val="auto"/>
                <w:highlight w:val="none"/>
              </w:rPr>
            </w:pPr>
          </w:p>
        </w:tc>
      </w:tr>
      <w:tr w14:paraId="1C6F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vAlign w:val="center"/>
          </w:tcPr>
          <w:p w14:paraId="21AF2C35">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7</w:t>
            </w:r>
          </w:p>
        </w:tc>
        <w:tc>
          <w:tcPr>
            <w:tcW w:w="1694" w:type="dxa"/>
            <w:gridSpan w:val="2"/>
            <w:shd w:val="clear" w:color="auto" w:fill="auto"/>
            <w:vAlign w:val="center"/>
          </w:tcPr>
          <w:p w14:paraId="583FA201">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镍</w:t>
            </w:r>
          </w:p>
        </w:tc>
        <w:tc>
          <w:tcPr>
            <w:tcW w:w="1128" w:type="dxa"/>
            <w:shd w:val="clear" w:color="auto" w:fill="auto"/>
            <w:vAlign w:val="center"/>
          </w:tcPr>
          <w:p w14:paraId="1C36D569">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60</w:t>
            </w:r>
          </w:p>
        </w:tc>
        <w:tc>
          <w:tcPr>
            <w:tcW w:w="1415" w:type="dxa"/>
            <w:shd w:val="clear" w:color="auto" w:fill="auto"/>
            <w:vAlign w:val="center"/>
          </w:tcPr>
          <w:p w14:paraId="7EA5D6D6">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70</w:t>
            </w:r>
          </w:p>
        </w:tc>
        <w:tc>
          <w:tcPr>
            <w:tcW w:w="1272" w:type="dxa"/>
            <w:shd w:val="clear" w:color="auto" w:fill="auto"/>
            <w:vAlign w:val="center"/>
          </w:tcPr>
          <w:p w14:paraId="3B2FCAB3">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100</w:t>
            </w:r>
          </w:p>
        </w:tc>
        <w:tc>
          <w:tcPr>
            <w:tcW w:w="1051" w:type="dxa"/>
            <w:shd w:val="clear" w:color="auto" w:fill="auto"/>
            <w:vAlign w:val="center"/>
          </w:tcPr>
          <w:p w14:paraId="338011B7">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190</w:t>
            </w:r>
          </w:p>
        </w:tc>
        <w:tc>
          <w:tcPr>
            <w:tcW w:w="1943" w:type="dxa"/>
            <w:vMerge w:val="continue"/>
            <w:shd w:val="clear" w:color="auto" w:fill="auto"/>
            <w:vAlign w:val="center"/>
          </w:tcPr>
          <w:p w14:paraId="53346768">
            <w:pPr>
              <w:autoSpaceDE w:val="0"/>
              <w:autoSpaceDN w:val="0"/>
              <w:jc w:val="left"/>
              <w:rPr>
                <w:rFonts w:hint="default" w:ascii="Times New Roman" w:hAnsi="Times New Roman" w:cs="Times New Roman" w:eastAsiaTheme="minorEastAsia"/>
                <w:color w:val="auto"/>
                <w:highlight w:val="none"/>
              </w:rPr>
            </w:pPr>
          </w:p>
        </w:tc>
      </w:tr>
      <w:tr w14:paraId="61B5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shd w:val="clear" w:color="auto" w:fill="auto"/>
            <w:vAlign w:val="center"/>
          </w:tcPr>
          <w:p w14:paraId="0998DDA5">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8</w:t>
            </w:r>
          </w:p>
        </w:tc>
        <w:tc>
          <w:tcPr>
            <w:tcW w:w="1694" w:type="dxa"/>
            <w:gridSpan w:val="2"/>
            <w:shd w:val="clear" w:color="auto" w:fill="auto"/>
            <w:vAlign w:val="center"/>
          </w:tcPr>
          <w:p w14:paraId="487BBBF6">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锌</w:t>
            </w:r>
          </w:p>
        </w:tc>
        <w:tc>
          <w:tcPr>
            <w:tcW w:w="1128" w:type="dxa"/>
            <w:shd w:val="clear" w:color="auto" w:fill="auto"/>
            <w:vAlign w:val="center"/>
          </w:tcPr>
          <w:p w14:paraId="4DE6AEF9">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200</w:t>
            </w:r>
          </w:p>
        </w:tc>
        <w:tc>
          <w:tcPr>
            <w:tcW w:w="1415" w:type="dxa"/>
            <w:shd w:val="clear" w:color="auto" w:fill="auto"/>
            <w:vAlign w:val="center"/>
          </w:tcPr>
          <w:p w14:paraId="25D361CC">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200</w:t>
            </w:r>
          </w:p>
        </w:tc>
        <w:tc>
          <w:tcPr>
            <w:tcW w:w="1272" w:type="dxa"/>
            <w:shd w:val="clear" w:color="auto" w:fill="auto"/>
            <w:vAlign w:val="center"/>
          </w:tcPr>
          <w:p w14:paraId="395B92B2">
            <w:pPr>
              <w:pStyle w:val="118"/>
              <w:adjustRightInd/>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250</w:t>
            </w:r>
          </w:p>
        </w:tc>
        <w:tc>
          <w:tcPr>
            <w:tcW w:w="1051" w:type="dxa"/>
            <w:shd w:val="clear" w:color="auto" w:fill="auto"/>
            <w:vAlign w:val="center"/>
          </w:tcPr>
          <w:p w14:paraId="09178A5D">
            <w:pPr>
              <w:pStyle w:val="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300</w:t>
            </w:r>
          </w:p>
        </w:tc>
        <w:tc>
          <w:tcPr>
            <w:tcW w:w="1943" w:type="dxa"/>
            <w:vMerge w:val="continue"/>
            <w:shd w:val="clear" w:color="auto" w:fill="auto"/>
            <w:vAlign w:val="center"/>
          </w:tcPr>
          <w:p w14:paraId="6723C123">
            <w:pPr>
              <w:autoSpaceDE w:val="0"/>
              <w:autoSpaceDN w:val="0"/>
              <w:jc w:val="left"/>
              <w:rPr>
                <w:rFonts w:hint="default" w:ascii="Times New Roman" w:hAnsi="Times New Roman" w:cs="Times New Roman" w:eastAsiaTheme="minorEastAsia"/>
                <w:color w:val="auto"/>
                <w:highlight w:val="none"/>
              </w:rPr>
            </w:pPr>
          </w:p>
        </w:tc>
      </w:tr>
      <w:tr w14:paraId="26E8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1" w:type="dxa"/>
            <w:gridSpan w:val="7"/>
            <w:shd w:val="clear" w:color="auto" w:fill="auto"/>
            <w:vAlign w:val="center"/>
          </w:tcPr>
          <w:p w14:paraId="0469257F">
            <w:pPr>
              <w:autoSpaceDE w:val="0"/>
              <w:autoSpaceDN w:val="0"/>
              <w:jc w:val="left"/>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注：</w:t>
            </w:r>
            <w:r>
              <w:rPr>
                <w:rFonts w:hint="default" w:ascii="Times New Roman" w:hAnsi="Times New Roman" w:cs="Times New Roman"/>
                <w:color w:val="auto"/>
                <w:kern w:val="0"/>
                <w:szCs w:val="21"/>
                <w:highlight w:val="none"/>
              </w:rPr>
              <w:t>①</w:t>
            </w:r>
            <w:r>
              <w:rPr>
                <w:rFonts w:hint="default" w:ascii="Times New Roman" w:hAnsi="Times New Roman" w:cs="Times New Roman" w:eastAsiaTheme="minorEastAsia"/>
                <w:color w:val="auto"/>
                <w:kern w:val="0"/>
                <w:szCs w:val="21"/>
                <w:highlight w:val="none"/>
              </w:rPr>
              <w:t>重金属和类金属砷均按元素总量计。</w:t>
            </w:r>
          </w:p>
          <w:p w14:paraId="50D032C2">
            <w:pPr>
              <w:autoSpaceDE w:val="0"/>
              <w:autoSpaceDN w:val="0"/>
              <w:ind w:firstLine="420" w:firstLineChars="200"/>
              <w:jc w:val="left"/>
              <w:rPr>
                <w:rFonts w:hint="default" w:ascii="Times New Roman" w:hAnsi="Times New Roman" w:cs="Times New Roman" w:eastAsiaTheme="minorEastAsia"/>
                <w:color w:val="auto"/>
                <w:szCs w:val="21"/>
                <w:highlight w:val="none"/>
              </w:rPr>
            </w:pPr>
            <w:r>
              <w:rPr>
                <w:rFonts w:hint="default" w:ascii="Times New Roman" w:hAnsi="Times New Roman" w:cs="Times New Roman"/>
                <w:color w:val="auto"/>
                <w:szCs w:val="21"/>
                <w:highlight w:val="none"/>
              </w:rPr>
              <w:t>②</w:t>
            </w:r>
            <w:r>
              <w:rPr>
                <w:rFonts w:hint="default" w:ascii="Times New Roman" w:hAnsi="Times New Roman" w:cs="Times New Roman" w:eastAsiaTheme="minorEastAsia"/>
                <w:color w:val="auto"/>
                <w:szCs w:val="21"/>
                <w:highlight w:val="none"/>
              </w:rPr>
              <w:t>对于水旱轮作地，采用其中较严格的风险筛选值。</w:t>
            </w:r>
          </w:p>
        </w:tc>
        <w:tc>
          <w:tcPr>
            <w:tcW w:w="1943" w:type="dxa"/>
            <w:vMerge w:val="continue"/>
            <w:shd w:val="clear" w:color="auto" w:fill="auto"/>
            <w:vAlign w:val="center"/>
          </w:tcPr>
          <w:p w14:paraId="5E380A1A">
            <w:pPr>
              <w:autoSpaceDE w:val="0"/>
              <w:autoSpaceDN w:val="0"/>
              <w:jc w:val="left"/>
              <w:rPr>
                <w:rFonts w:hint="default" w:ascii="Times New Roman" w:hAnsi="Times New Roman" w:cs="Times New Roman" w:eastAsiaTheme="minorEastAsia"/>
                <w:color w:val="auto"/>
                <w:szCs w:val="21"/>
                <w:highlight w:val="none"/>
              </w:rPr>
            </w:pPr>
          </w:p>
        </w:tc>
      </w:tr>
    </w:tbl>
    <w:p w14:paraId="3CF1734B">
      <w:pPr>
        <w:pStyle w:val="4"/>
        <w:spacing w:before="156" w:after="156"/>
        <w:rPr>
          <w:rFonts w:hint="default" w:ascii="Times New Roman" w:hAnsi="Times New Roman" w:cs="Times New Roman"/>
          <w:color w:val="auto"/>
          <w:highlight w:val="none"/>
        </w:rPr>
      </w:pPr>
      <w:bookmarkStart w:id="73" w:name="_Toc9092651"/>
      <w:r>
        <w:rPr>
          <w:rFonts w:hint="default" w:ascii="Times New Roman" w:hAnsi="Times New Roman" w:cs="Times New Roman"/>
          <w:color w:val="auto"/>
          <w:highlight w:val="none"/>
        </w:rPr>
        <w:t>污染物排放标准</w:t>
      </w:r>
      <w:bookmarkEnd w:id="73"/>
    </w:p>
    <w:p w14:paraId="15E0E222">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p w14:paraId="6F4FFCA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景区内仅进行生态旅游活动。规划实施后对环境空气的影响主要为液化石油气燃烧废气、餐饮油烟、汽车尾气及恶臭等。其中饮食油烟执行《饮食业油烟排放标准（试行）》（GB18483-2001）。具体标准值见表1.9-7和表1.9-8。</w:t>
      </w:r>
    </w:p>
    <w:p w14:paraId="76DA806D">
      <w:pPr>
        <w:pStyle w:val="1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表1.9-7  饮食业油烟排放标准值一览表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560"/>
        <w:gridCol w:w="2075"/>
        <w:gridCol w:w="2178"/>
        <w:gridCol w:w="2119"/>
      </w:tblGrid>
      <w:tr w14:paraId="1994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7" w:type="pct"/>
            <w:gridSpan w:val="2"/>
            <w:shd w:val="clear" w:color="auto" w:fill="auto"/>
            <w:vAlign w:val="center"/>
          </w:tcPr>
          <w:p w14:paraId="377DBC40">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规模</w:t>
            </w:r>
          </w:p>
        </w:tc>
        <w:tc>
          <w:tcPr>
            <w:tcW w:w="1131" w:type="pct"/>
            <w:vMerge w:val="restart"/>
            <w:shd w:val="clear" w:color="auto" w:fill="auto"/>
            <w:vAlign w:val="center"/>
          </w:tcPr>
          <w:p w14:paraId="6DABB764">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最高允许排放浓度（mg/m</w:t>
            </w:r>
            <w:r>
              <w:rPr>
                <w:rFonts w:hint="default" w:ascii="Times New Roman" w:hAnsi="Times New Roman" w:cs="Times New Roman"/>
                <w:bCs/>
                <w:color w:val="auto"/>
                <w:kern w:val="0"/>
                <w:szCs w:val="21"/>
                <w:highlight w:val="none"/>
                <w:vertAlign w:val="superscript"/>
              </w:rPr>
              <w:t>3</w:t>
            </w:r>
            <w:r>
              <w:rPr>
                <w:rFonts w:hint="default" w:ascii="Times New Roman" w:hAnsi="Times New Roman" w:cs="Times New Roman"/>
                <w:bCs/>
                <w:color w:val="auto"/>
                <w:kern w:val="0"/>
                <w:szCs w:val="21"/>
                <w:highlight w:val="none"/>
              </w:rPr>
              <w:t>）</w:t>
            </w:r>
          </w:p>
        </w:tc>
        <w:tc>
          <w:tcPr>
            <w:tcW w:w="1187" w:type="pct"/>
            <w:vMerge w:val="restart"/>
            <w:shd w:val="clear" w:color="auto" w:fill="auto"/>
            <w:vAlign w:val="center"/>
          </w:tcPr>
          <w:p w14:paraId="6FA776DA">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净化设施最低去除率（%）</w:t>
            </w:r>
          </w:p>
        </w:tc>
        <w:tc>
          <w:tcPr>
            <w:tcW w:w="1155" w:type="pct"/>
            <w:vMerge w:val="restart"/>
            <w:shd w:val="clear" w:color="auto" w:fill="auto"/>
            <w:vAlign w:val="center"/>
          </w:tcPr>
          <w:p w14:paraId="06878F65">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标准来源</w:t>
            </w:r>
          </w:p>
        </w:tc>
      </w:tr>
      <w:tr w14:paraId="32BC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shd w:val="clear" w:color="auto" w:fill="auto"/>
            <w:vAlign w:val="center"/>
          </w:tcPr>
          <w:p w14:paraId="7DCDB314">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类型</w:t>
            </w:r>
          </w:p>
        </w:tc>
        <w:tc>
          <w:tcPr>
            <w:tcW w:w="850" w:type="pct"/>
            <w:shd w:val="clear" w:color="auto" w:fill="auto"/>
            <w:vAlign w:val="center"/>
          </w:tcPr>
          <w:p w14:paraId="575C14B4">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基准灶头数</w:t>
            </w:r>
          </w:p>
        </w:tc>
        <w:tc>
          <w:tcPr>
            <w:tcW w:w="1131" w:type="pct"/>
            <w:vMerge w:val="continue"/>
            <w:vAlign w:val="center"/>
          </w:tcPr>
          <w:p w14:paraId="029322C6">
            <w:pPr>
              <w:widowControl/>
              <w:jc w:val="center"/>
              <w:rPr>
                <w:rFonts w:hint="default" w:ascii="Times New Roman" w:hAnsi="Times New Roman" w:cs="Times New Roman"/>
                <w:b/>
                <w:color w:val="auto"/>
                <w:kern w:val="0"/>
                <w:szCs w:val="21"/>
                <w:highlight w:val="none"/>
              </w:rPr>
            </w:pPr>
          </w:p>
        </w:tc>
        <w:tc>
          <w:tcPr>
            <w:tcW w:w="1187" w:type="pct"/>
            <w:vMerge w:val="continue"/>
            <w:vAlign w:val="center"/>
          </w:tcPr>
          <w:p w14:paraId="61A9B030">
            <w:pPr>
              <w:widowControl/>
              <w:jc w:val="center"/>
              <w:rPr>
                <w:rFonts w:hint="default" w:ascii="Times New Roman" w:hAnsi="Times New Roman" w:cs="Times New Roman"/>
                <w:b/>
                <w:color w:val="auto"/>
                <w:kern w:val="0"/>
                <w:szCs w:val="21"/>
                <w:highlight w:val="none"/>
              </w:rPr>
            </w:pPr>
          </w:p>
        </w:tc>
        <w:tc>
          <w:tcPr>
            <w:tcW w:w="1155" w:type="pct"/>
            <w:vMerge w:val="continue"/>
            <w:vAlign w:val="center"/>
          </w:tcPr>
          <w:p w14:paraId="45D90C5D">
            <w:pPr>
              <w:widowControl/>
              <w:jc w:val="center"/>
              <w:rPr>
                <w:rFonts w:hint="default" w:ascii="Times New Roman" w:hAnsi="Times New Roman" w:cs="Times New Roman"/>
                <w:b/>
                <w:color w:val="auto"/>
                <w:kern w:val="0"/>
                <w:szCs w:val="21"/>
                <w:highlight w:val="none"/>
              </w:rPr>
            </w:pPr>
          </w:p>
        </w:tc>
      </w:tr>
      <w:tr w14:paraId="03EC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shd w:val="clear" w:color="auto" w:fill="auto"/>
            <w:vAlign w:val="center"/>
          </w:tcPr>
          <w:p w14:paraId="75D709F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小型</w:t>
            </w:r>
          </w:p>
        </w:tc>
        <w:tc>
          <w:tcPr>
            <w:tcW w:w="850" w:type="pct"/>
            <w:shd w:val="clear" w:color="auto" w:fill="auto"/>
            <w:vAlign w:val="center"/>
          </w:tcPr>
          <w:p w14:paraId="55A706A6">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≥1，≤3</w:t>
            </w:r>
          </w:p>
        </w:tc>
        <w:tc>
          <w:tcPr>
            <w:tcW w:w="1131" w:type="pct"/>
            <w:vMerge w:val="restart"/>
            <w:shd w:val="clear" w:color="auto" w:fill="auto"/>
            <w:vAlign w:val="center"/>
          </w:tcPr>
          <w:p w14:paraId="03B7031F">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w:t>
            </w:r>
          </w:p>
        </w:tc>
        <w:tc>
          <w:tcPr>
            <w:tcW w:w="1187" w:type="pct"/>
            <w:shd w:val="clear" w:color="auto" w:fill="auto"/>
            <w:vAlign w:val="center"/>
          </w:tcPr>
          <w:p w14:paraId="1EFF768F">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w:t>
            </w:r>
          </w:p>
        </w:tc>
        <w:tc>
          <w:tcPr>
            <w:tcW w:w="1155" w:type="pct"/>
            <w:vMerge w:val="restart"/>
            <w:shd w:val="clear" w:color="auto" w:fill="auto"/>
            <w:vAlign w:val="center"/>
          </w:tcPr>
          <w:p w14:paraId="49740B90">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《饮食业油烟排放标准（试行）》（GB18483-2001）</w:t>
            </w:r>
          </w:p>
        </w:tc>
      </w:tr>
      <w:tr w14:paraId="57B2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shd w:val="clear" w:color="auto" w:fill="auto"/>
            <w:vAlign w:val="center"/>
          </w:tcPr>
          <w:p w14:paraId="215D94BF">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中型</w:t>
            </w:r>
          </w:p>
        </w:tc>
        <w:tc>
          <w:tcPr>
            <w:tcW w:w="850" w:type="pct"/>
            <w:shd w:val="clear" w:color="auto" w:fill="auto"/>
            <w:vAlign w:val="center"/>
          </w:tcPr>
          <w:p w14:paraId="1E202194">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≥3，≤6</w:t>
            </w:r>
          </w:p>
        </w:tc>
        <w:tc>
          <w:tcPr>
            <w:tcW w:w="1131" w:type="pct"/>
            <w:vMerge w:val="continue"/>
            <w:shd w:val="clear" w:color="auto" w:fill="auto"/>
            <w:vAlign w:val="center"/>
          </w:tcPr>
          <w:p w14:paraId="51B4FB76">
            <w:pPr>
              <w:widowControl/>
              <w:jc w:val="center"/>
              <w:rPr>
                <w:rFonts w:hint="default" w:ascii="Times New Roman" w:hAnsi="Times New Roman" w:cs="Times New Roman"/>
                <w:color w:val="auto"/>
                <w:kern w:val="0"/>
                <w:szCs w:val="21"/>
                <w:highlight w:val="none"/>
              </w:rPr>
            </w:pPr>
          </w:p>
        </w:tc>
        <w:tc>
          <w:tcPr>
            <w:tcW w:w="1187" w:type="pct"/>
            <w:shd w:val="clear" w:color="auto" w:fill="auto"/>
            <w:vAlign w:val="center"/>
          </w:tcPr>
          <w:p w14:paraId="271FCFC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75</w:t>
            </w:r>
          </w:p>
        </w:tc>
        <w:tc>
          <w:tcPr>
            <w:tcW w:w="1155" w:type="pct"/>
            <w:vMerge w:val="continue"/>
            <w:vAlign w:val="center"/>
          </w:tcPr>
          <w:p w14:paraId="0A7222EA">
            <w:pPr>
              <w:widowControl/>
              <w:jc w:val="center"/>
              <w:rPr>
                <w:rFonts w:hint="default" w:ascii="Times New Roman" w:hAnsi="Times New Roman" w:cs="Times New Roman"/>
                <w:color w:val="auto"/>
                <w:kern w:val="0"/>
                <w:szCs w:val="21"/>
                <w:highlight w:val="none"/>
              </w:rPr>
            </w:pPr>
          </w:p>
        </w:tc>
      </w:tr>
      <w:tr w14:paraId="0FB0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shd w:val="clear" w:color="auto" w:fill="auto"/>
            <w:vAlign w:val="center"/>
          </w:tcPr>
          <w:p w14:paraId="6A30CB3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大型</w:t>
            </w:r>
          </w:p>
        </w:tc>
        <w:tc>
          <w:tcPr>
            <w:tcW w:w="850" w:type="pct"/>
            <w:shd w:val="clear" w:color="auto" w:fill="auto"/>
            <w:vAlign w:val="center"/>
          </w:tcPr>
          <w:p w14:paraId="6CF129E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w:t>
            </w:r>
          </w:p>
        </w:tc>
        <w:tc>
          <w:tcPr>
            <w:tcW w:w="1131" w:type="pct"/>
            <w:vMerge w:val="continue"/>
            <w:shd w:val="clear" w:color="auto" w:fill="auto"/>
            <w:vAlign w:val="center"/>
          </w:tcPr>
          <w:p w14:paraId="7AE1D889">
            <w:pPr>
              <w:widowControl/>
              <w:jc w:val="center"/>
              <w:rPr>
                <w:rFonts w:hint="default" w:ascii="Times New Roman" w:hAnsi="Times New Roman" w:cs="Times New Roman"/>
                <w:color w:val="auto"/>
                <w:kern w:val="0"/>
                <w:szCs w:val="21"/>
                <w:highlight w:val="none"/>
              </w:rPr>
            </w:pPr>
          </w:p>
        </w:tc>
        <w:tc>
          <w:tcPr>
            <w:tcW w:w="1187" w:type="pct"/>
            <w:shd w:val="clear" w:color="auto" w:fill="auto"/>
            <w:vAlign w:val="center"/>
          </w:tcPr>
          <w:p w14:paraId="453CFA94">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85</w:t>
            </w:r>
          </w:p>
        </w:tc>
        <w:tc>
          <w:tcPr>
            <w:tcW w:w="1155" w:type="pct"/>
            <w:vMerge w:val="continue"/>
            <w:vAlign w:val="center"/>
          </w:tcPr>
          <w:p w14:paraId="4F65CE84">
            <w:pPr>
              <w:widowControl/>
              <w:jc w:val="center"/>
              <w:rPr>
                <w:rFonts w:hint="default" w:ascii="Times New Roman" w:hAnsi="Times New Roman" w:cs="Times New Roman"/>
                <w:color w:val="auto"/>
                <w:kern w:val="0"/>
                <w:szCs w:val="21"/>
                <w:highlight w:val="none"/>
              </w:rPr>
            </w:pPr>
          </w:p>
        </w:tc>
      </w:tr>
    </w:tbl>
    <w:p w14:paraId="7F639EC0">
      <w:pPr>
        <w:pStyle w:val="36"/>
        <w:rPr>
          <w:rFonts w:hint="default" w:ascii="Times New Roman" w:hAnsi="Times New Roman" w:cs="Times New Roman"/>
          <w:color w:val="auto"/>
          <w:highlight w:val="none"/>
          <w:lang w:val="en-US"/>
        </w:rPr>
      </w:pPr>
    </w:p>
    <w:p w14:paraId="131DE4C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p w14:paraId="7CDF41AB">
      <w:pPr>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24"/>
          <w:sz w:val="24"/>
          <w:highlight w:val="none"/>
        </w:rPr>
        <w:t>景区运营产生的废水主要为村庄居民生活污水和景区餐饮废水。居民、游客生活污水与先经隔油池预处理的餐饮废水汇同景区内其他生活污水进入污水管网后进入</w:t>
      </w:r>
      <w:r>
        <w:rPr>
          <w:rFonts w:hint="default" w:ascii="Times New Roman" w:hAnsi="Times New Roman" w:cs="Times New Roman"/>
          <w:color w:val="auto"/>
          <w:kern w:val="24"/>
          <w:sz w:val="24"/>
          <w:highlight w:val="none"/>
          <w:lang w:val="en-US" w:eastAsia="zh-CN"/>
        </w:rPr>
        <w:t>规划区现状和新增的生活污水</w:t>
      </w:r>
      <w:r>
        <w:rPr>
          <w:rFonts w:hint="default" w:ascii="Times New Roman" w:hAnsi="Times New Roman" w:cs="Times New Roman"/>
          <w:color w:val="auto"/>
          <w:kern w:val="24"/>
          <w:sz w:val="24"/>
          <w:highlight w:val="none"/>
        </w:rPr>
        <w:t>处理</w:t>
      </w:r>
      <w:r>
        <w:rPr>
          <w:rFonts w:hint="default" w:ascii="Times New Roman" w:hAnsi="Times New Roman" w:cs="Times New Roman"/>
          <w:color w:val="auto"/>
          <w:kern w:val="24"/>
          <w:sz w:val="24"/>
          <w:highlight w:val="none"/>
          <w:lang w:val="en-US" w:eastAsia="zh-CN"/>
        </w:rPr>
        <w:t>设施处理后用作周边耕地、林草地施肥，不得外排，生活污水</w:t>
      </w:r>
      <w:r>
        <w:rPr>
          <w:rFonts w:hint="default" w:ascii="Times New Roman" w:hAnsi="Times New Roman" w:cs="Times New Roman"/>
          <w:color w:val="auto"/>
          <w:kern w:val="24"/>
          <w:sz w:val="24"/>
          <w:highlight w:val="none"/>
        </w:rPr>
        <w:t>处理</w:t>
      </w:r>
      <w:r>
        <w:rPr>
          <w:rFonts w:hint="default" w:ascii="Times New Roman" w:hAnsi="Times New Roman" w:cs="Times New Roman"/>
          <w:color w:val="auto"/>
          <w:kern w:val="24"/>
          <w:sz w:val="24"/>
          <w:highlight w:val="none"/>
          <w:lang w:val="en-US" w:eastAsia="zh-CN"/>
        </w:rPr>
        <w:t>设施尾水排放执行《污水综合排放标准》（GB8978-1996）一级标准</w:t>
      </w:r>
      <w:r>
        <w:rPr>
          <w:rFonts w:hint="default" w:ascii="Times New Roman" w:hAnsi="Times New Roman" w:cs="Times New Roman"/>
          <w:color w:val="auto"/>
          <w:kern w:val="24"/>
          <w:sz w:val="24"/>
          <w:highlight w:val="none"/>
          <w:lang w:eastAsia="zh-CN"/>
        </w:rPr>
        <w:t>。</w:t>
      </w:r>
      <w:r>
        <w:rPr>
          <w:rFonts w:hint="default" w:ascii="Times New Roman" w:hAnsi="Times New Roman" w:cs="Times New Roman"/>
          <w:color w:val="auto"/>
          <w:kern w:val="0"/>
          <w:sz w:val="24"/>
          <w:highlight w:val="none"/>
        </w:rPr>
        <w:t>具体限值见表1.9-9</w:t>
      </w:r>
      <w:r>
        <w:rPr>
          <w:rFonts w:hint="eastAsia" w:cs="Times New Roman"/>
          <w:color w:val="auto"/>
          <w:kern w:val="0"/>
          <w:sz w:val="24"/>
          <w:highlight w:val="none"/>
          <w:lang w:eastAsia="zh-CN"/>
        </w:rPr>
        <w:t>。</w:t>
      </w:r>
    </w:p>
    <w:p w14:paraId="1BE73BFA">
      <w:pPr>
        <w:pStyle w:val="1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表1.9-8  水污染物排放标准（摘录）</w:t>
      </w:r>
    </w:p>
    <w:tbl>
      <w:tblPr>
        <w:tblStyle w:val="5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2018"/>
        <w:gridCol w:w="6143"/>
      </w:tblGrid>
      <w:tr w14:paraId="746E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pct"/>
            <w:shd w:val="clear" w:color="auto" w:fill="auto"/>
            <w:vAlign w:val="center"/>
          </w:tcPr>
          <w:p w14:paraId="4E853A52">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100" w:type="pct"/>
            <w:shd w:val="clear" w:color="auto" w:fill="auto"/>
            <w:vAlign w:val="center"/>
          </w:tcPr>
          <w:p w14:paraId="681B2A63">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项目类别</w:t>
            </w:r>
          </w:p>
        </w:tc>
        <w:tc>
          <w:tcPr>
            <w:tcW w:w="3349" w:type="pct"/>
            <w:shd w:val="clear" w:color="auto" w:fill="auto"/>
            <w:vAlign w:val="center"/>
          </w:tcPr>
          <w:p w14:paraId="7536068E">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《污水综合排放标准》（GB8978-1996）一级标准</w:t>
            </w:r>
          </w:p>
        </w:tc>
      </w:tr>
      <w:tr w14:paraId="6728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shd w:val="clear" w:color="auto" w:fill="auto"/>
            <w:vAlign w:val="center"/>
          </w:tcPr>
          <w:p w14:paraId="10B80D22">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00" w:type="pct"/>
            <w:shd w:val="clear" w:color="auto" w:fill="auto"/>
            <w:vAlign w:val="center"/>
          </w:tcPr>
          <w:p w14:paraId="7FDC8DBD">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3349" w:type="pct"/>
            <w:shd w:val="clear" w:color="auto" w:fill="auto"/>
            <w:vAlign w:val="center"/>
          </w:tcPr>
          <w:p w14:paraId="4B369B4C">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r>
      <w:tr w14:paraId="58DA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shd w:val="clear" w:color="auto" w:fill="auto"/>
            <w:vAlign w:val="center"/>
          </w:tcPr>
          <w:p w14:paraId="38CBB2BE">
            <w:pPr>
              <w:pStyle w:val="735"/>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p>
        </w:tc>
        <w:tc>
          <w:tcPr>
            <w:tcW w:w="1100" w:type="pct"/>
            <w:shd w:val="clear" w:color="auto" w:fill="auto"/>
            <w:vAlign w:val="center"/>
          </w:tcPr>
          <w:p w14:paraId="7994EC4D">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3349" w:type="pct"/>
            <w:shd w:val="clear" w:color="auto" w:fill="auto"/>
            <w:vAlign w:val="center"/>
          </w:tcPr>
          <w:p w14:paraId="613A3889">
            <w:pPr>
              <w:pStyle w:val="73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w:t>
            </w:r>
          </w:p>
        </w:tc>
      </w:tr>
      <w:tr w14:paraId="1E40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shd w:val="clear" w:color="auto" w:fill="auto"/>
            <w:vAlign w:val="center"/>
          </w:tcPr>
          <w:p w14:paraId="5436E77B">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p>
        </w:tc>
        <w:tc>
          <w:tcPr>
            <w:tcW w:w="1100" w:type="pct"/>
            <w:shd w:val="clear" w:color="auto" w:fill="auto"/>
            <w:vAlign w:val="center"/>
          </w:tcPr>
          <w:p w14:paraId="595B3F0F">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3349" w:type="pct"/>
            <w:shd w:val="clear" w:color="auto" w:fill="auto"/>
            <w:vAlign w:val="center"/>
          </w:tcPr>
          <w:p w14:paraId="1C8F1970">
            <w:pPr>
              <w:pStyle w:val="73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r>
      <w:tr w14:paraId="47A1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shd w:val="clear" w:color="auto" w:fill="auto"/>
            <w:vAlign w:val="center"/>
          </w:tcPr>
          <w:p w14:paraId="29394FA7">
            <w:pPr>
              <w:pStyle w:val="735"/>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4</w:t>
            </w:r>
          </w:p>
        </w:tc>
        <w:tc>
          <w:tcPr>
            <w:tcW w:w="1100" w:type="pct"/>
            <w:shd w:val="clear" w:color="auto" w:fill="auto"/>
            <w:vAlign w:val="center"/>
          </w:tcPr>
          <w:p w14:paraId="16B1881F">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3349" w:type="pct"/>
            <w:shd w:val="clear" w:color="auto" w:fill="auto"/>
            <w:vAlign w:val="center"/>
          </w:tcPr>
          <w:p w14:paraId="33BFC78F">
            <w:pPr>
              <w:pStyle w:val="73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r>
      <w:tr w14:paraId="1033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shd w:val="clear" w:color="auto" w:fill="auto"/>
            <w:vAlign w:val="center"/>
          </w:tcPr>
          <w:p w14:paraId="7EE29B1D">
            <w:pPr>
              <w:pStyle w:val="73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100" w:type="pct"/>
            <w:shd w:val="clear" w:color="auto" w:fill="auto"/>
            <w:vAlign w:val="center"/>
          </w:tcPr>
          <w:p w14:paraId="12D45A1E">
            <w:pPr>
              <w:pStyle w:val="73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石油类</w:t>
            </w:r>
          </w:p>
        </w:tc>
        <w:tc>
          <w:tcPr>
            <w:tcW w:w="3349" w:type="pct"/>
            <w:shd w:val="clear" w:color="auto" w:fill="auto"/>
            <w:vAlign w:val="center"/>
          </w:tcPr>
          <w:p w14:paraId="609D0E7F">
            <w:pPr>
              <w:pStyle w:val="735"/>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14:paraId="6621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shd w:val="clear" w:color="auto" w:fill="auto"/>
            <w:vAlign w:val="center"/>
          </w:tcPr>
          <w:p w14:paraId="0FB94295">
            <w:pPr>
              <w:pStyle w:val="735"/>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6</w:t>
            </w:r>
          </w:p>
        </w:tc>
        <w:tc>
          <w:tcPr>
            <w:tcW w:w="1100" w:type="pct"/>
            <w:shd w:val="clear" w:color="auto" w:fill="auto"/>
            <w:vAlign w:val="center"/>
          </w:tcPr>
          <w:p w14:paraId="513BF876">
            <w:pPr>
              <w:pStyle w:val="735"/>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动植物油</w:t>
            </w:r>
          </w:p>
        </w:tc>
        <w:tc>
          <w:tcPr>
            <w:tcW w:w="3349" w:type="pct"/>
            <w:shd w:val="clear" w:color="auto" w:fill="auto"/>
            <w:vAlign w:val="center"/>
          </w:tcPr>
          <w:p w14:paraId="04B7B8C3">
            <w:pPr>
              <w:pStyle w:val="73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r>
      <w:tr w14:paraId="2873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shd w:val="clear" w:color="auto" w:fill="auto"/>
            <w:vAlign w:val="center"/>
          </w:tcPr>
          <w:p w14:paraId="3887B445">
            <w:pPr>
              <w:pStyle w:val="73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1100" w:type="pct"/>
            <w:shd w:val="clear" w:color="auto" w:fill="auto"/>
            <w:vAlign w:val="center"/>
          </w:tcPr>
          <w:p w14:paraId="0B51CCCE">
            <w:pPr>
              <w:pStyle w:val="73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氨氮</w:t>
            </w:r>
          </w:p>
        </w:tc>
        <w:tc>
          <w:tcPr>
            <w:tcW w:w="3349" w:type="pct"/>
            <w:shd w:val="clear" w:color="auto" w:fill="auto"/>
            <w:vAlign w:val="center"/>
          </w:tcPr>
          <w:p w14:paraId="1FA44F19">
            <w:pPr>
              <w:pStyle w:val="735"/>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r>
    </w:tbl>
    <w:p w14:paraId="3DA6FEB4">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p w14:paraId="4A861868">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（1）施工噪声</w:t>
      </w:r>
    </w:p>
    <w:p w14:paraId="15631F88">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施工噪声执行《建筑施工噪声排放标准》（GB12523-2025），标准限值见表1.9-9。</w:t>
      </w:r>
    </w:p>
    <w:p w14:paraId="16BD5E67">
      <w:pPr>
        <w:pStyle w:val="1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表1.9-9  建筑施工场界环境噪声排放限值一览表  单位：dB（A）</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1596"/>
        <w:gridCol w:w="5690"/>
      </w:tblGrid>
      <w:tr w14:paraId="3D2E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9" w:type="pct"/>
            <w:vAlign w:val="center"/>
          </w:tcPr>
          <w:p w14:paraId="79DB5F85">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昼间</w:t>
            </w:r>
          </w:p>
        </w:tc>
        <w:tc>
          <w:tcPr>
            <w:tcW w:w="870" w:type="pct"/>
            <w:vAlign w:val="center"/>
          </w:tcPr>
          <w:p w14:paraId="6FEC63CE">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夜间</w:t>
            </w:r>
          </w:p>
        </w:tc>
        <w:tc>
          <w:tcPr>
            <w:tcW w:w="3101" w:type="pct"/>
            <w:vAlign w:val="center"/>
          </w:tcPr>
          <w:p w14:paraId="5ABDC4A7">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标准来源</w:t>
            </w:r>
          </w:p>
        </w:tc>
      </w:tr>
      <w:tr w14:paraId="370A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vAlign w:val="center"/>
          </w:tcPr>
          <w:p w14:paraId="2F8FE5F7">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w:t>
            </w:r>
          </w:p>
        </w:tc>
        <w:tc>
          <w:tcPr>
            <w:tcW w:w="870" w:type="pct"/>
            <w:vAlign w:val="center"/>
          </w:tcPr>
          <w:p w14:paraId="3E75F4A5">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55</w:t>
            </w:r>
          </w:p>
        </w:tc>
        <w:tc>
          <w:tcPr>
            <w:tcW w:w="3101" w:type="pct"/>
            <w:vAlign w:val="center"/>
          </w:tcPr>
          <w:p w14:paraId="4E373575">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《建筑施工噪声排放标准》（GB12523-2025）</w:t>
            </w:r>
          </w:p>
        </w:tc>
      </w:tr>
    </w:tbl>
    <w:p w14:paraId="2F0F2E4C">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（2）营业噪声</w:t>
      </w:r>
    </w:p>
    <w:p w14:paraId="746FDC38">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规划区域属1</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2、4a</w:t>
      </w:r>
      <w:r>
        <w:rPr>
          <w:rFonts w:hint="default" w:ascii="Times New Roman" w:hAnsi="Times New Roman" w:cs="Times New Roman"/>
          <w:color w:val="auto"/>
          <w:kern w:val="0"/>
          <w:sz w:val="24"/>
          <w:highlight w:val="none"/>
        </w:rPr>
        <w:t>类声环境功能区，</w:t>
      </w:r>
      <w:r>
        <w:rPr>
          <w:rFonts w:hint="eastAsia" w:cs="Times New Roman"/>
          <w:color w:val="auto"/>
          <w:kern w:val="0"/>
          <w:sz w:val="24"/>
          <w:highlight w:val="none"/>
          <w:lang w:val="en-US" w:eastAsia="zh-CN"/>
        </w:rPr>
        <w:t>分别</w:t>
      </w:r>
      <w:r>
        <w:rPr>
          <w:rFonts w:hint="default" w:ascii="Times New Roman" w:hAnsi="Times New Roman" w:cs="Times New Roman"/>
          <w:color w:val="auto"/>
          <w:kern w:val="0"/>
          <w:sz w:val="24"/>
          <w:highlight w:val="none"/>
        </w:rPr>
        <w:t>执行《社会生活环境噪声排放标准》（GB22337-2008）1</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2、4</w:t>
      </w:r>
      <w:r>
        <w:rPr>
          <w:rFonts w:hint="default" w:ascii="Times New Roman" w:hAnsi="Times New Roman" w:cs="Times New Roman"/>
          <w:color w:val="auto"/>
          <w:kern w:val="0"/>
          <w:sz w:val="24"/>
          <w:highlight w:val="none"/>
        </w:rPr>
        <w:t>类区噪声排放限值。具体标准限值见表1.9-10</w:t>
      </w:r>
      <w:r>
        <w:rPr>
          <w:rFonts w:hint="eastAsia" w:cs="Times New Roman"/>
          <w:color w:val="auto"/>
          <w:kern w:val="0"/>
          <w:sz w:val="24"/>
          <w:highlight w:val="none"/>
          <w:lang w:eastAsia="zh-CN"/>
        </w:rPr>
        <w:t>。</w:t>
      </w:r>
    </w:p>
    <w:p w14:paraId="02603C8B">
      <w:pPr>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表1.9-10  社会生活噪声排放源边界噪声排放限值一览表  单位：dB（A）</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52"/>
        <w:gridCol w:w="1481"/>
        <w:gridCol w:w="754"/>
        <w:gridCol w:w="786"/>
        <w:gridCol w:w="3041"/>
      </w:tblGrid>
      <w:tr w14:paraId="529E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637" w:type="pct"/>
            <w:vMerge w:val="restart"/>
            <w:vAlign w:val="center"/>
          </w:tcPr>
          <w:p w14:paraId="40FF5F10">
            <w:pPr>
              <w:tabs>
                <w:tab w:val="left" w:pos="900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适用区域</w:t>
            </w:r>
          </w:p>
        </w:tc>
        <w:tc>
          <w:tcPr>
            <w:tcW w:w="821" w:type="pct"/>
            <w:vMerge w:val="restart"/>
            <w:vAlign w:val="center"/>
          </w:tcPr>
          <w:p w14:paraId="1FEEB5FE">
            <w:pPr>
              <w:tabs>
                <w:tab w:val="left" w:pos="900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功能区类别</w:t>
            </w:r>
          </w:p>
        </w:tc>
        <w:tc>
          <w:tcPr>
            <w:tcW w:w="854" w:type="pct"/>
            <w:gridSpan w:val="2"/>
            <w:vAlign w:val="center"/>
          </w:tcPr>
          <w:p w14:paraId="23C89F33">
            <w:pPr>
              <w:tabs>
                <w:tab w:val="left" w:pos="900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排放限值</w:t>
            </w:r>
          </w:p>
        </w:tc>
        <w:tc>
          <w:tcPr>
            <w:tcW w:w="1686" w:type="pct"/>
            <w:vMerge w:val="restart"/>
            <w:vAlign w:val="center"/>
          </w:tcPr>
          <w:p w14:paraId="62903DC5">
            <w:pPr>
              <w:tabs>
                <w:tab w:val="left" w:pos="900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标准来源</w:t>
            </w:r>
          </w:p>
        </w:tc>
      </w:tr>
      <w:tr w14:paraId="1E01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637" w:type="pct"/>
            <w:vMerge w:val="continue"/>
            <w:vAlign w:val="center"/>
          </w:tcPr>
          <w:p w14:paraId="27486AEE">
            <w:pPr>
              <w:tabs>
                <w:tab w:val="left" w:pos="9000"/>
              </w:tabs>
              <w:jc w:val="center"/>
              <w:rPr>
                <w:rFonts w:hint="default" w:ascii="Times New Roman" w:hAnsi="Times New Roman" w:cs="Times New Roman"/>
                <w:bCs/>
                <w:color w:val="auto"/>
                <w:kern w:val="0"/>
                <w:szCs w:val="21"/>
                <w:highlight w:val="none"/>
              </w:rPr>
            </w:pPr>
          </w:p>
        </w:tc>
        <w:tc>
          <w:tcPr>
            <w:tcW w:w="821" w:type="pct"/>
            <w:vMerge w:val="continue"/>
            <w:vAlign w:val="center"/>
          </w:tcPr>
          <w:p w14:paraId="203AE8B5">
            <w:pPr>
              <w:tabs>
                <w:tab w:val="left" w:pos="9000"/>
              </w:tabs>
              <w:jc w:val="center"/>
              <w:rPr>
                <w:rFonts w:hint="default" w:ascii="Times New Roman" w:hAnsi="Times New Roman" w:cs="Times New Roman"/>
                <w:bCs/>
                <w:color w:val="auto"/>
                <w:kern w:val="0"/>
                <w:szCs w:val="21"/>
                <w:highlight w:val="none"/>
              </w:rPr>
            </w:pPr>
          </w:p>
        </w:tc>
        <w:tc>
          <w:tcPr>
            <w:tcW w:w="418" w:type="pct"/>
            <w:vAlign w:val="center"/>
          </w:tcPr>
          <w:p w14:paraId="0EFE1CBB">
            <w:pPr>
              <w:tabs>
                <w:tab w:val="left" w:pos="900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昼间</w:t>
            </w:r>
          </w:p>
        </w:tc>
        <w:tc>
          <w:tcPr>
            <w:tcW w:w="435" w:type="pct"/>
            <w:vAlign w:val="center"/>
          </w:tcPr>
          <w:p w14:paraId="45A0F585">
            <w:pPr>
              <w:tabs>
                <w:tab w:val="left" w:pos="900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夜间</w:t>
            </w:r>
          </w:p>
        </w:tc>
        <w:tc>
          <w:tcPr>
            <w:tcW w:w="1686" w:type="pct"/>
            <w:vMerge w:val="continue"/>
            <w:vAlign w:val="center"/>
          </w:tcPr>
          <w:p w14:paraId="4AF7C303">
            <w:pPr>
              <w:jc w:val="center"/>
              <w:rPr>
                <w:rFonts w:hint="default" w:ascii="Times New Roman" w:hAnsi="Times New Roman" w:cs="Times New Roman"/>
                <w:color w:val="auto"/>
                <w:kern w:val="0"/>
                <w:szCs w:val="21"/>
                <w:highlight w:val="none"/>
              </w:rPr>
            </w:pPr>
          </w:p>
        </w:tc>
      </w:tr>
      <w:tr w14:paraId="5698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637" w:type="pct"/>
            <w:vAlign w:val="center"/>
          </w:tcPr>
          <w:p w14:paraId="2C2E1A3F">
            <w:pPr>
              <w:tabs>
                <w:tab w:val="left" w:pos="9000"/>
              </w:tabs>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公共绿地、居住区域</w:t>
            </w:r>
            <w:r>
              <w:rPr>
                <w:rFonts w:hint="eastAsia" w:cs="Times New Roman"/>
                <w:color w:val="auto"/>
                <w:kern w:val="0"/>
                <w:szCs w:val="21"/>
                <w:highlight w:val="none"/>
                <w:lang w:val="en-US" w:eastAsia="zh-CN"/>
              </w:rPr>
              <w:t>等</w:t>
            </w:r>
          </w:p>
        </w:tc>
        <w:tc>
          <w:tcPr>
            <w:tcW w:w="821" w:type="pct"/>
            <w:vAlign w:val="center"/>
          </w:tcPr>
          <w:p w14:paraId="7FB1B8C0">
            <w:pPr>
              <w:tabs>
                <w:tab w:val="left" w:pos="900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1类区</w:t>
            </w:r>
          </w:p>
        </w:tc>
        <w:tc>
          <w:tcPr>
            <w:tcW w:w="418" w:type="pct"/>
            <w:vAlign w:val="center"/>
          </w:tcPr>
          <w:p w14:paraId="6009A418">
            <w:pPr>
              <w:tabs>
                <w:tab w:val="left" w:pos="900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55</w:t>
            </w:r>
          </w:p>
        </w:tc>
        <w:tc>
          <w:tcPr>
            <w:tcW w:w="435" w:type="pct"/>
            <w:vAlign w:val="center"/>
          </w:tcPr>
          <w:p w14:paraId="6CE920C8">
            <w:pPr>
              <w:tabs>
                <w:tab w:val="left" w:pos="900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45</w:t>
            </w:r>
          </w:p>
        </w:tc>
        <w:tc>
          <w:tcPr>
            <w:tcW w:w="1686" w:type="pct"/>
            <w:vMerge w:val="restart"/>
            <w:vAlign w:val="center"/>
          </w:tcPr>
          <w:p w14:paraId="469B805B">
            <w:pPr>
              <w:tabs>
                <w:tab w:val="left" w:pos="900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《社会生活环境噪声排放标准》（GB22337-2008）</w:t>
            </w:r>
          </w:p>
        </w:tc>
      </w:tr>
      <w:tr w14:paraId="77A6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637" w:type="pct"/>
            <w:vAlign w:val="center"/>
          </w:tcPr>
          <w:p w14:paraId="205AFB9A">
            <w:pPr>
              <w:tabs>
                <w:tab w:val="left" w:pos="900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娱乐活动区域</w:t>
            </w:r>
          </w:p>
        </w:tc>
        <w:tc>
          <w:tcPr>
            <w:tcW w:w="821" w:type="pct"/>
            <w:vAlign w:val="center"/>
          </w:tcPr>
          <w:p w14:paraId="3B1A4E99">
            <w:pPr>
              <w:tabs>
                <w:tab w:val="left" w:pos="9000"/>
              </w:tabs>
              <w:jc w:val="center"/>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类区</w:t>
            </w:r>
          </w:p>
        </w:tc>
        <w:tc>
          <w:tcPr>
            <w:tcW w:w="418" w:type="pct"/>
            <w:vAlign w:val="center"/>
          </w:tcPr>
          <w:p w14:paraId="1FB7C672">
            <w:pPr>
              <w:tabs>
                <w:tab w:val="left" w:pos="9000"/>
              </w:tabs>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60</w:t>
            </w:r>
          </w:p>
        </w:tc>
        <w:tc>
          <w:tcPr>
            <w:tcW w:w="435" w:type="pct"/>
            <w:vAlign w:val="center"/>
          </w:tcPr>
          <w:p w14:paraId="1D163603">
            <w:pPr>
              <w:tabs>
                <w:tab w:val="left" w:pos="9000"/>
              </w:tabs>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50</w:t>
            </w:r>
          </w:p>
        </w:tc>
        <w:tc>
          <w:tcPr>
            <w:tcW w:w="1686" w:type="pct"/>
            <w:vMerge w:val="continue"/>
            <w:vAlign w:val="center"/>
          </w:tcPr>
          <w:p w14:paraId="0657F8BD">
            <w:pPr>
              <w:tabs>
                <w:tab w:val="left" w:pos="9000"/>
              </w:tabs>
              <w:jc w:val="center"/>
              <w:rPr>
                <w:rFonts w:hint="default" w:ascii="Times New Roman" w:hAnsi="Times New Roman" w:cs="Times New Roman"/>
                <w:color w:val="auto"/>
                <w:kern w:val="0"/>
                <w:szCs w:val="21"/>
                <w:highlight w:val="none"/>
              </w:rPr>
            </w:pPr>
          </w:p>
        </w:tc>
      </w:tr>
      <w:tr w14:paraId="45F8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637" w:type="pct"/>
            <w:vAlign w:val="center"/>
          </w:tcPr>
          <w:p w14:paraId="35F034DA">
            <w:pPr>
              <w:tabs>
                <w:tab w:val="left" w:pos="900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G318交通干线两侧35m范围</w:t>
            </w:r>
            <w:r>
              <w:rPr>
                <w:rFonts w:hint="eastAsia" w:cs="Times New Roman"/>
                <w:color w:val="auto"/>
                <w:kern w:val="0"/>
                <w:szCs w:val="21"/>
                <w:highlight w:val="none"/>
                <w:lang w:val="en-US" w:eastAsia="zh-CN"/>
              </w:rPr>
              <w:t>内</w:t>
            </w:r>
          </w:p>
        </w:tc>
        <w:tc>
          <w:tcPr>
            <w:tcW w:w="821" w:type="pct"/>
            <w:vAlign w:val="center"/>
          </w:tcPr>
          <w:p w14:paraId="7D2A71E0">
            <w:pPr>
              <w:tabs>
                <w:tab w:val="left" w:pos="9000"/>
              </w:tabs>
              <w:jc w:val="center"/>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4</w:t>
            </w:r>
            <w:r>
              <w:rPr>
                <w:rFonts w:hint="default" w:ascii="Times New Roman" w:hAnsi="Times New Roman" w:cs="Times New Roman"/>
                <w:color w:val="auto"/>
                <w:kern w:val="0"/>
                <w:szCs w:val="21"/>
                <w:highlight w:val="none"/>
              </w:rPr>
              <w:t>类区</w:t>
            </w:r>
          </w:p>
        </w:tc>
        <w:tc>
          <w:tcPr>
            <w:tcW w:w="418" w:type="pct"/>
            <w:vAlign w:val="center"/>
          </w:tcPr>
          <w:p w14:paraId="0C2A67DC">
            <w:pPr>
              <w:tabs>
                <w:tab w:val="left" w:pos="9000"/>
              </w:tabs>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65</w:t>
            </w:r>
          </w:p>
        </w:tc>
        <w:tc>
          <w:tcPr>
            <w:tcW w:w="435" w:type="pct"/>
            <w:vAlign w:val="center"/>
          </w:tcPr>
          <w:p w14:paraId="3435887F">
            <w:pPr>
              <w:tabs>
                <w:tab w:val="left" w:pos="9000"/>
              </w:tabs>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55</w:t>
            </w:r>
          </w:p>
        </w:tc>
        <w:tc>
          <w:tcPr>
            <w:tcW w:w="1686" w:type="pct"/>
            <w:vMerge w:val="continue"/>
            <w:vAlign w:val="center"/>
          </w:tcPr>
          <w:p w14:paraId="0C1DFA65">
            <w:pPr>
              <w:tabs>
                <w:tab w:val="left" w:pos="9000"/>
              </w:tabs>
              <w:jc w:val="center"/>
              <w:rPr>
                <w:rFonts w:hint="default" w:ascii="Times New Roman" w:hAnsi="Times New Roman" w:cs="Times New Roman"/>
                <w:color w:val="auto"/>
                <w:kern w:val="0"/>
                <w:szCs w:val="21"/>
                <w:highlight w:val="none"/>
              </w:rPr>
            </w:pPr>
          </w:p>
        </w:tc>
      </w:tr>
    </w:tbl>
    <w:p w14:paraId="220CBB5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p w14:paraId="5D7CA597">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景区内固体废物主要包括生活垃圾、餐厨垃圾及废油，无危险废物，执行《中华人民共和国固体废物污染环境防治法》（2020年9月1日施行）及《城市生活垃圾管理办法》（建设部第157号令）和《生活垃圾填埋场污染控制标准》（GB16889-2008）。</w:t>
      </w:r>
    </w:p>
    <w:p w14:paraId="11E984A6">
      <w:pPr>
        <w:pStyle w:val="3"/>
        <w:spacing w:before="156" w:after="156"/>
        <w:rPr>
          <w:rFonts w:hint="default" w:ascii="Times New Roman" w:hAnsi="Times New Roman" w:cs="Times New Roman"/>
          <w:color w:val="auto"/>
          <w:highlight w:val="none"/>
        </w:rPr>
      </w:pPr>
      <w:bookmarkStart w:id="74" w:name="_Toc26180"/>
      <w:r>
        <w:rPr>
          <w:rFonts w:hint="default" w:ascii="Times New Roman" w:hAnsi="Times New Roman" w:cs="Times New Roman"/>
          <w:color w:val="auto"/>
          <w:highlight w:val="none"/>
        </w:rPr>
        <w:t>环境保护目标</w:t>
      </w:r>
      <w:bookmarkEnd w:id="74"/>
    </w:p>
    <w:p w14:paraId="150CDE96">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rPr>
        <w:t>规划景区位于西藏</w:t>
      </w:r>
      <w:r>
        <w:rPr>
          <w:rFonts w:hint="default" w:ascii="Times New Roman" w:hAnsi="Times New Roman" w:cs="Times New Roman"/>
          <w:color w:val="auto"/>
          <w:kern w:val="0"/>
          <w:sz w:val="24"/>
          <w:highlight w:val="none"/>
          <w:lang w:eastAsia="zh-CN"/>
        </w:rPr>
        <w:t>林芝市波密县扎木镇、古乡</w:t>
      </w:r>
      <w:r>
        <w:rPr>
          <w:rFonts w:hint="default" w:ascii="Times New Roman" w:hAnsi="Times New Roman" w:cs="Times New Roman"/>
          <w:color w:val="auto"/>
          <w:kern w:val="0"/>
          <w:sz w:val="24"/>
          <w:highlight w:val="none"/>
        </w:rPr>
        <w:t>，同时</w:t>
      </w:r>
      <w:r>
        <w:rPr>
          <w:rFonts w:hint="default" w:ascii="Times New Roman" w:hAnsi="Times New Roman" w:cs="Times New Roman"/>
          <w:color w:val="auto"/>
          <w:kern w:val="0"/>
          <w:sz w:val="24"/>
          <w:highlight w:val="none"/>
          <w:lang w:val="en-US" w:eastAsia="zh-CN"/>
        </w:rPr>
        <w:t>涉及</w:t>
      </w:r>
      <w:r>
        <w:rPr>
          <w:rFonts w:hint="default" w:ascii="Times New Roman" w:hAnsi="Times New Roman" w:cs="Times New Roman"/>
          <w:color w:val="auto"/>
          <w:kern w:val="0"/>
          <w:sz w:val="24"/>
          <w:highlight w:val="none"/>
        </w:rPr>
        <w:t>雅鲁藏布大峡谷国家级自然保护区、西藏嘎朗国家湿地公园</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生态保护红线</w:t>
      </w:r>
      <w:r>
        <w:rPr>
          <w:rFonts w:hint="default" w:ascii="Times New Roman" w:hAnsi="Times New Roman" w:cs="Times New Roman"/>
          <w:color w:val="auto"/>
          <w:kern w:val="0"/>
          <w:sz w:val="24"/>
          <w:highlight w:val="none"/>
        </w:rPr>
        <w:t>，规划区外</w:t>
      </w:r>
      <w:r>
        <w:rPr>
          <w:rFonts w:hint="default" w:ascii="Times New Roman" w:hAnsi="Times New Roman" w:cs="Times New Roman"/>
          <w:color w:val="auto"/>
          <w:kern w:val="0"/>
          <w:sz w:val="24"/>
          <w:highlight w:val="none"/>
          <w:lang w:val="en-US" w:eastAsia="zh-CN"/>
        </w:rPr>
        <w:t>北侧为帕隆藏布，规划区外东侧分布有</w:t>
      </w:r>
      <w:r>
        <w:rPr>
          <w:rFonts w:hint="default" w:ascii="Times New Roman" w:hAnsi="Times New Roman" w:cs="Times New Roman"/>
          <w:color w:val="auto"/>
          <w:kern w:val="0"/>
          <w:sz w:val="24"/>
          <w:highlight w:val="none"/>
          <w:lang w:eastAsia="zh-CN"/>
        </w:rPr>
        <w:t>扎木镇</w:t>
      </w:r>
      <w:r>
        <w:rPr>
          <w:rFonts w:hint="default" w:ascii="Times New Roman" w:hAnsi="Times New Roman" w:cs="Times New Roman"/>
          <w:color w:val="auto"/>
          <w:kern w:val="0"/>
          <w:sz w:val="24"/>
          <w:highlight w:val="none"/>
          <w:lang w:val="en-US" w:eastAsia="zh-CN"/>
        </w:rPr>
        <w:t>居民，南侧分布有岗巴村、米充、旦卡居民。规划区内散布有居民点。</w:t>
      </w:r>
    </w:p>
    <w:p w14:paraId="48B1FEE5">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生态环境主要</w:t>
      </w:r>
      <w:r>
        <w:rPr>
          <w:rFonts w:hint="default" w:ascii="Times New Roman" w:hAnsi="Times New Roman" w:cs="Times New Roman"/>
          <w:color w:val="auto"/>
          <w:kern w:val="0"/>
          <w:sz w:val="24"/>
          <w:highlight w:val="none"/>
          <w:lang w:val="en-US" w:eastAsia="zh-CN"/>
        </w:rPr>
        <w:t>保护目标为雅鲁藏布大峡谷国家级自然保护区</w:t>
      </w:r>
      <w:r>
        <w:rPr>
          <w:rFonts w:hint="eastAsia" w:cs="Times New Roman"/>
          <w:color w:val="auto"/>
          <w:kern w:val="0"/>
          <w:sz w:val="24"/>
          <w:highlight w:val="none"/>
          <w:lang w:val="en-US" w:eastAsia="zh-CN"/>
        </w:rPr>
        <w:t>、西藏嘎朗国家湿地公园、生态保护红线及该区域的保护动植物</w:t>
      </w:r>
      <w:r>
        <w:rPr>
          <w:rFonts w:hint="default" w:ascii="Times New Roman" w:hAnsi="Times New Roman" w:cs="Times New Roman"/>
          <w:color w:val="auto"/>
          <w:kern w:val="0"/>
          <w:sz w:val="24"/>
          <w:highlight w:val="none"/>
        </w:rPr>
        <w:t>。</w:t>
      </w:r>
    </w:p>
    <w:p w14:paraId="6F8C7693">
      <w:pPr>
        <w:spacing w:line="360" w:lineRule="auto"/>
        <w:ind w:firstLine="480" w:firstLineChars="200"/>
        <w:rPr>
          <w:rFonts w:hint="default" w:ascii="Times New Roman" w:hAnsi="Times New Roman" w:cs="Times New Roman"/>
          <w:color w:val="auto"/>
          <w:highlight w:val="none"/>
        </w:rPr>
      </w:pPr>
      <w:r>
        <w:rPr>
          <w:rFonts w:hint="eastAsia" w:cs="Times New Roman"/>
          <w:color w:val="auto"/>
          <w:kern w:val="0"/>
          <w:sz w:val="24"/>
          <w:highlight w:val="none"/>
          <w:lang w:val="en-US" w:eastAsia="zh-CN"/>
        </w:rPr>
        <w:t>规划区与相关生态敏感因素相对位置关系分析一览表详见下表</w:t>
      </w:r>
      <w:r>
        <w:rPr>
          <w:rFonts w:hint="default" w:ascii="Times New Roman" w:hAnsi="Times New Roman" w:cs="Times New Roman"/>
          <w:color w:val="auto"/>
          <w:kern w:val="0"/>
          <w:sz w:val="24"/>
          <w:highlight w:val="none"/>
        </w:rPr>
        <w:t>1.10-1</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rPr>
        <w:t>本次评价环境保护目标情况见表1.10-</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w:t>
      </w:r>
    </w:p>
    <w:p w14:paraId="7AADC801">
      <w:pPr>
        <w:pStyle w:val="36"/>
        <w:rPr>
          <w:rFonts w:hint="default" w:ascii="Times New Roman" w:hAnsi="Times New Roman" w:cs="Times New Roman"/>
          <w:color w:val="auto"/>
          <w:highlight w:val="none"/>
          <w:lang w:val="en-US"/>
        </w:rPr>
        <w:sectPr>
          <w:footerReference r:id="rId5" w:type="default"/>
          <w:pgSz w:w="11906" w:h="16838"/>
          <w:pgMar w:top="1474" w:right="1474" w:bottom="1474" w:left="1474" w:header="1134" w:footer="850" w:gutter="0"/>
          <w:pgBorders>
            <w:top w:val="none" w:sz="0" w:space="0"/>
            <w:left w:val="none" w:sz="0" w:space="0"/>
            <w:bottom w:val="none" w:sz="0" w:space="0"/>
            <w:right w:val="none" w:sz="0" w:space="0"/>
          </w:pgBorders>
          <w:pgNumType w:start="1"/>
          <w:cols w:space="720" w:num="1"/>
          <w:docGrid w:type="lines" w:linePitch="312" w:charSpace="0"/>
        </w:sectPr>
      </w:pPr>
    </w:p>
    <w:p w14:paraId="6EAAB52A">
      <w:pPr>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 xml:space="preserve">表1.10-1  </w:t>
      </w:r>
      <w:r>
        <w:rPr>
          <w:rFonts w:hint="eastAsia" w:ascii="Times New Roman" w:hAnsi="Times New Roman" w:eastAsia="黑体" w:cs="Times New Roman"/>
          <w:color w:val="auto"/>
          <w:kern w:val="0"/>
          <w:szCs w:val="21"/>
          <w:highlight w:val="none"/>
          <w:lang w:val="en-US" w:eastAsia="zh-CN"/>
        </w:rPr>
        <w:t>规划区与相关生态敏感因素相对位置关系分析一览表</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654"/>
        <w:gridCol w:w="11010"/>
        <w:gridCol w:w="866"/>
      </w:tblGrid>
      <w:tr w14:paraId="268E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 w:type="pct"/>
            <w:vMerge w:val="restart"/>
            <w:vAlign w:val="center"/>
          </w:tcPr>
          <w:p w14:paraId="77F31ECC">
            <w:pPr>
              <w:widowControl/>
              <w:adjustRightIn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序号</w:t>
            </w:r>
          </w:p>
        </w:tc>
        <w:tc>
          <w:tcPr>
            <w:tcW w:w="586" w:type="pct"/>
            <w:vMerge w:val="restart"/>
            <w:vAlign w:val="center"/>
          </w:tcPr>
          <w:p w14:paraId="2F5374DD">
            <w:pPr>
              <w:widowControl/>
              <w:adjustRightIn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限制性要素</w:t>
            </w:r>
          </w:p>
        </w:tc>
        <w:tc>
          <w:tcPr>
            <w:tcW w:w="4208" w:type="pct"/>
            <w:gridSpan w:val="2"/>
            <w:vAlign w:val="center"/>
          </w:tcPr>
          <w:p w14:paraId="67AC350A">
            <w:pPr>
              <w:widowControl/>
              <w:adjustRightIn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符合性分析</w:t>
            </w:r>
          </w:p>
        </w:tc>
      </w:tr>
      <w:tr w14:paraId="0805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 w:type="pct"/>
            <w:vMerge w:val="continue"/>
            <w:vAlign w:val="center"/>
          </w:tcPr>
          <w:p w14:paraId="7C9ABB89">
            <w:pPr>
              <w:widowControl/>
              <w:adjustRightInd w:val="0"/>
              <w:jc w:val="center"/>
              <w:rPr>
                <w:rFonts w:hint="eastAsia" w:ascii="Times New Roman" w:hAnsi="Times New Roman" w:cs="Times New Roman"/>
                <w:color w:val="auto"/>
                <w:szCs w:val="21"/>
                <w:highlight w:val="none"/>
                <w:lang w:val="en-US" w:eastAsia="zh-CN"/>
              </w:rPr>
            </w:pPr>
          </w:p>
        </w:tc>
        <w:tc>
          <w:tcPr>
            <w:tcW w:w="586" w:type="pct"/>
            <w:vMerge w:val="continue"/>
            <w:vAlign w:val="center"/>
          </w:tcPr>
          <w:p w14:paraId="47B7B1A0">
            <w:pPr>
              <w:widowControl/>
              <w:adjustRightInd w:val="0"/>
              <w:jc w:val="center"/>
              <w:rPr>
                <w:rFonts w:hint="eastAsia" w:ascii="Times New Roman" w:hAnsi="Times New Roman" w:cs="Times New Roman"/>
                <w:color w:val="auto"/>
                <w:szCs w:val="21"/>
                <w:highlight w:val="none"/>
                <w:lang w:val="en-US" w:eastAsia="zh-CN"/>
              </w:rPr>
            </w:pPr>
          </w:p>
        </w:tc>
        <w:tc>
          <w:tcPr>
            <w:tcW w:w="3901" w:type="pct"/>
            <w:vAlign w:val="center"/>
          </w:tcPr>
          <w:p w14:paraId="07B3A105">
            <w:pPr>
              <w:widowControl/>
              <w:adjustRightIn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具体概况</w:t>
            </w:r>
          </w:p>
        </w:tc>
        <w:tc>
          <w:tcPr>
            <w:tcW w:w="307" w:type="pct"/>
            <w:vAlign w:val="center"/>
          </w:tcPr>
          <w:p w14:paraId="667C288F">
            <w:pPr>
              <w:widowControl/>
              <w:adjustRightIn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符合性</w:t>
            </w:r>
          </w:p>
        </w:tc>
      </w:tr>
      <w:tr w14:paraId="147D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 w:type="pct"/>
            <w:vAlign w:val="center"/>
          </w:tcPr>
          <w:p w14:paraId="62989CE8">
            <w:pPr>
              <w:widowControl/>
              <w:adjustRightIn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w:t>
            </w:r>
          </w:p>
        </w:tc>
        <w:tc>
          <w:tcPr>
            <w:tcW w:w="586" w:type="pct"/>
            <w:vAlign w:val="center"/>
          </w:tcPr>
          <w:p w14:paraId="729ECD44">
            <w:pPr>
              <w:widowControl/>
              <w:adjustRightIn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耕地和永久基本农田</w:t>
            </w:r>
          </w:p>
        </w:tc>
        <w:tc>
          <w:tcPr>
            <w:tcW w:w="3901" w:type="pct"/>
            <w:vAlign w:val="center"/>
          </w:tcPr>
          <w:p w14:paraId="52CED2DE">
            <w:pPr>
              <w:widowControl/>
              <w:adjustRightInd w:val="0"/>
              <w:jc w:val="both"/>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景区新增建设用地不占用耕地和永久基本农田</w:t>
            </w:r>
          </w:p>
        </w:tc>
        <w:tc>
          <w:tcPr>
            <w:tcW w:w="307" w:type="pct"/>
            <w:vAlign w:val="center"/>
          </w:tcPr>
          <w:p w14:paraId="2ECC11EC">
            <w:pPr>
              <w:widowControl/>
              <w:adjustRightIn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符合</w:t>
            </w:r>
          </w:p>
        </w:tc>
      </w:tr>
      <w:tr w14:paraId="7891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 w:type="pct"/>
            <w:vAlign w:val="center"/>
          </w:tcPr>
          <w:p w14:paraId="70B98CB4">
            <w:pPr>
              <w:widowControl/>
              <w:adjustRightIn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586" w:type="pct"/>
            <w:vAlign w:val="center"/>
          </w:tcPr>
          <w:p w14:paraId="15433E63">
            <w:pPr>
              <w:widowControl/>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生态保护红线</w:t>
            </w:r>
          </w:p>
        </w:tc>
        <w:tc>
          <w:tcPr>
            <w:tcW w:w="3901" w:type="pct"/>
            <w:vAlign w:val="center"/>
          </w:tcPr>
          <w:p w14:paraId="0C286ABA">
            <w:pPr>
              <w:widowControl/>
              <w:adjustRightInd w:val="0"/>
              <w:jc w:val="both"/>
              <w:rPr>
                <w:rFonts w:hint="eastAsia" w:cs="Times New Roman"/>
                <w:color w:val="auto"/>
                <w:szCs w:val="21"/>
                <w:highlight w:val="none"/>
                <w:lang w:eastAsia="zh-CN"/>
              </w:rPr>
            </w:pPr>
            <w:r>
              <w:rPr>
                <w:rFonts w:hint="default" w:ascii="Times New Roman" w:hAnsi="Times New Roman" w:cs="Times New Roman"/>
                <w:color w:val="auto"/>
                <w:szCs w:val="21"/>
                <w:highlight w:val="none"/>
              </w:rPr>
              <w:t>景区新增建设用地不占用生态保护红线</w:t>
            </w:r>
            <w:r>
              <w:rPr>
                <w:rFonts w:hint="eastAsia" w:cs="Times New Roman"/>
                <w:color w:val="auto"/>
                <w:szCs w:val="21"/>
                <w:highlight w:val="none"/>
                <w:lang w:eastAsia="zh-CN"/>
              </w:rPr>
              <w:t>；</w:t>
            </w:r>
          </w:p>
          <w:p w14:paraId="449BBAA3">
            <w:pPr>
              <w:widowControl/>
              <w:adjustRightInd w:val="0"/>
              <w:jc w:val="both"/>
              <w:rPr>
                <w:rFonts w:hint="eastAsia" w:cs="Times New Roman"/>
                <w:color w:val="auto"/>
                <w:szCs w:val="21"/>
                <w:highlight w:val="none"/>
                <w:lang w:eastAsia="zh-CN"/>
              </w:rPr>
            </w:pPr>
            <w:r>
              <w:rPr>
                <w:rFonts w:hint="default" w:ascii="Times New Roman" w:hAnsi="Times New Roman" w:cs="Times New Roman"/>
                <w:color w:val="auto"/>
                <w:szCs w:val="21"/>
                <w:highlight w:val="none"/>
              </w:rPr>
              <w:t>景区范围不涉及生态保护红线中的核心保护区</w:t>
            </w:r>
            <w:r>
              <w:rPr>
                <w:rFonts w:hint="eastAsia" w:cs="Times New Roman"/>
                <w:color w:val="auto"/>
                <w:szCs w:val="21"/>
                <w:highlight w:val="none"/>
                <w:lang w:eastAsia="zh-CN"/>
              </w:rPr>
              <w:t>；</w:t>
            </w:r>
          </w:p>
          <w:p w14:paraId="5CE174CF">
            <w:pPr>
              <w:widowControl/>
              <w:adjustRightInd w:val="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生态保护红线中的一般控制区涉及有观光项目，为森林景观提升和保留的草湖</w:t>
            </w:r>
            <w:r>
              <w:rPr>
                <w:rFonts w:hint="eastAsia" w:cs="Times New Roman"/>
                <w:color w:val="auto"/>
                <w:szCs w:val="21"/>
                <w:highlight w:val="none"/>
                <w:lang w:val="en-US" w:eastAsia="zh-CN"/>
              </w:rPr>
              <w:t>防火</w:t>
            </w:r>
            <w:r>
              <w:rPr>
                <w:rFonts w:hint="default" w:ascii="Times New Roman" w:hAnsi="Times New Roman" w:cs="Times New Roman"/>
                <w:color w:val="auto"/>
                <w:szCs w:val="21"/>
                <w:highlight w:val="none"/>
              </w:rPr>
              <w:t>栈道。</w:t>
            </w:r>
          </w:p>
        </w:tc>
        <w:tc>
          <w:tcPr>
            <w:tcW w:w="307" w:type="pct"/>
            <w:vAlign w:val="center"/>
          </w:tcPr>
          <w:p w14:paraId="5F8BA625">
            <w:pPr>
              <w:widowControl/>
              <w:adjustRightInd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符合</w:t>
            </w:r>
          </w:p>
        </w:tc>
      </w:tr>
      <w:tr w14:paraId="3243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 w:type="pct"/>
            <w:vAlign w:val="center"/>
          </w:tcPr>
          <w:p w14:paraId="553790E5">
            <w:pPr>
              <w:widowControl/>
              <w:adjustRightIn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p>
        </w:tc>
        <w:tc>
          <w:tcPr>
            <w:tcW w:w="586" w:type="pct"/>
            <w:vAlign w:val="center"/>
          </w:tcPr>
          <w:p w14:paraId="771A5A80">
            <w:pPr>
              <w:widowControl/>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国家级湿地自然公园</w:t>
            </w:r>
          </w:p>
        </w:tc>
        <w:tc>
          <w:tcPr>
            <w:tcW w:w="3901" w:type="pct"/>
            <w:vAlign w:val="center"/>
          </w:tcPr>
          <w:p w14:paraId="115185C8">
            <w:pPr>
              <w:widowControl/>
              <w:adjustRightInd w:val="0"/>
              <w:jc w:val="both"/>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国家级湿地自然公园中的非核心保护区涉及草湖</w:t>
            </w:r>
            <w:r>
              <w:rPr>
                <w:rFonts w:hint="eastAsia" w:cs="Times New Roman"/>
                <w:color w:val="auto"/>
                <w:szCs w:val="21"/>
                <w:highlight w:val="none"/>
                <w:lang w:val="en-US" w:eastAsia="zh-CN"/>
              </w:rPr>
              <w:t>四季（依托现有观景平台，打造网红拍照点）、草湖防火栈道</w:t>
            </w:r>
            <w:r>
              <w:rPr>
                <w:rFonts w:hint="default" w:ascii="Times New Roman" w:hAnsi="Times New Roman" w:cs="Times New Roman"/>
                <w:color w:val="auto"/>
                <w:szCs w:val="21"/>
                <w:highlight w:val="none"/>
              </w:rPr>
              <w:t>项目</w:t>
            </w:r>
            <w:r>
              <w:rPr>
                <w:rFonts w:hint="eastAsia" w:cs="Times New Roman"/>
                <w:color w:val="auto"/>
                <w:szCs w:val="21"/>
                <w:highlight w:val="none"/>
                <w:lang w:eastAsia="zh-CN"/>
              </w:rPr>
              <w:t>。</w:t>
            </w:r>
          </w:p>
        </w:tc>
        <w:tc>
          <w:tcPr>
            <w:tcW w:w="307" w:type="pct"/>
            <w:vAlign w:val="center"/>
          </w:tcPr>
          <w:p w14:paraId="6A987A45">
            <w:pPr>
              <w:widowControl/>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符合</w:t>
            </w:r>
          </w:p>
        </w:tc>
      </w:tr>
      <w:tr w14:paraId="5F3A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 w:type="pct"/>
            <w:vAlign w:val="center"/>
          </w:tcPr>
          <w:p w14:paraId="6CFF4301">
            <w:pPr>
              <w:widowControl/>
              <w:adjustRightIn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w:t>
            </w:r>
          </w:p>
        </w:tc>
        <w:tc>
          <w:tcPr>
            <w:tcW w:w="586" w:type="pct"/>
            <w:vAlign w:val="center"/>
          </w:tcPr>
          <w:p w14:paraId="7BAA2E86">
            <w:pPr>
              <w:widowControl/>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国家级自然保护区</w:t>
            </w:r>
          </w:p>
        </w:tc>
        <w:tc>
          <w:tcPr>
            <w:tcW w:w="3901" w:type="pct"/>
            <w:vAlign w:val="center"/>
          </w:tcPr>
          <w:p w14:paraId="3E4BD5B9">
            <w:pPr>
              <w:widowControl/>
              <w:adjustRightInd w:val="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景区范围不涉及国家级自然保护区核心保护区；</w:t>
            </w:r>
          </w:p>
          <w:p w14:paraId="05E82206">
            <w:pPr>
              <w:widowControl/>
              <w:adjustRightInd w:val="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国家级自然保护区非核心保护区内</w:t>
            </w:r>
            <w:r>
              <w:rPr>
                <w:rFonts w:hint="eastAsia" w:cs="Times New Roman"/>
                <w:color w:val="auto"/>
                <w:szCs w:val="21"/>
                <w:highlight w:val="none"/>
                <w:lang w:eastAsia="zh-CN"/>
              </w:rPr>
              <w:t>（</w:t>
            </w:r>
            <w:r>
              <w:rPr>
                <w:rFonts w:hint="eastAsia" w:cs="Times New Roman"/>
                <w:color w:val="auto"/>
                <w:szCs w:val="21"/>
                <w:highlight w:val="none"/>
                <w:lang w:val="en-US" w:eastAsia="zh-CN"/>
              </w:rPr>
              <w:t>实验区</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，涉及岗巴检票口和低碳研学营两个节点的建设用地</w:t>
            </w:r>
            <w:r>
              <w:rPr>
                <w:rFonts w:hint="eastAsia" w:cs="Times New Roman"/>
                <w:color w:val="auto"/>
                <w:szCs w:val="21"/>
                <w:highlight w:val="none"/>
                <w:lang w:eastAsia="zh-CN"/>
              </w:rPr>
              <w:t>，</w:t>
            </w:r>
            <w:r>
              <w:rPr>
                <w:rFonts w:hint="eastAsia" w:cs="Times New Roman"/>
                <w:color w:val="auto"/>
                <w:szCs w:val="21"/>
                <w:highlight w:val="none"/>
                <w:lang w:val="en-US" w:eastAsia="zh-CN"/>
              </w:rPr>
              <w:t>均为现状提升</w:t>
            </w:r>
            <w:r>
              <w:rPr>
                <w:rFonts w:hint="default" w:ascii="Times New Roman" w:hAnsi="Times New Roman" w:cs="Times New Roman"/>
                <w:color w:val="auto"/>
                <w:szCs w:val="21"/>
                <w:highlight w:val="none"/>
              </w:rPr>
              <w:t>，主要为完善景区检票、泊车、环卫等功能。</w:t>
            </w:r>
          </w:p>
        </w:tc>
        <w:tc>
          <w:tcPr>
            <w:tcW w:w="307" w:type="pct"/>
            <w:vAlign w:val="center"/>
          </w:tcPr>
          <w:p w14:paraId="303E3436">
            <w:pPr>
              <w:widowControl/>
              <w:adjustRightIn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符合</w:t>
            </w:r>
          </w:p>
        </w:tc>
      </w:tr>
      <w:tr w14:paraId="4887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 w:type="pct"/>
            <w:vAlign w:val="center"/>
          </w:tcPr>
          <w:p w14:paraId="6AB0A6BA">
            <w:pPr>
              <w:widowControl/>
              <w:adjustRightIn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586" w:type="pct"/>
            <w:vAlign w:val="center"/>
          </w:tcPr>
          <w:p w14:paraId="0E525EA7">
            <w:pPr>
              <w:widowControl/>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林地保护等级</w:t>
            </w:r>
          </w:p>
        </w:tc>
        <w:tc>
          <w:tcPr>
            <w:tcW w:w="3901" w:type="pct"/>
            <w:vAlign w:val="center"/>
          </w:tcPr>
          <w:p w14:paraId="1FC118B0">
            <w:pPr>
              <w:widowControl/>
              <w:adjustRightInd w:val="0"/>
              <w:jc w:val="both"/>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规划</w:t>
            </w:r>
            <w:r>
              <w:rPr>
                <w:rFonts w:hint="default" w:ascii="Times New Roman" w:hAnsi="Times New Roman" w:cs="Times New Roman"/>
                <w:color w:val="auto"/>
                <w:szCs w:val="21"/>
                <w:highlight w:val="none"/>
              </w:rPr>
              <w:t>景区范围内</w:t>
            </w:r>
            <w:r>
              <w:rPr>
                <w:rFonts w:hint="eastAsia" w:cs="Times New Roman"/>
                <w:color w:val="auto"/>
                <w:szCs w:val="21"/>
                <w:highlight w:val="none"/>
                <w:lang w:val="en-US" w:eastAsia="zh-CN"/>
              </w:rPr>
              <w:t>涉及二级、三级林地</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新增建设用地占用三级林地</w:t>
            </w:r>
            <w:r>
              <w:rPr>
                <w:rFonts w:hint="eastAsia" w:cs="Times New Roman"/>
                <w:color w:val="auto"/>
                <w:szCs w:val="21"/>
                <w:highlight w:val="none"/>
                <w:lang w:eastAsia="zh-CN"/>
              </w:rPr>
              <w:t>。</w:t>
            </w:r>
          </w:p>
        </w:tc>
        <w:tc>
          <w:tcPr>
            <w:tcW w:w="307" w:type="pct"/>
            <w:vAlign w:val="center"/>
          </w:tcPr>
          <w:p w14:paraId="3BE71538">
            <w:pPr>
              <w:widowControl/>
              <w:adjustRightIn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符合</w:t>
            </w:r>
          </w:p>
        </w:tc>
      </w:tr>
      <w:tr w14:paraId="69F5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 w:type="pct"/>
            <w:vAlign w:val="center"/>
          </w:tcPr>
          <w:p w14:paraId="41F868CB">
            <w:pPr>
              <w:widowControl/>
              <w:adjustRightIn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6</w:t>
            </w:r>
          </w:p>
        </w:tc>
        <w:tc>
          <w:tcPr>
            <w:tcW w:w="586" w:type="pct"/>
            <w:vAlign w:val="center"/>
          </w:tcPr>
          <w:p w14:paraId="1E74D152">
            <w:pPr>
              <w:widowControl/>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基本草原</w:t>
            </w:r>
          </w:p>
        </w:tc>
        <w:tc>
          <w:tcPr>
            <w:tcW w:w="3901" w:type="pct"/>
            <w:vAlign w:val="center"/>
          </w:tcPr>
          <w:p w14:paraId="1CAF7E9F">
            <w:pPr>
              <w:widowControl/>
              <w:adjustRightInd w:val="0"/>
              <w:jc w:val="both"/>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规划</w:t>
            </w:r>
            <w:r>
              <w:rPr>
                <w:rFonts w:hint="default" w:ascii="Times New Roman" w:hAnsi="Times New Roman" w:cs="Times New Roman"/>
                <w:color w:val="auto"/>
                <w:szCs w:val="21"/>
                <w:highlight w:val="none"/>
              </w:rPr>
              <w:t>景区范围内不涉及基本草原。</w:t>
            </w:r>
          </w:p>
        </w:tc>
        <w:tc>
          <w:tcPr>
            <w:tcW w:w="307" w:type="pct"/>
            <w:vAlign w:val="center"/>
          </w:tcPr>
          <w:p w14:paraId="15919924">
            <w:pPr>
              <w:widowControl/>
              <w:adjustRightIn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符合</w:t>
            </w:r>
          </w:p>
        </w:tc>
      </w:tr>
    </w:tbl>
    <w:p w14:paraId="19C3BD6A">
      <w:pPr>
        <w:spacing w:line="360" w:lineRule="auto"/>
        <w:jc w:val="center"/>
        <w:rPr>
          <w:rFonts w:hint="default" w:ascii="Times New Roman" w:hAnsi="Times New Roman" w:eastAsia="黑体" w:cs="Times New Roman"/>
          <w:color w:val="auto"/>
          <w:kern w:val="0"/>
          <w:szCs w:val="21"/>
          <w:highlight w:val="none"/>
        </w:rPr>
      </w:pPr>
    </w:p>
    <w:p w14:paraId="77DED010">
      <w:pPr>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表1.10-1  本次评价环境保护目标一览表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473"/>
        <w:gridCol w:w="1425"/>
        <w:gridCol w:w="1425"/>
        <w:gridCol w:w="1143"/>
        <w:gridCol w:w="858"/>
        <w:gridCol w:w="4283"/>
        <w:gridCol w:w="2788"/>
      </w:tblGrid>
      <w:tr w14:paraId="35A8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restart"/>
            <w:vAlign w:val="center"/>
          </w:tcPr>
          <w:p w14:paraId="125A501F">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类别</w:t>
            </w:r>
          </w:p>
        </w:tc>
        <w:tc>
          <w:tcPr>
            <w:tcW w:w="522" w:type="pct"/>
            <w:vMerge w:val="restart"/>
            <w:vAlign w:val="center"/>
          </w:tcPr>
          <w:p w14:paraId="2DC0739A">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环境保护目标</w:t>
            </w:r>
          </w:p>
        </w:tc>
        <w:tc>
          <w:tcPr>
            <w:tcW w:w="1010" w:type="pct"/>
            <w:gridSpan w:val="2"/>
            <w:vAlign w:val="center"/>
          </w:tcPr>
          <w:p w14:paraId="4B1FB994">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经纬度</w:t>
            </w:r>
          </w:p>
        </w:tc>
        <w:tc>
          <w:tcPr>
            <w:tcW w:w="405" w:type="pct"/>
            <w:vMerge w:val="restart"/>
            <w:vAlign w:val="center"/>
          </w:tcPr>
          <w:p w14:paraId="1B1F4C6B">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方位</w:t>
            </w:r>
          </w:p>
        </w:tc>
        <w:tc>
          <w:tcPr>
            <w:tcW w:w="304" w:type="pct"/>
            <w:vMerge w:val="restart"/>
            <w:vAlign w:val="center"/>
          </w:tcPr>
          <w:p w14:paraId="1AC35CB2">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距离</w:t>
            </w:r>
          </w:p>
        </w:tc>
        <w:tc>
          <w:tcPr>
            <w:tcW w:w="1518" w:type="pct"/>
            <w:vMerge w:val="restart"/>
            <w:vAlign w:val="center"/>
          </w:tcPr>
          <w:p w14:paraId="53C7D881">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1"/>
                <w:szCs w:val="21"/>
                <w:highlight w:val="none"/>
              </w:rPr>
              <w:t>保护内容/规模/特性</w:t>
            </w:r>
          </w:p>
        </w:tc>
        <w:tc>
          <w:tcPr>
            <w:tcW w:w="988" w:type="pct"/>
            <w:vMerge w:val="restart"/>
            <w:vAlign w:val="center"/>
          </w:tcPr>
          <w:p w14:paraId="34C99D6A">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环境功能区划</w:t>
            </w:r>
          </w:p>
        </w:tc>
      </w:tr>
      <w:tr w14:paraId="1696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226C09C3">
            <w:pPr>
              <w:widowControl/>
              <w:jc w:val="center"/>
              <w:rPr>
                <w:rFonts w:hint="default" w:ascii="Times New Roman" w:hAnsi="Times New Roman" w:cs="Times New Roman"/>
                <w:color w:val="auto"/>
                <w:szCs w:val="21"/>
                <w:highlight w:val="none"/>
              </w:rPr>
            </w:pPr>
          </w:p>
        </w:tc>
        <w:tc>
          <w:tcPr>
            <w:tcW w:w="522" w:type="pct"/>
            <w:vMerge w:val="continue"/>
            <w:vAlign w:val="center"/>
          </w:tcPr>
          <w:p w14:paraId="25BF43FA">
            <w:pPr>
              <w:widowControl/>
              <w:jc w:val="center"/>
              <w:rPr>
                <w:rFonts w:hint="default" w:ascii="Times New Roman" w:hAnsi="Times New Roman" w:cs="Times New Roman"/>
                <w:color w:val="auto"/>
                <w:szCs w:val="21"/>
                <w:highlight w:val="none"/>
              </w:rPr>
            </w:pPr>
          </w:p>
        </w:tc>
        <w:tc>
          <w:tcPr>
            <w:tcW w:w="505" w:type="pct"/>
            <w:vAlign w:val="center"/>
          </w:tcPr>
          <w:p w14:paraId="359F81E5">
            <w:pPr>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东经</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eastAsia="zh-CN"/>
              </w:rPr>
              <w:t>）</w:t>
            </w:r>
          </w:p>
        </w:tc>
        <w:tc>
          <w:tcPr>
            <w:tcW w:w="505" w:type="pct"/>
            <w:vAlign w:val="center"/>
          </w:tcPr>
          <w:p w14:paraId="4347113F">
            <w:pPr>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北纬</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eastAsia="zh-CN"/>
              </w:rPr>
              <w:t>）</w:t>
            </w:r>
          </w:p>
        </w:tc>
        <w:tc>
          <w:tcPr>
            <w:tcW w:w="405" w:type="pct"/>
            <w:vMerge w:val="continue"/>
            <w:vAlign w:val="center"/>
          </w:tcPr>
          <w:p w14:paraId="186D7CAC">
            <w:pPr>
              <w:widowControl/>
              <w:jc w:val="center"/>
              <w:rPr>
                <w:rFonts w:hint="default" w:ascii="Times New Roman" w:hAnsi="Times New Roman" w:cs="Times New Roman"/>
                <w:color w:val="auto"/>
                <w:szCs w:val="21"/>
                <w:highlight w:val="none"/>
              </w:rPr>
            </w:pPr>
          </w:p>
        </w:tc>
        <w:tc>
          <w:tcPr>
            <w:tcW w:w="304" w:type="pct"/>
            <w:vMerge w:val="continue"/>
            <w:vAlign w:val="center"/>
          </w:tcPr>
          <w:p w14:paraId="3B54A3B5">
            <w:pPr>
              <w:widowControl/>
              <w:jc w:val="center"/>
              <w:rPr>
                <w:rFonts w:hint="default" w:ascii="Times New Roman" w:hAnsi="Times New Roman" w:cs="Times New Roman"/>
                <w:color w:val="auto"/>
                <w:szCs w:val="21"/>
                <w:highlight w:val="none"/>
              </w:rPr>
            </w:pPr>
          </w:p>
        </w:tc>
        <w:tc>
          <w:tcPr>
            <w:tcW w:w="1518" w:type="pct"/>
            <w:vMerge w:val="continue"/>
            <w:vAlign w:val="center"/>
          </w:tcPr>
          <w:p w14:paraId="39192CB3">
            <w:pPr>
              <w:widowControl/>
              <w:jc w:val="center"/>
              <w:rPr>
                <w:rFonts w:hint="default" w:ascii="Times New Roman" w:hAnsi="Times New Roman" w:cs="Times New Roman"/>
                <w:color w:val="auto"/>
                <w:szCs w:val="21"/>
                <w:highlight w:val="none"/>
              </w:rPr>
            </w:pPr>
          </w:p>
        </w:tc>
        <w:tc>
          <w:tcPr>
            <w:tcW w:w="988" w:type="pct"/>
            <w:vMerge w:val="continue"/>
            <w:vAlign w:val="center"/>
          </w:tcPr>
          <w:p w14:paraId="15D48F9E">
            <w:pPr>
              <w:widowControl/>
              <w:jc w:val="center"/>
              <w:rPr>
                <w:rFonts w:hint="default" w:ascii="Times New Roman" w:hAnsi="Times New Roman" w:cs="Times New Roman"/>
                <w:color w:val="auto"/>
                <w:szCs w:val="21"/>
                <w:highlight w:val="none"/>
              </w:rPr>
            </w:pPr>
          </w:p>
        </w:tc>
      </w:tr>
      <w:tr w14:paraId="0864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restart"/>
            <w:vAlign w:val="center"/>
          </w:tcPr>
          <w:p w14:paraId="2369A407">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大气环境和声环境</w:t>
            </w:r>
          </w:p>
        </w:tc>
        <w:tc>
          <w:tcPr>
            <w:tcW w:w="522" w:type="pct"/>
            <w:vAlign w:val="center"/>
          </w:tcPr>
          <w:p w14:paraId="26C6639B">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1"/>
                <w:szCs w:val="21"/>
                <w:highlight w:val="none"/>
                <w:lang w:val="en-US" w:eastAsia="zh-CN"/>
              </w:rPr>
              <w:t>巴卡村</w:t>
            </w:r>
            <w:r>
              <w:rPr>
                <w:rFonts w:hint="default" w:ascii="Times New Roman" w:hAnsi="Times New Roman" w:cs="Times New Roman"/>
                <w:color w:val="auto"/>
                <w:kern w:val="21"/>
                <w:szCs w:val="21"/>
                <w:highlight w:val="none"/>
              </w:rPr>
              <w:t>居民区</w:t>
            </w:r>
          </w:p>
        </w:tc>
        <w:tc>
          <w:tcPr>
            <w:tcW w:w="505" w:type="pct"/>
            <w:vAlign w:val="center"/>
          </w:tcPr>
          <w:p w14:paraId="23E7FA97">
            <w:pPr>
              <w:widowControl/>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95.520220680</w:t>
            </w:r>
          </w:p>
        </w:tc>
        <w:tc>
          <w:tcPr>
            <w:tcW w:w="505" w:type="pct"/>
            <w:vAlign w:val="center"/>
          </w:tcPr>
          <w:p w14:paraId="15853F0F">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29.889566940</w:t>
            </w:r>
          </w:p>
        </w:tc>
        <w:tc>
          <w:tcPr>
            <w:tcW w:w="405" w:type="pct"/>
            <w:vAlign w:val="center"/>
          </w:tcPr>
          <w:p w14:paraId="33D0F1E0">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规划区内</w:t>
            </w:r>
          </w:p>
        </w:tc>
        <w:tc>
          <w:tcPr>
            <w:tcW w:w="304" w:type="pct"/>
            <w:vAlign w:val="center"/>
          </w:tcPr>
          <w:p w14:paraId="71DBE687">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18" w:type="pct"/>
            <w:vMerge w:val="restart"/>
            <w:vAlign w:val="center"/>
          </w:tcPr>
          <w:p w14:paraId="1C27C62D">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人群聚居区</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含商住等</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，约1</w:t>
            </w: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户</w:t>
            </w:r>
            <w:r>
              <w:rPr>
                <w:rFonts w:hint="default" w:ascii="Times New Roman" w:hAnsi="Times New Roman" w:cs="Times New Roman"/>
                <w:color w:val="auto"/>
                <w:kern w:val="21"/>
                <w:szCs w:val="21"/>
                <w:highlight w:val="none"/>
                <w:lang w:val="en-US" w:eastAsia="zh-CN"/>
              </w:rPr>
              <w:t>495</w:t>
            </w:r>
            <w:r>
              <w:rPr>
                <w:rFonts w:hint="default" w:ascii="Times New Roman" w:hAnsi="Times New Roman" w:cs="Times New Roman"/>
                <w:color w:val="auto"/>
                <w:szCs w:val="21"/>
                <w:highlight w:val="none"/>
              </w:rPr>
              <w:t>人</w:t>
            </w:r>
          </w:p>
        </w:tc>
        <w:tc>
          <w:tcPr>
            <w:tcW w:w="988" w:type="pct"/>
            <w:vMerge w:val="restart"/>
            <w:vAlign w:val="center"/>
          </w:tcPr>
          <w:p w14:paraId="3CEA6D03">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1"/>
                <w:szCs w:val="21"/>
                <w:highlight w:val="none"/>
              </w:rPr>
              <w:t>《环境空气质量标准》（GB3095-20</w:t>
            </w:r>
            <w:r>
              <w:rPr>
                <w:rFonts w:hint="default" w:ascii="Times New Roman" w:hAnsi="Times New Roman" w:cs="Times New Roman"/>
                <w:color w:val="auto"/>
                <w:kern w:val="21"/>
                <w:szCs w:val="21"/>
                <w:highlight w:val="none"/>
                <w:lang w:val="en-US" w:eastAsia="zh-CN"/>
              </w:rPr>
              <w:t>26</w:t>
            </w:r>
            <w:r>
              <w:rPr>
                <w:rFonts w:hint="default" w:ascii="Times New Roman" w:hAnsi="Times New Roman" w:cs="Times New Roman"/>
                <w:color w:val="auto"/>
                <w:kern w:val="21"/>
                <w:szCs w:val="21"/>
                <w:highlight w:val="none"/>
              </w:rPr>
              <w:t>）一类区、《声环境质量标准》（GB3096-2008）1</w:t>
            </w:r>
            <w:r>
              <w:rPr>
                <w:rFonts w:hint="eastAsia" w:cs="Times New Roman"/>
                <w:color w:val="auto"/>
                <w:kern w:val="21"/>
                <w:szCs w:val="21"/>
                <w:highlight w:val="none"/>
                <w:lang w:eastAsia="zh-CN"/>
              </w:rPr>
              <w:t>、</w:t>
            </w:r>
            <w:r>
              <w:rPr>
                <w:rFonts w:hint="eastAsia" w:cs="Times New Roman"/>
                <w:color w:val="auto"/>
                <w:kern w:val="21"/>
                <w:szCs w:val="21"/>
                <w:highlight w:val="none"/>
                <w:lang w:val="en-US" w:eastAsia="zh-CN"/>
              </w:rPr>
              <w:t>2</w:t>
            </w:r>
            <w:r>
              <w:rPr>
                <w:rFonts w:hint="default" w:ascii="Times New Roman" w:hAnsi="Times New Roman" w:cs="Times New Roman"/>
                <w:color w:val="auto"/>
                <w:kern w:val="21"/>
                <w:szCs w:val="21"/>
                <w:highlight w:val="none"/>
              </w:rPr>
              <w:t>类标准</w:t>
            </w:r>
          </w:p>
        </w:tc>
      </w:tr>
      <w:tr w14:paraId="7F51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206E5D4D">
            <w:pPr>
              <w:adjustRightInd w:val="0"/>
              <w:jc w:val="center"/>
              <w:rPr>
                <w:rFonts w:hint="default" w:ascii="Times New Roman" w:hAnsi="Times New Roman" w:cs="Times New Roman"/>
                <w:color w:val="auto"/>
                <w:szCs w:val="21"/>
                <w:highlight w:val="none"/>
              </w:rPr>
            </w:pPr>
          </w:p>
        </w:tc>
        <w:tc>
          <w:tcPr>
            <w:tcW w:w="522" w:type="pct"/>
            <w:vAlign w:val="center"/>
          </w:tcPr>
          <w:p w14:paraId="44FE1668">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岗巴村规划区内居民区</w:t>
            </w:r>
          </w:p>
        </w:tc>
        <w:tc>
          <w:tcPr>
            <w:tcW w:w="505" w:type="pct"/>
            <w:vAlign w:val="center"/>
          </w:tcPr>
          <w:p w14:paraId="62AE7FE7">
            <w:pPr>
              <w:widowControl/>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95.603821112</w:t>
            </w:r>
          </w:p>
        </w:tc>
        <w:tc>
          <w:tcPr>
            <w:tcW w:w="505" w:type="pct"/>
            <w:vAlign w:val="center"/>
          </w:tcPr>
          <w:p w14:paraId="5B6D9EE0">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29.879759443</w:t>
            </w:r>
          </w:p>
        </w:tc>
        <w:tc>
          <w:tcPr>
            <w:tcW w:w="405" w:type="pct"/>
            <w:vAlign w:val="center"/>
          </w:tcPr>
          <w:p w14:paraId="1774EF0A">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规划区内</w:t>
            </w:r>
          </w:p>
        </w:tc>
        <w:tc>
          <w:tcPr>
            <w:tcW w:w="304" w:type="pct"/>
            <w:vAlign w:val="center"/>
          </w:tcPr>
          <w:p w14:paraId="7C03092D">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18" w:type="pct"/>
            <w:vMerge w:val="continue"/>
            <w:vAlign w:val="center"/>
          </w:tcPr>
          <w:p w14:paraId="1B840C8B">
            <w:pPr>
              <w:adjustRightInd w:val="0"/>
              <w:jc w:val="center"/>
              <w:rPr>
                <w:rFonts w:hint="default" w:ascii="Times New Roman" w:hAnsi="Times New Roman" w:cs="Times New Roman"/>
                <w:color w:val="auto"/>
                <w:szCs w:val="21"/>
                <w:highlight w:val="none"/>
              </w:rPr>
            </w:pPr>
          </w:p>
        </w:tc>
        <w:tc>
          <w:tcPr>
            <w:tcW w:w="988" w:type="pct"/>
            <w:vMerge w:val="continue"/>
            <w:vAlign w:val="center"/>
          </w:tcPr>
          <w:p w14:paraId="33E1FA74">
            <w:pPr>
              <w:adjustRightInd w:val="0"/>
              <w:jc w:val="center"/>
              <w:rPr>
                <w:rFonts w:hint="default" w:ascii="Times New Roman" w:hAnsi="Times New Roman" w:cs="Times New Roman"/>
                <w:color w:val="auto"/>
                <w:szCs w:val="21"/>
                <w:highlight w:val="none"/>
              </w:rPr>
            </w:pPr>
          </w:p>
        </w:tc>
      </w:tr>
      <w:tr w14:paraId="5A0F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39134F28">
            <w:pPr>
              <w:adjustRightInd w:val="0"/>
              <w:jc w:val="center"/>
              <w:rPr>
                <w:rFonts w:hint="default" w:ascii="Times New Roman" w:hAnsi="Times New Roman" w:cs="Times New Roman"/>
                <w:color w:val="auto"/>
                <w:szCs w:val="21"/>
                <w:highlight w:val="none"/>
              </w:rPr>
            </w:pPr>
          </w:p>
        </w:tc>
        <w:tc>
          <w:tcPr>
            <w:tcW w:w="522" w:type="pct"/>
            <w:shd w:val="clear" w:color="auto" w:fill="auto"/>
            <w:vAlign w:val="center"/>
          </w:tcPr>
          <w:p w14:paraId="02F4D702">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米充居民区</w:t>
            </w:r>
          </w:p>
        </w:tc>
        <w:tc>
          <w:tcPr>
            <w:tcW w:w="505" w:type="pct"/>
            <w:shd w:val="clear" w:color="auto" w:fill="auto"/>
            <w:vAlign w:val="center"/>
          </w:tcPr>
          <w:p w14:paraId="5D1E8267">
            <w:pPr>
              <w:widowControl/>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95.635460449</w:t>
            </w:r>
          </w:p>
        </w:tc>
        <w:tc>
          <w:tcPr>
            <w:tcW w:w="505" w:type="pct"/>
            <w:shd w:val="clear" w:color="auto" w:fill="auto"/>
            <w:vAlign w:val="center"/>
          </w:tcPr>
          <w:p w14:paraId="3B79348C">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29.887430561</w:t>
            </w:r>
          </w:p>
        </w:tc>
        <w:tc>
          <w:tcPr>
            <w:tcW w:w="405" w:type="pct"/>
            <w:shd w:val="clear" w:color="auto" w:fill="auto"/>
            <w:vAlign w:val="center"/>
          </w:tcPr>
          <w:p w14:paraId="28040AD3">
            <w:pPr>
              <w:adjustRightIn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S</w:t>
            </w:r>
          </w:p>
        </w:tc>
        <w:tc>
          <w:tcPr>
            <w:tcW w:w="304" w:type="pct"/>
            <w:shd w:val="clear" w:color="auto" w:fill="auto"/>
            <w:vAlign w:val="center"/>
          </w:tcPr>
          <w:p w14:paraId="2A1DCA55">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60m</w:t>
            </w:r>
          </w:p>
        </w:tc>
        <w:tc>
          <w:tcPr>
            <w:tcW w:w="1518" w:type="pct"/>
            <w:shd w:val="clear" w:color="auto" w:fill="auto"/>
            <w:vAlign w:val="center"/>
          </w:tcPr>
          <w:p w14:paraId="5A142146">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居民区，约6户24人</w:t>
            </w:r>
          </w:p>
        </w:tc>
        <w:tc>
          <w:tcPr>
            <w:tcW w:w="988" w:type="pct"/>
            <w:vMerge w:val="continue"/>
            <w:vAlign w:val="center"/>
          </w:tcPr>
          <w:p w14:paraId="1DF56ECF">
            <w:pPr>
              <w:adjustRightInd w:val="0"/>
              <w:jc w:val="center"/>
              <w:rPr>
                <w:rFonts w:hint="default" w:ascii="Times New Roman" w:hAnsi="Times New Roman" w:cs="Times New Roman"/>
                <w:color w:val="auto"/>
                <w:szCs w:val="21"/>
                <w:highlight w:val="none"/>
              </w:rPr>
            </w:pPr>
          </w:p>
        </w:tc>
      </w:tr>
      <w:tr w14:paraId="6E10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2CAA8BC4">
            <w:pPr>
              <w:adjustRightInd w:val="0"/>
              <w:jc w:val="center"/>
              <w:rPr>
                <w:rFonts w:hint="default" w:ascii="Times New Roman" w:hAnsi="Times New Roman" w:cs="Times New Roman"/>
                <w:color w:val="auto"/>
                <w:szCs w:val="21"/>
                <w:highlight w:val="none"/>
              </w:rPr>
            </w:pPr>
          </w:p>
        </w:tc>
        <w:tc>
          <w:tcPr>
            <w:tcW w:w="522" w:type="pct"/>
            <w:shd w:val="clear" w:color="auto" w:fill="auto"/>
            <w:vAlign w:val="center"/>
          </w:tcPr>
          <w:p w14:paraId="7D55F61E">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旦卡居民区</w:t>
            </w:r>
          </w:p>
        </w:tc>
        <w:tc>
          <w:tcPr>
            <w:tcW w:w="505" w:type="pct"/>
            <w:shd w:val="clear" w:color="auto" w:fill="auto"/>
            <w:vAlign w:val="center"/>
          </w:tcPr>
          <w:p w14:paraId="2519CD53">
            <w:pPr>
              <w:widowControl/>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95.665232969</w:t>
            </w:r>
          </w:p>
        </w:tc>
        <w:tc>
          <w:tcPr>
            <w:tcW w:w="505" w:type="pct"/>
            <w:shd w:val="clear" w:color="auto" w:fill="auto"/>
            <w:vAlign w:val="center"/>
          </w:tcPr>
          <w:p w14:paraId="6F198701">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29.889329565</w:t>
            </w:r>
          </w:p>
        </w:tc>
        <w:tc>
          <w:tcPr>
            <w:tcW w:w="405" w:type="pct"/>
            <w:shd w:val="clear" w:color="auto" w:fill="auto"/>
            <w:vAlign w:val="center"/>
          </w:tcPr>
          <w:p w14:paraId="6933A58B">
            <w:pPr>
              <w:adjustRightIn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S</w:t>
            </w:r>
          </w:p>
        </w:tc>
        <w:tc>
          <w:tcPr>
            <w:tcW w:w="304" w:type="pct"/>
            <w:shd w:val="clear" w:color="auto" w:fill="auto"/>
            <w:vAlign w:val="center"/>
          </w:tcPr>
          <w:p w14:paraId="2F5CA058">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5m</w:t>
            </w:r>
          </w:p>
        </w:tc>
        <w:tc>
          <w:tcPr>
            <w:tcW w:w="1518" w:type="pct"/>
            <w:shd w:val="clear" w:color="auto" w:fill="auto"/>
            <w:vAlign w:val="center"/>
          </w:tcPr>
          <w:p w14:paraId="342B60AF">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居民区，约</w:t>
            </w:r>
            <w:r>
              <w:rPr>
                <w:rFonts w:hint="eastAsia" w:cs="Times New Roman"/>
                <w:color w:val="auto"/>
                <w:kern w:val="2"/>
                <w:sz w:val="21"/>
                <w:szCs w:val="21"/>
                <w:highlight w:val="none"/>
                <w:lang w:val="en-US" w:eastAsia="zh-CN" w:bidi="ar-SA"/>
              </w:rPr>
              <w:t>4</w:t>
            </w:r>
            <w:r>
              <w:rPr>
                <w:rFonts w:hint="eastAsia" w:ascii="Times New Roman" w:hAnsi="Times New Roman" w:cs="Times New Roman"/>
                <w:color w:val="auto"/>
                <w:kern w:val="2"/>
                <w:sz w:val="21"/>
                <w:szCs w:val="21"/>
                <w:highlight w:val="none"/>
                <w:lang w:val="en-US" w:eastAsia="zh-CN" w:bidi="ar-SA"/>
              </w:rPr>
              <w:t>户</w:t>
            </w:r>
            <w:r>
              <w:rPr>
                <w:rFonts w:hint="eastAsia" w:cs="Times New Roman"/>
                <w:color w:val="auto"/>
                <w:kern w:val="2"/>
                <w:sz w:val="21"/>
                <w:szCs w:val="21"/>
                <w:highlight w:val="none"/>
                <w:lang w:val="en-US" w:eastAsia="zh-CN" w:bidi="ar-SA"/>
              </w:rPr>
              <w:t>16</w:t>
            </w:r>
            <w:r>
              <w:rPr>
                <w:rFonts w:hint="eastAsia" w:ascii="Times New Roman" w:hAnsi="Times New Roman" w:cs="Times New Roman"/>
                <w:color w:val="auto"/>
                <w:kern w:val="2"/>
                <w:sz w:val="21"/>
                <w:szCs w:val="21"/>
                <w:highlight w:val="none"/>
                <w:lang w:val="en-US" w:eastAsia="zh-CN" w:bidi="ar-SA"/>
              </w:rPr>
              <w:t>人</w:t>
            </w:r>
          </w:p>
        </w:tc>
        <w:tc>
          <w:tcPr>
            <w:tcW w:w="988" w:type="pct"/>
            <w:vMerge w:val="continue"/>
            <w:vAlign w:val="center"/>
          </w:tcPr>
          <w:p w14:paraId="153B3A3D">
            <w:pPr>
              <w:adjustRightInd w:val="0"/>
              <w:jc w:val="center"/>
              <w:rPr>
                <w:rFonts w:hint="default" w:ascii="Times New Roman" w:hAnsi="Times New Roman" w:cs="Times New Roman"/>
                <w:color w:val="auto"/>
                <w:szCs w:val="21"/>
                <w:highlight w:val="none"/>
              </w:rPr>
            </w:pPr>
          </w:p>
        </w:tc>
      </w:tr>
      <w:tr w14:paraId="4F6A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1FE6D8FA">
            <w:pPr>
              <w:adjustRightInd w:val="0"/>
              <w:jc w:val="center"/>
              <w:rPr>
                <w:rFonts w:hint="default" w:ascii="Times New Roman" w:hAnsi="Times New Roman" w:cs="Times New Roman"/>
                <w:color w:val="auto"/>
                <w:szCs w:val="21"/>
                <w:highlight w:val="none"/>
              </w:rPr>
            </w:pPr>
          </w:p>
        </w:tc>
        <w:tc>
          <w:tcPr>
            <w:tcW w:w="522" w:type="pct"/>
            <w:shd w:val="clear" w:color="auto" w:fill="auto"/>
            <w:vAlign w:val="center"/>
          </w:tcPr>
          <w:p w14:paraId="03A68B0E">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武警爱民医务室</w:t>
            </w:r>
          </w:p>
        </w:tc>
        <w:tc>
          <w:tcPr>
            <w:tcW w:w="505" w:type="pct"/>
            <w:shd w:val="clear" w:color="auto" w:fill="auto"/>
            <w:vAlign w:val="center"/>
          </w:tcPr>
          <w:p w14:paraId="4CE56C9D">
            <w:pPr>
              <w:widowControl/>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95.520195053</w:t>
            </w:r>
          </w:p>
        </w:tc>
        <w:tc>
          <w:tcPr>
            <w:tcW w:w="505" w:type="pct"/>
            <w:shd w:val="clear" w:color="auto" w:fill="auto"/>
            <w:vAlign w:val="center"/>
          </w:tcPr>
          <w:p w14:paraId="10941FCE">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29.889479602</w:t>
            </w:r>
          </w:p>
        </w:tc>
        <w:tc>
          <w:tcPr>
            <w:tcW w:w="405" w:type="pct"/>
            <w:shd w:val="clear" w:color="auto" w:fill="auto"/>
            <w:vAlign w:val="center"/>
          </w:tcPr>
          <w:p w14:paraId="04E4A0F0">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规划区内</w:t>
            </w:r>
          </w:p>
        </w:tc>
        <w:tc>
          <w:tcPr>
            <w:tcW w:w="304" w:type="pct"/>
            <w:shd w:val="clear" w:color="auto" w:fill="auto"/>
            <w:vAlign w:val="center"/>
          </w:tcPr>
          <w:p w14:paraId="3B4D919B">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w:t>
            </w:r>
          </w:p>
        </w:tc>
        <w:tc>
          <w:tcPr>
            <w:tcW w:w="1518" w:type="pct"/>
            <w:shd w:val="clear" w:color="auto" w:fill="auto"/>
            <w:vAlign w:val="center"/>
          </w:tcPr>
          <w:p w14:paraId="6FE6195D">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医疗机构</w:t>
            </w:r>
            <w:r>
              <w:rPr>
                <w:rFonts w:hint="default" w:ascii="Times New Roman" w:hAnsi="Times New Roman" w:cs="Times New Roman"/>
                <w:color w:val="auto"/>
                <w:szCs w:val="21"/>
                <w:highlight w:val="none"/>
                <w:lang w:val="en-US" w:eastAsia="zh-CN"/>
              </w:rPr>
              <w:t>，1人</w:t>
            </w:r>
          </w:p>
        </w:tc>
        <w:tc>
          <w:tcPr>
            <w:tcW w:w="988" w:type="pct"/>
            <w:vMerge w:val="continue"/>
            <w:vAlign w:val="center"/>
          </w:tcPr>
          <w:p w14:paraId="772DD23E">
            <w:pPr>
              <w:adjustRightInd w:val="0"/>
              <w:jc w:val="center"/>
              <w:rPr>
                <w:rFonts w:hint="default" w:ascii="Times New Roman" w:hAnsi="Times New Roman" w:cs="Times New Roman"/>
                <w:color w:val="auto"/>
                <w:szCs w:val="21"/>
                <w:highlight w:val="none"/>
              </w:rPr>
            </w:pPr>
          </w:p>
        </w:tc>
      </w:tr>
      <w:tr w14:paraId="56EF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2" w:type="pct"/>
            <w:vMerge w:val="continue"/>
            <w:vAlign w:val="center"/>
          </w:tcPr>
          <w:p w14:paraId="2826416F">
            <w:pPr>
              <w:adjustRightInd w:val="0"/>
              <w:jc w:val="center"/>
              <w:rPr>
                <w:rFonts w:hint="default" w:ascii="Times New Roman" w:hAnsi="Times New Roman" w:cs="Times New Roman"/>
                <w:color w:val="auto"/>
                <w:szCs w:val="21"/>
                <w:highlight w:val="none"/>
              </w:rPr>
            </w:pPr>
          </w:p>
        </w:tc>
        <w:tc>
          <w:tcPr>
            <w:tcW w:w="522" w:type="pct"/>
            <w:vAlign w:val="center"/>
          </w:tcPr>
          <w:p w14:paraId="33EB4BD7">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岗巴村规划区外居民区</w:t>
            </w:r>
          </w:p>
        </w:tc>
        <w:tc>
          <w:tcPr>
            <w:tcW w:w="505" w:type="pct"/>
            <w:vAlign w:val="center"/>
          </w:tcPr>
          <w:p w14:paraId="64C9343F">
            <w:pPr>
              <w:widowControl/>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95.604636503</w:t>
            </w:r>
          </w:p>
        </w:tc>
        <w:tc>
          <w:tcPr>
            <w:tcW w:w="505" w:type="pct"/>
            <w:vAlign w:val="center"/>
          </w:tcPr>
          <w:p w14:paraId="15E6371F">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29.879147899</w:t>
            </w:r>
          </w:p>
        </w:tc>
        <w:tc>
          <w:tcPr>
            <w:tcW w:w="405" w:type="pct"/>
            <w:vAlign w:val="center"/>
          </w:tcPr>
          <w:p w14:paraId="3BDD58C2">
            <w:pPr>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S</w:t>
            </w:r>
          </w:p>
        </w:tc>
        <w:tc>
          <w:tcPr>
            <w:tcW w:w="304" w:type="pct"/>
            <w:vAlign w:val="center"/>
          </w:tcPr>
          <w:p w14:paraId="35A2E2AB">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紧邻</w:t>
            </w:r>
          </w:p>
        </w:tc>
        <w:tc>
          <w:tcPr>
            <w:tcW w:w="1518" w:type="pct"/>
            <w:vAlign w:val="center"/>
          </w:tcPr>
          <w:p w14:paraId="44DE8BF1">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人群聚居区</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含商住等</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，约</w:t>
            </w: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户</w:t>
            </w:r>
            <w:r>
              <w:rPr>
                <w:rFonts w:hint="default" w:ascii="Times New Roman" w:hAnsi="Times New Roman" w:cs="Times New Roman"/>
                <w:color w:val="auto"/>
                <w:kern w:val="21"/>
                <w:szCs w:val="21"/>
                <w:highlight w:val="none"/>
                <w:lang w:val="en-US" w:eastAsia="zh-CN"/>
              </w:rPr>
              <w:t>80</w:t>
            </w:r>
            <w:r>
              <w:rPr>
                <w:rFonts w:hint="default" w:ascii="Times New Roman" w:hAnsi="Times New Roman" w:cs="Times New Roman"/>
                <w:color w:val="auto"/>
                <w:szCs w:val="21"/>
                <w:highlight w:val="none"/>
              </w:rPr>
              <w:t>人</w:t>
            </w:r>
          </w:p>
        </w:tc>
        <w:tc>
          <w:tcPr>
            <w:tcW w:w="988" w:type="pct"/>
            <w:vMerge w:val="continue"/>
            <w:vAlign w:val="center"/>
          </w:tcPr>
          <w:p w14:paraId="28AB83E1">
            <w:pPr>
              <w:adjustRightInd w:val="0"/>
              <w:jc w:val="center"/>
              <w:rPr>
                <w:rFonts w:hint="default" w:ascii="Times New Roman" w:hAnsi="Times New Roman" w:cs="Times New Roman"/>
                <w:color w:val="auto"/>
                <w:szCs w:val="21"/>
                <w:highlight w:val="none"/>
              </w:rPr>
            </w:pPr>
          </w:p>
        </w:tc>
      </w:tr>
      <w:tr w14:paraId="1C0E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7F26659E">
            <w:pPr>
              <w:adjustRightInd w:val="0"/>
              <w:jc w:val="center"/>
              <w:rPr>
                <w:rFonts w:hint="default" w:ascii="Times New Roman" w:hAnsi="Times New Roman" w:cs="Times New Roman"/>
                <w:color w:val="auto"/>
                <w:szCs w:val="21"/>
                <w:highlight w:val="none"/>
              </w:rPr>
            </w:pPr>
          </w:p>
        </w:tc>
        <w:tc>
          <w:tcPr>
            <w:tcW w:w="522" w:type="pct"/>
            <w:vAlign w:val="center"/>
          </w:tcPr>
          <w:p w14:paraId="01EC40B6">
            <w:pPr>
              <w:adjustRightIn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岗巴村幼儿园</w:t>
            </w:r>
          </w:p>
        </w:tc>
        <w:tc>
          <w:tcPr>
            <w:tcW w:w="505" w:type="pct"/>
            <w:vAlign w:val="center"/>
          </w:tcPr>
          <w:p w14:paraId="44C3B5EE">
            <w:pPr>
              <w:widowControl/>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95.603391958</w:t>
            </w:r>
          </w:p>
        </w:tc>
        <w:tc>
          <w:tcPr>
            <w:tcW w:w="505" w:type="pct"/>
            <w:vAlign w:val="center"/>
          </w:tcPr>
          <w:p w14:paraId="6587EFAC">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29.878606093</w:t>
            </w:r>
          </w:p>
        </w:tc>
        <w:tc>
          <w:tcPr>
            <w:tcW w:w="405" w:type="pct"/>
            <w:vAlign w:val="center"/>
          </w:tcPr>
          <w:p w14:paraId="7671567B">
            <w:pPr>
              <w:adjustRightIn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S</w:t>
            </w:r>
          </w:p>
        </w:tc>
        <w:tc>
          <w:tcPr>
            <w:tcW w:w="304" w:type="pct"/>
            <w:vAlign w:val="center"/>
          </w:tcPr>
          <w:p w14:paraId="7A4D529B">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40m</w:t>
            </w:r>
          </w:p>
        </w:tc>
        <w:tc>
          <w:tcPr>
            <w:tcW w:w="1518" w:type="pct"/>
            <w:vAlign w:val="center"/>
          </w:tcPr>
          <w:p w14:paraId="679D9367">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学校，约20人</w:t>
            </w:r>
          </w:p>
        </w:tc>
        <w:tc>
          <w:tcPr>
            <w:tcW w:w="988" w:type="pct"/>
            <w:vMerge w:val="continue"/>
            <w:vAlign w:val="center"/>
          </w:tcPr>
          <w:p w14:paraId="3A754351">
            <w:pPr>
              <w:adjustRightInd w:val="0"/>
              <w:jc w:val="center"/>
              <w:rPr>
                <w:rFonts w:hint="default" w:ascii="Times New Roman" w:hAnsi="Times New Roman" w:cs="Times New Roman"/>
                <w:color w:val="auto"/>
                <w:szCs w:val="21"/>
                <w:highlight w:val="none"/>
              </w:rPr>
            </w:pPr>
          </w:p>
        </w:tc>
      </w:tr>
      <w:tr w14:paraId="2C63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05CA7795">
            <w:pPr>
              <w:adjustRightInd w:val="0"/>
              <w:jc w:val="center"/>
              <w:rPr>
                <w:rFonts w:hint="default" w:ascii="Times New Roman" w:hAnsi="Times New Roman" w:cs="Times New Roman"/>
                <w:color w:val="auto"/>
                <w:szCs w:val="21"/>
                <w:highlight w:val="none"/>
              </w:rPr>
            </w:pPr>
          </w:p>
        </w:tc>
        <w:tc>
          <w:tcPr>
            <w:tcW w:w="522" w:type="pct"/>
            <w:vAlign w:val="center"/>
          </w:tcPr>
          <w:p w14:paraId="435A345E">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卡代居民区</w:t>
            </w:r>
          </w:p>
        </w:tc>
        <w:tc>
          <w:tcPr>
            <w:tcW w:w="505" w:type="pct"/>
            <w:vAlign w:val="center"/>
          </w:tcPr>
          <w:p w14:paraId="7697DE8D">
            <w:pPr>
              <w:widowControl/>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95.682286454</w:t>
            </w:r>
          </w:p>
        </w:tc>
        <w:tc>
          <w:tcPr>
            <w:tcW w:w="505" w:type="pct"/>
            <w:vAlign w:val="center"/>
          </w:tcPr>
          <w:p w14:paraId="3B41B059">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29.888991606</w:t>
            </w:r>
          </w:p>
        </w:tc>
        <w:tc>
          <w:tcPr>
            <w:tcW w:w="405" w:type="pct"/>
            <w:vAlign w:val="center"/>
          </w:tcPr>
          <w:p w14:paraId="62171A2D">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N、S</w:t>
            </w:r>
          </w:p>
        </w:tc>
        <w:tc>
          <w:tcPr>
            <w:tcW w:w="304" w:type="pct"/>
            <w:vAlign w:val="center"/>
          </w:tcPr>
          <w:p w14:paraId="2B541401">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48m</w:t>
            </w:r>
          </w:p>
        </w:tc>
        <w:tc>
          <w:tcPr>
            <w:tcW w:w="1518" w:type="pct"/>
            <w:vAlign w:val="center"/>
          </w:tcPr>
          <w:p w14:paraId="5390342B">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人群聚居区</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含商住等</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，约</w:t>
            </w:r>
            <w:r>
              <w:rPr>
                <w:rFonts w:hint="default" w:ascii="Times New Roman" w:hAnsi="Times New Roman" w:cs="Times New Roman"/>
                <w:color w:val="auto"/>
                <w:szCs w:val="21"/>
                <w:highlight w:val="none"/>
                <w:lang w:val="en-US" w:eastAsia="zh-CN"/>
              </w:rPr>
              <w:t>15</w:t>
            </w:r>
            <w:r>
              <w:rPr>
                <w:rFonts w:hint="default" w:ascii="Times New Roman" w:hAnsi="Times New Roman" w:cs="Times New Roman"/>
                <w:color w:val="auto"/>
                <w:szCs w:val="21"/>
                <w:highlight w:val="none"/>
              </w:rPr>
              <w:t>户</w:t>
            </w:r>
            <w:r>
              <w:rPr>
                <w:rFonts w:hint="default" w:ascii="Times New Roman" w:hAnsi="Times New Roman" w:cs="Times New Roman"/>
                <w:color w:val="auto"/>
                <w:kern w:val="21"/>
                <w:szCs w:val="21"/>
                <w:highlight w:val="none"/>
                <w:lang w:val="en-US" w:eastAsia="zh-CN"/>
              </w:rPr>
              <w:t>60</w:t>
            </w:r>
            <w:r>
              <w:rPr>
                <w:rFonts w:hint="default" w:ascii="Times New Roman" w:hAnsi="Times New Roman" w:cs="Times New Roman"/>
                <w:color w:val="auto"/>
                <w:szCs w:val="21"/>
                <w:highlight w:val="none"/>
              </w:rPr>
              <w:t>人</w:t>
            </w:r>
          </w:p>
        </w:tc>
        <w:tc>
          <w:tcPr>
            <w:tcW w:w="988" w:type="pct"/>
            <w:vMerge w:val="continue"/>
            <w:vAlign w:val="center"/>
          </w:tcPr>
          <w:p w14:paraId="5E2E2C3D">
            <w:pPr>
              <w:adjustRightInd w:val="0"/>
              <w:jc w:val="center"/>
              <w:rPr>
                <w:rFonts w:hint="default" w:ascii="Times New Roman" w:hAnsi="Times New Roman" w:cs="Times New Roman"/>
                <w:color w:val="auto"/>
                <w:szCs w:val="21"/>
                <w:highlight w:val="none"/>
              </w:rPr>
            </w:pPr>
          </w:p>
        </w:tc>
      </w:tr>
      <w:tr w14:paraId="4711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1258253A">
            <w:pPr>
              <w:adjustRightInd w:val="0"/>
              <w:jc w:val="center"/>
              <w:rPr>
                <w:rFonts w:hint="default" w:ascii="Times New Roman" w:hAnsi="Times New Roman" w:cs="Times New Roman"/>
                <w:color w:val="auto"/>
                <w:szCs w:val="21"/>
                <w:highlight w:val="none"/>
              </w:rPr>
            </w:pPr>
          </w:p>
        </w:tc>
        <w:tc>
          <w:tcPr>
            <w:tcW w:w="522" w:type="pct"/>
            <w:vMerge w:val="restart"/>
            <w:vAlign w:val="center"/>
          </w:tcPr>
          <w:p w14:paraId="5A98E02F">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eastAsia="zh-CN"/>
              </w:rPr>
              <w:t>雅鲁藏布大峡谷国家级自然保护区</w:t>
            </w:r>
          </w:p>
        </w:tc>
        <w:tc>
          <w:tcPr>
            <w:tcW w:w="1010" w:type="pct"/>
            <w:gridSpan w:val="2"/>
            <w:vAlign w:val="center"/>
          </w:tcPr>
          <w:p w14:paraId="07FF5046">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试验区</w:t>
            </w:r>
          </w:p>
        </w:tc>
        <w:tc>
          <w:tcPr>
            <w:tcW w:w="405" w:type="pct"/>
            <w:vAlign w:val="center"/>
          </w:tcPr>
          <w:p w14:paraId="68B74420">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规划区内</w:t>
            </w:r>
          </w:p>
        </w:tc>
        <w:tc>
          <w:tcPr>
            <w:tcW w:w="304" w:type="pct"/>
            <w:vAlign w:val="center"/>
          </w:tcPr>
          <w:p w14:paraId="59BD7064">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518" w:type="pct"/>
            <w:vMerge w:val="restart"/>
            <w:vAlign w:val="center"/>
          </w:tcPr>
          <w:p w14:paraId="538D9454">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雅鲁藏布大峡谷国家级自然保护区</w:t>
            </w:r>
            <w:r>
              <w:rPr>
                <w:rFonts w:hint="default" w:ascii="Times New Roman" w:hAnsi="Times New Roman" w:cs="Times New Roman"/>
                <w:color w:val="auto"/>
                <w:szCs w:val="21"/>
                <w:highlight w:val="none"/>
                <w:lang w:val="en-US" w:eastAsia="zh-CN"/>
              </w:rPr>
              <w:t>位于西藏林芝市（墨脱、波密、米林、巴宜4县区），北纬29°05′–30°20′，东经94°39′–96°06′，面积：91.68万公顷（核心区32万、缓冲区3.7万、实验区55.98万）；主要保护对象为完整山地森林生态系统（核心），同时保护云南红豆杉、巨柏、长蕊木兰、穗花杉、千果榄仁、小果紫薇、海南粗榧等保护植物，保护云豹、羚牛、赤斑羚、林麝、喜马拉雅麝、孟加拉虎、小熊猫、绿尾虹雉、棕颈犀鸟、白腹锦鸡、熊猴、猕猴、金猫、豹猫、墨脱缺翅虫等保护动物；保护其特殊自然环境与景观</w:t>
            </w:r>
          </w:p>
        </w:tc>
        <w:tc>
          <w:tcPr>
            <w:tcW w:w="988" w:type="pct"/>
            <w:vMerge w:val="continue"/>
            <w:vAlign w:val="center"/>
          </w:tcPr>
          <w:p w14:paraId="798038D9">
            <w:pPr>
              <w:adjustRightInd w:val="0"/>
              <w:jc w:val="center"/>
              <w:rPr>
                <w:rFonts w:hint="default" w:ascii="Times New Roman" w:hAnsi="Times New Roman" w:cs="Times New Roman"/>
                <w:color w:val="auto"/>
                <w:szCs w:val="21"/>
                <w:highlight w:val="none"/>
              </w:rPr>
            </w:pPr>
          </w:p>
        </w:tc>
      </w:tr>
      <w:tr w14:paraId="339E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1C177FD0">
            <w:pPr>
              <w:adjustRightInd w:val="0"/>
              <w:jc w:val="center"/>
              <w:rPr>
                <w:rFonts w:hint="default" w:ascii="Times New Roman" w:hAnsi="Times New Roman" w:cs="Times New Roman"/>
                <w:color w:val="auto"/>
                <w:szCs w:val="21"/>
                <w:highlight w:val="none"/>
              </w:rPr>
            </w:pPr>
          </w:p>
        </w:tc>
        <w:tc>
          <w:tcPr>
            <w:tcW w:w="522" w:type="pct"/>
            <w:vMerge w:val="continue"/>
            <w:vAlign w:val="center"/>
          </w:tcPr>
          <w:p w14:paraId="483C15D1">
            <w:pPr>
              <w:adjustRightInd w:val="0"/>
              <w:jc w:val="center"/>
              <w:rPr>
                <w:rFonts w:hint="default" w:ascii="Times New Roman" w:hAnsi="Times New Roman" w:cs="Times New Roman"/>
                <w:color w:val="auto"/>
                <w:kern w:val="0"/>
                <w:szCs w:val="21"/>
                <w:highlight w:val="none"/>
                <w:lang w:eastAsia="zh-CN"/>
              </w:rPr>
            </w:pPr>
          </w:p>
        </w:tc>
        <w:tc>
          <w:tcPr>
            <w:tcW w:w="1010" w:type="pct"/>
            <w:gridSpan w:val="2"/>
            <w:vAlign w:val="center"/>
          </w:tcPr>
          <w:p w14:paraId="71F449EB">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核心区</w:t>
            </w:r>
          </w:p>
        </w:tc>
        <w:tc>
          <w:tcPr>
            <w:tcW w:w="405" w:type="pct"/>
            <w:vAlign w:val="center"/>
          </w:tcPr>
          <w:p w14:paraId="0934A03A">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S</w:t>
            </w:r>
          </w:p>
        </w:tc>
        <w:tc>
          <w:tcPr>
            <w:tcW w:w="304" w:type="pct"/>
            <w:vAlign w:val="center"/>
          </w:tcPr>
          <w:p w14:paraId="788AE7EB">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紧邻</w:t>
            </w:r>
          </w:p>
        </w:tc>
        <w:tc>
          <w:tcPr>
            <w:tcW w:w="1518" w:type="pct"/>
            <w:vMerge w:val="continue"/>
            <w:vAlign w:val="center"/>
          </w:tcPr>
          <w:p w14:paraId="054836EC">
            <w:pPr>
              <w:adjustRightInd w:val="0"/>
              <w:jc w:val="center"/>
              <w:rPr>
                <w:rFonts w:hint="default" w:ascii="Times New Roman" w:hAnsi="Times New Roman" w:cs="Times New Roman"/>
                <w:color w:val="auto"/>
                <w:szCs w:val="21"/>
                <w:highlight w:val="none"/>
              </w:rPr>
            </w:pPr>
          </w:p>
        </w:tc>
        <w:tc>
          <w:tcPr>
            <w:tcW w:w="988" w:type="pct"/>
            <w:vMerge w:val="continue"/>
            <w:vAlign w:val="center"/>
          </w:tcPr>
          <w:p w14:paraId="3C38C4E0">
            <w:pPr>
              <w:adjustRightInd w:val="0"/>
              <w:jc w:val="center"/>
              <w:rPr>
                <w:rFonts w:hint="default" w:ascii="Times New Roman" w:hAnsi="Times New Roman" w:cs="Times New Roman"/>
                <w:color w:val="auto"/>
                <w:szCs w:val="21"/>
                <w:highlight w:val="none"/>
              </w:rPr>
            </w:pPr>
          </w:p>
        </w:tc>
      </w:tr>
      <w:tr w14:paraId="67B5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66D516BF">
            <w:pPr>
              <w:adjustRightInd w:val="0"/>
              <w:jc w:val="center"/>
              <w:rPr>
                <w:rFonts w:hint="default" w:ascii="Times New Roman" w:hAnsi="Times New Roman" w:cs="Times New Roman"/>
                <w:color w:val="auto"/>
                <w:szCs w:val="21"/>
                <w:highlight w:val="none"/>
              </w:rPr>
            </w:pPr>
          </w:p>
        </w:tc>
        <w:tc>
          <w:tcPr>
            <w:tcW w:w="522" w:type="pct"/>
            <w:vAlign w:val="center"/>
          </w:tcPr>
          <w:p w14:paraId="0F7EE54A">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eastAsia="zh-CN"/>
              </w:rPr>
              <w:t>西藏嘎朗国家湿地公园</w:t>
            </w:r>
          </w:p>
        </w:tc>
        <w:tc>
          <w:tcPr>
            <w:tcW w:w="1010" w:type="pct"/>
            <w:gridSpan w:val="2"/>
            <w:vAlign w:val="center"/>
          </w:tcPr>
          <w:p w14:paraId="2EE9900B">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涉及湿地体验区、湿地功能展示区</w:t>
            </w:r>
          </w:p>
        </w:tc>
        <w:tc>
          <w:tcPr>
            <w:tcW w:w="405" w:type="pct"/>
            <w:vAlign w:val="center"/>
          </w:tcPr>
          <w:p w14:paraId="5147CD23">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规划区内</w:t>
            </w:r>
          </w:p>
        </w:tc>
        <w:tc>
          <w:tcPr>
            <w:tcW w:w="304" w:type="pct"/>
            <w:vAlign w:val="center"/>
          </w:tcPr>
          <w:p w14:paraId="4A959B12">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518" w:type="pct"/>
            <w:vAlign w:val="center"/>
          </w:tcPr>
          <w:p w14:paraId="686AD5D5">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位于</w:t>
            </w:r>
            <w:r>
              <w:rPr>
                <w:rFonts w:hint="default" w:ascii="Times New Roman" w:hAnsi="Times New Roman" w:cs="Times New Roman"/>
                <w:color w:val="auto"/>
                <w:szCs w:val="21"/>
                <w:highlight w:val="none"/>
              </w:rPr>
              <w:t>林芝市波密县古乡嘎朗村（波堆藏布×帕隆藏布交汇处）</w:t>
            </w:r>
            <w:r>
              <w:rPr>
                <w:rFonts w:hint="default" w:ascii="Times New Roman" w:hAnsi="Times New Roman" w:cs="Times New Roman"/>
                <w:color w:val="auto"/>
                <w:szCs w:val="21"/>
                <w:highlight w:val="none"/>
                <w:lang w:eastAsia="zh-CN"/>
              </w:rPr>
              <w:t>，东经95°35′–95°40′，北纬29°53′–29°55′，面积：2689公顷（湿地1513.54公顷）；海拔：约2700米；核心水体：嘎朗湖（天然堰塞湖，面积约2平方公里）；</w:t>
            </w:r>
            <w:r>
              <w:rPr>
                <w:rFonts w:hint="default" w:ascii="Times New Roman" w:hAnsi="Times New Roman" w:cs="Times New Roman"/>
                <w:color w:val="auto"/>
                <w:szCs w:val="21"/>
                <w:highlight w:val="none"/>
                <w:lang w:val="en-US" w:eastAsia="zh-CN"/>
              </w:rPr>
              <w:t>保护对象为高原湖泊湿地生态系统，黑颈鹤、中华秋沙鸭、白尾海雕、金雕、林麝、马麝、羚牛、鸳鸯、灰鹤、棕颈犀鸟、藏马鸡、小熊猫、黑熊、水獭、豹猫、拉萨裸裂尻鱼、异齿裂腹鱼、波密裂腹鱼（等珍稀野生动物，湿地与山地植物，特殊自然与人文价值</w:t>
            </w:r>
          </w:p>
        </w:tc>
        <w:tc>
          <w:tcPr>
            <w:tcW w:w="988" w:type="pct"/>
            <w:vMerge w:val="continue"/>
            <w:vAlign w:val="center"/>
          </w:tcPr>
          <w:p w14:paraId="659A337A">
            <w:pPr>
              <w:adjustRightInd w:val="0"/>
              <w:jc w:val="center"/>
              <w:rPr>
                <w:rFonts w:hint="default" w:ascii="Times New Roman" w:hAnsi="Times New Roman" w:cs="Times New Roman"/>
                <w:color w:val="auto"/>
                <w:szCs w:val="21"/>
                <w:highlight w:val="none"/>
              </w:rPr>
            </w:pPr>
          </w:p>
        </w:tc>
      </w:tr>
      <w:tr w14:paraId="12DE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18A2CACE">
            <w:pPr>
              <w:adjustRightInd w:val="0"/>
              <w:jc w:val="center"/>
              <w:rPr>
                <w:rFonts w:hint="default" w:ascii="Times New Roman" w:hAnsi="Times New Roman" w:cs="Times New Roman"/>
                <w:color w:val="auto"/>
                <w:szCs w:val="21"/>
                <w:highlight w:val="none"/>
              </w:rPr>
            </w:pPr>
          </w:p>
        </w:tc>
        <w:tc>
          <w:tcPr>
            <w:tcW w:w="522" w:type="pct"/>
            <w:vAlign w:val="center"/>
          </w:tcPr>
          <w:p w14:paraId="384B10EF">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eastAsia="zh-CN"/>
              </w:rPr>
              <w:t>生态保护红线</w:t>
            </w:r>
          </w:p>
        </w:tc>
        <w:tc>
          <w:tcPr>
            <w:tcW w:w="1010" w:type="pct"/>
            <w:gridSpan w:val="2"/>
            <w:vAlign w:val="center"/>
          </w:tcPr>
          <w:p w14:paraId="43CF71EB">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一般控制区</w:t>
            </w:r>
          </w:p>
        </w:tc>
        <w:tc>
          <w:tcPr>
            <w:tcW w:w="405" w:type="pct"/>
            <w:vAlign w:val="center"/>
          </w:tcPr>
          <w:p w14:paraId="08522EA0">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规划区内外</w:t>
            </w:r>
          </w:p>
        </w:tc>
        <w:tc>
          <w:tcPr>
            <w:tcW w:w="304" w:type="pct"/>
            <w:vAlign w:val="center"/>
          </w:tcPr>
          <w:p w14:paraId="53D352F7">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18" w:type="pct"/>
            <w:vAlign w:val="center"/>
          </w:tcPr>
          <w:p w14:paraId="6D22B953">
            <w:pPr>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该生态保护红线为</w:t>
            </w:r>
            <w:r>
              <w:rPr>
                <w:rFonts w:hint="default" w:ascii="Times New Roman" w:hAnsi="Times New Roman" w:cs="Times New Roman"/>
                <w:color w:val="auto"/>
                <w:kern w:val="0"/>
                <w:szCs w:val="21"/>
                <w:highlight w:val="none"/>
                <w:lang w:eastAsia="zh-CN"/>
              </w:rPr>
              <w:t>雅鲁藏布大峡谷国家级自然保护区</w:t>
            </w:r>
            <w:r>
              <w:rPr>
                <w:rFonts w:hint="default" w:ascii="Times New Roman" w:hAnsi="Times New Roman" w:cs="Times New Roman"/>
                <w:color w:val="auto"/>
                <w:kern w:val="0"/>
                <w:szCs w:val="21"/>
                <w:highlight w:val="none"/>
                <w:lang w:val="en-US" w:eastAsia="zh-CN"/>
              </w:rPr>
              <w:t>与</w:t>
            </w:r>
            <w:r>
              <w:rPr>
                <w:rFonts w:hint="default" w:ascii="Times New Roman" w:hAnsi="Times New Roman" w:cs="Times New Roman"/>
                <w:color w:val="auto"/>
                <w:kern w:val="0"/>
                <w:szCs w:val="21"/>
                <w:highlight w:val="none"/>
                <w:lang w:eastAsia="zh-CN"/>
              </w:rPr>
              <w:t>西藏嘎朗国家湿地公园，</w:t>
            </w:r>
            <w:r>
              <w:rPr>
                <w:rFonts w:hint="default" w:ascii="Times New Roman" w:hAnsi="Times New Roman" w:cs="Times New Roman"/>
                <w:color w:val="auto"/>
                <w:kern w:val="21"/>
                <w:szCs w:val="21"/>
                <w:highlight w:val="none"/>
              </w:rPr>
              <w:t>保护内容/规模/特性</w:t>
            </w:r>
            <w:r>
              <w:rPr>
                <w:rFonts w:hint="default" w:ascii="Times New Roman" w:hAnsi="Times New Roman" w:cs="Times New Roman"/>
                <w:color w:val="auto"/>
                <w:kern w:val="21"/>
                <w:szCs w:val="21"/>
                <w:highlight w:val="none"/>
                <w:lang w:val="en-US" w:eastAsia="zh-CN"/>
              </w:rPr>
              <w:t>与其一致</w:t>
            </w:r>
          </w:p>
        </w:tc>
        <w:tc>
          <w:tcPr>
            <w:tcW w:w="988" w:type="pct"/>
            <w:vMerge w:val="continue"/>
            <w:vAlign w:val="center"/>
          </w:tcPr>
          <w:p w14:paraId="682C9F0F">
            <w:pPr>
              <w:adjustRightInd w:val="0"/>
              <w:jc w:val="center"/>
              <w:rPr>
                <w:rFonts w:hint="default" w:ascii="Times New Roman" w:hAnsi="Times New Roman" w:cs="Times New Roman"/>
                <w:color w:val="auto"/>
                <w:szCs w:val="21"/>
                <w:highlight w:val="none"/>
              </w:rPr>
            </w:pPr>
          </w:p>
        </w:tc>
      </w:tr>
      <w:tr w14:paraId="1DF9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Align w:val="center"/>
          </w:tcPr>
          <w:p w14:paraId="58B67DE5">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w:t>
            </w:r>
          </w:p>
        </w:tc>
        <w:tc>
          <w:tcPr>
            <w:tcW w:w="522" w:type="pct"/>
            <w:vAlign w:val="center"/>
          </w:tcPr>
          <w:p w14:paraId="6C089D65">
            <w:pPr>
              <w:adjustRightIn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帕隆藏布</w:t>
            </w:r>
          </w:p>
        </w:tc>
        <w:tc>
          <w:tcPr>
            <w:tcW w:w="505" w:type="pct"/>
            <w:vAlign w:val="center"/>
          </w:tcPr>
          <w:p w14:paraId="218B186A">
            <w:pPr>
              <w:widowControl/>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95.586638881</w:t>
            </w:r>
          </w:p>
        </w:tc>
        <w:tc>
          <w:tcPr>
            <w:tcW w:w="505" w:type="pct"/>
            <w:vAlign w:val="center"/>
          </w:tcPr>
          <w:p w14:paraId="7034638F">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29.888562453</w:t>
            </w:r>
          </w:p>
        </w:tc>
        <w:tc>
          <w:tcPr>
            <w:tcW w:w="405" w:type="pct"/>
            <w:vAlign w:val="center"/>
          </w:tcPr>
          <w:p w14:paraId="24DC68FA">
            <w:pPr>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N</w:t>
            </w:r>
          </w:p>
        </w:tc>
        <w:tc>
          <w:tcPr>
            <w:tcW w:w="304" w:type="pct"/>
            <w:vAlign w:val="center"/>
          </w:tcPr>
          <w:p w14:paraId="36B3F465">
            <w:pPr>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紧邻</w:t>
            </w:r>
          </w:p>
        </w:tc>
        <w:tc>
          <w:tcPr>
            <w:tcW w:w="1518" w:type="pct"/>
            <w:vAlign w:val="center"/>
          </w:tcPr>
          <w:p w14:paraId="30B39BA9">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是南北纵贯西藏</w:t>
            </w:r>
            <w:r>
              <w:rPr>
                <w:rFonts w:hint="default" w:ascii="Times New Roman" w:hAnsi="Times New Roman" w:cs="Times New Roman"/>
                <w:color w:val="auto"/>
                <w:szCs w:val="21"/>
                <w:highlight w:val="none"/>
                <w:lang w:eastAsia="zh-CN"/>
              </w:rPr>
              <w:t>林芝市波密县</w:t>
            </w:r>
            <w:r>
              <w:rPr>
                <w:rFonts w:hint="default" w:ascii="Times New Roman" w:hAnsi="Times New Roman" w:cs="Times New Roman"/>
                <w:color w:val="auto"/>
                <w:szCs w:val="21"/>
                <w:highlight w:val="none"/>
              </w:rPr>
              <w:t>南部（雅江以南）的江河，是</w:t>
            </w:r>
            <w:r>
              <w:rPr>
                <w:rFonts w:hint="default" w:ascii="Times New Roman" w:hAnsi="Times New Roman" w:cs="Times New Roman"/>
                <w:color w:val="auto"/>
                <w:szCs w:val="21"/>
                <w:highlight w:val="none"/>
                <w:lang w:eastAsia="zh-CN"/>
              </w:rPr>
              <w:t>林芝市波密县</w:t>
            </w:r>
            <w:r>
              <w:rPr>
                <w:rFonts w:hint="default" w:ascii="Times New Roman" w:hAnsi="Times New Roman" w:cs="Times New Roman"/>
                <w:color w:val="auto"/>
                <w:szCs w:val="21"/>
                <w:highlight w:val="none"/>
              </w:rPr>
              <w:t>泽当镇注入雅鲁藏布江的河流，发源于</w:t>
            </w:r>
            <w:r>
              <w:rPr>
                <w:rFonts w:hint="default" w:ascii="Times New Roman" w:hAnsi="Times New Roman" w:cs="Times New Roman"/>
                <w:color w:val="auto"/>
                <w:szCs w:val="21"/>
                <w:highlight w:val="none"/>
                <w:lang w:eastAsia="zh-CN"/>
              </w:rPr>
              <w:t>林芝市波密县</w:t>
            </w:r>
            <w:r>
              <w:rPr>
                <w:rFonts w:hint="default" w:ascii="Times New Roman" w:hAnsi="Times New Roman" w:cs="Times New Roman"/>
                <w:color w:val="auto"/>
                <w:szCs w:val="21"/>
                <w:highlight w:val="none"/>
              </w:rPr>
              <w:t>南部的雅拉香波山。流域面积920万平方米</w:t>
            </w:r>
          </w:p>
        </w:tc>
        <w:tc>
          <w:tcPr>
            <w:tcW w:w="988" w:type="pct"/>
            <w:vAlign w:val="center"/>
          </w:tcPr>
          <w:p w14:paraId="75677B7B">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《地表水环境质量标准》（GB3838-2002）Ⅱ类标准</w:t>
            </w:r>
          </w:p>
        </w:tc>
      </w:tr>
      <w:tr w14:paraId="2D2F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Align w:val="center"/>
          </w:tcPr>
          <w:p w14:paraId="5E16425D">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地下水环境</w:t>
            </w:r>
          </w:p>
        </w:tc>
        <w:tc>
          <w:tcPr>
            <w:tcW w:w="3759" w:type="pct"/>
            <w:gridSpan w:val="6"/>
            <w:vAlign w:val="center"/>
          </w:tcPr>
          <w:p w14:paraId="2EF6E073">
            <w:pPr>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kern w:val="21"/>
                <w:szCs w:val="21"/>
                <w:highlight w:val="none"/>
              </w:rPr>
              <w:t>规划范围水文地质单元内的具有饮用功能的潜水含水层</w:t>
            </w:r>
          </w:p>
        </w:tc>
        <w:tc>
          <w:tcPr>
            <w:tcW w:w="988" w:type="pct"/>
            <w:vAlign w:val="center"/>
          </w:tcPr>
          <w:p w14:paraId="500D66DB">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《地下水质量标准》（GB/T14848-2017）Ⅲ类标准</w:t>
            </w:r>
          </w:p>
        </w:tc>
      </w:tr>
      <w:tr w14:paraId="33F6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Align w:val="center"/>
          </w:tcPr>
          <w:p w14:paraId="159BEF0C">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土壤环境</w:t>
            </w:r>
          </w:p>
        </w:tc>
        <w:tc>
          <w:tcPr>
            <w:tcW w:w="3759" w:type="pct"/>
            <w:gridSpan w:val="6"/>
            <w:vAlign w:val="center"/>
          </w:tcPr>
          <w:p w14:paraId="1A2E6858">
            <w:pPr>
              <w:adjustRightInd w:val="0"/>
              <w:jc w:val="center"/>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cs="Times New Roman"/>
                <w:color w:val="auto"/>
                <w:szCs w:val="21"/>
                <w:highlight w:val="none"/>
              </w:rPr>
              <w:t>规划占地范围内耕地、林地</w:t>
            </w:r>
            <w:r>
              <w:rPr>
                <w:rFonts w:hint="default" w:ascii="Times New Roman" w:hAnsi="Times New Roman" w:cs="Times New Roman"/>
                <w:color w:val="auto"/>
                <w:kern w:val="21"/>
                <w:szCs w:val="21"/>
                <w:highlight w:val="none"/>
              </w:rPr>
              <w:t>（农用地土壤）</w:t>
            </w:r>
            <w:r>
              <w:rPr>
                <w:rFonts w:hint="default" w:ascii="Times New Roman" w:hAnsi="Times New Roman" w:cs="Times New Roman"/>
                <w:color w:val="auto"/>
                <w:kern w:val="21"/>
                <w:szCs w:val="21"/>
                <w:highlight w:val="none"/>
                <w:lang w:val="en-US" w:eastAsia="zh-CN"/>
              </w:rPr>
              <w:t>等</w:t>
            </w:r>
          </w:p>
        </w:tc>
        <w:tc>
          <w:tcPr>
            <w:tcW w:w="988" w:type="pct"/>
            <w:vAlign w:val="center"/>
          </w:tcPr>
          <w:p w14:paraId="0165A84D">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1"/>
                <w:szCs w:val="21"/>
                <w:highlight w:val="none"/>
              </w:rPr>
              <w:t>《土壤环境质量农用地土壤污染风险管控标准（试行）》（GB15618-2018）风险筛选值</w:t>
            </w:r>
          </w:p>
        </w:tc>
      </w:tr>
      <w:tr w14:paraId="6B73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restart"/>
            <w:vAlign w:val="center"/>
          </w:tcPr>
          <w:p w14:paraId="148E9C15">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生态环境</w:t>
            </w:r>
          </w:p>
        </w:tc>
        <w:tc>
          <w:tcPr>
            <w:tcW w:w="522" w:type="pct"/>
            <w:vAlign w:val="center"/>
          </w:tcPr>
          <w:p w14:paraId="3E06810F">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动物、植被等</w:t>
            </w:r>
          </w:p>
        </w:tc>
        <w:tc>
          <w:tcPr>
            <w:tcW w:w="3237" w:type="pct"/>
            <w:gridSpan w:val="5"/>
            <w:vAlign w:val="center"/>
          </w:tcPr>
          <w:p w14:paraId="1A91F577">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规划区</w:t>
            </w:r>
          </w:p>
        </w:tc>
        <w:tc>
          <w:tcPr>
            <w:tcW w:w="988" w:type="pct"/>
            <w:vAlign w:val="center"/>
          </w:tcPr>
          <w:p w14:paraId="6C82A7FA">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保护生态系统完整性</w:t>
            </w:r>
          </w:p>
        </w:tc>
      </w:tr>
      <w:tr w14:paraId="4935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5026AFCE">
            <w:pPr>
              <w:adjustRightInd w:val="0"/>
              <w:jc w:val="center"/>
              <w:rPr>
                <w:rFonts w:hint="default" w:ascii="Times New Roman" w:hAnsi="Times New Roman" w:cs="Times New Roman"/>
                <w:color w:val="auto"/>
                <w:szCs w:val="21"/>
                <w:highlight w:val="none"/>
              </w:rPr>
            </w:pPr>
          </w:p>
        </w:tc>
        <w:tc>
          <w:tcPr>
            <w:tcW w:w="522" w:type="pct"/>
            <w:vAlign w:val="center"/>
          </w:tcPr>
          <w:p w14:paraId="7829A24F">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eastAsia="zh-CN"/>
              </w:rPr>
              <w:t>雅鲁藏布大峡谷国家级自然保护区</w:t>
            </w:r>
          </w:p>
        </w:tc>
        <w:tc>
          <w:tcPr>
            <w:tcW w:w="3237" w:type="pct"/>
            <w:gridSpan w:val="5"/>
            <w:vAlign w:val="center"/>
          </w:tcPr>
          <w:p w14:paraId="6C6AF85E">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位于西藏林芝市（墨脱、波密、米林、巴宜4县区），北纬29°05′–30°20′，东经94°39′–96°06′，面积：91.68万公顷（核心区32万、缓冲区3.7万、实验区55.98万）；主要保护对象为完整山地森林生态系统（核心），同时保护云南红豆杉、巨柏、长蕊木兰、穗花杉、千果榄仁、小果紫薇、海南粗榧等保护植物，保护云豹、羚牛、赤斑羚、林麝、喜马拉雅麝、孟加拉虎、小熊猫、绿尾虹雉、棕颈犀鸟、白腹锦鸡、熊猴、猕猴、金猫、豹猫、墨脱缺翅虫等保护动物；保护其特殊自然环境与景观</w:t>
            </w:r>
          </w:p>
        </w:tc>
        <w:tc>
          <w:tcPr>
            <w:tcW w:w="988" w:type="pct"/>
            <w:vAlign w:val="center"/>
          </w:tcPr>
          <w:p w14:paraId="5C4F6CAE">
            <w:pPr>
              <w:adjustRightInd w:val="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规划范围内为试验区，规划范围外南侧为核心区</w:t>
            </w:r>
          </w:p>
        </w:tc>
      </w:tr>
      <w:tr w14:paraId="30B0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43C602FA">
            <w:pPr>
              <w:adjustRightInd w:val="0"/>
              <w:jc w:val="center"/>
              <w:rPr>
                <w:rFonts w:hint="default" w:ascii="Times New Roman" w:hAnsi="Times New Roman" w:cs="Times New Roman"/>
                <w:color w:val="auto"/>
                <w:szCs w:val="21"/>
                <w:highlight w:val="none"/>
              </w:rPr>
            </w:pPr>
          </w:p>
        </w:tc>
        <w:tc>
          <w:tcPr>
            <w:tcW w:w="522" w:type="pct"/>
            <w:vAlign w:val="center"/>
          </w:tcPr>
          <w:p w14:paraId="753DDCA0">
            <w:pPr>
              <w:adjustRightInd w:val="0"/>
              <w:jc w:val="center"/>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西藏嘎朗国家湿地公园</w:t>
            </w:r>
          </w:p>
        </w:tc>
        <w:tc>
          <w:tcPr>
            <w:tcW w:w="3237" w:type="pct"/>
            <w:gridSpan w:val="5"/>
            <w:vAlign w:val="center"/>
          </w:tcPr>
          <w:p w14:paraId="25433BE5">
            <w:pPr>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位于</w:t>
            </w:r>
            <w:r>
              <w:rPr>
                <w:rFonts w:hint="default" w:ascii="Times New Roman" w:hAnsi="Times New Roman" w:cs="Times New Roman"/>
                <w:color w:val="auto"/>
                <w:szCs w:val="21"/>
                <w:highlight w:val="none"/>
              </w:rPr>
              <w:t>林芝市波密县古乡嘎朗村（波堆藏布×帕隆藏布交汇处）</w:t>
            </w:r>
            <w:r>
              <w:rPr>
                <w:rFonts w:hint="default" w:ascii="Times New Roman" w:hAnsi="Times New Roman" w:cs="Times New Roman"/>
                <w:color w:val="auto"/>
                <w:szCs w:val="21"/>
                <w:highlight w:val="none"/>
                <w:lang w:eastAsia="zh-CN"/>
              </w:rPr>
              <w:t>，东经95°35′–95°40′，北纬29°53′–29°55′，面积：2689公顷（湿地1513.54公顷）；海拔：约2700米；核心水体：嘎朗湖（天然堰塞湖，面积约2平方公里）；</w:t>
            </w:r>
            <w:r>
              <w:rPr>
                <w:rFonts w:hint="default" w:ascii="Times New Roman" w:hAnsi="Times New Roman" w:cs="Times New Roman"/>
                <w:color w:val="auto"/>
                <w:szCs w:val="21"/>
                <w:highlight w:val="none"/>
                <w:lang w:val="en-US" w:eastAsia="zh-CN"/>
              </w:rPr>
              <w:t>保护对象为高原湖泊湿地生态系统，黑颈鹤、中华秋沙鸭、白尾海雕、金雕、林麝、马麝、羚牛、鸳鸯、灰鹤、棕颈犀鸟、藏马鸡、小熊猫、黑熊、水獭、豹猫、拉萨裸裂尻鱼、异齿裂腹鱼、波密裂腹鱼等珍稀野生动物，湿地与山地植物，特殊自然与人文价值</w:t>
            </w:r>
          </w:p>
        </w:tc>
        <w:tc>
          <w:tcPr>
            <w:tcW w:w="988" w:type="pct"/>
            <w:vAlign w:val="center"/>
          </w:tcPr>
          <w:p w14:paraId="14212B12">
            <w:pPr>
              <w:adjustRightIn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规划范围内涉及湿地体验区、湿地功能展示区</w:t>
            </w:r>
          </w:p>
        </w:tc>
      </w:tr>
      <w:tr w14:paraId="3C9E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vMerge w:val="continue"/>
            <w:vAlign w:val="center"/>
          </w:tcPr>
          <w:p w14:paraId="477D8E09">
            <w:pPr>
              <w:adjustRightInd w:val="0"/>
              <w:jc w:val="center"/>
              <w:rPr>
                <w:rFonts w:hint="default" w:ascii="Times New Roman" w:hAnsi="Times New Roman" w:cs="Times New Roman"/>
                <w:color w:val="auto"/>
                <w:szCs w:val="21"/>
                <w:highlight w:val="none"/>
              </w:rPr>
            </w:pPr>
          </w:p>
        </w:tc>
        <w:tc>
          <w:tcPr>
            <w:tcW w:w="522" w:type="pct"/>
            <w:vAlign w:val="center"/>
          </w:tcPr>
          <w:p w14:paraId="17188A27">
            <w:pPr>
              <w:adjustRightInd w:val="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生态保护红线</w:t>
            </w:r>
          </w:p>
        </w:tc>
        <w:tc>
          <w:tcPr>
            <w:tcW w:w="3237" w:type="pct"/>
            <w:gridSpan w:val="5"/>
            <w:vAlign w:val="center"/>
          </w:tcPr>
          <w:p w14:paraId="55B96D0A">
            <w:pPr>
              <w:adjustRightIn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该生态保护红线为</w:t>
            </w:r>
            <w:r>
              <w:rPr>
                <w:rFonts w:hint="default" w:ascii="Times New Roman" w:hAnsi="Times New Roman" w:cs="Times New Roman"/>
                <w:color w:val="auto"/>
                <w:kern w:val="0"/>
                <w:szCs w:val="21"/>
                <w:highlight w:val="none"/>
                <w:lang w:eastAsia="zh-CN"/>
              </w:rPr>
              <w:t>雅鲁藏布大峡谷国家级自然保护区</w:t>
            </w:r>
            <w:r>
              <w:rPr>
                <w:rFonts w:hint="default" w:ascii="Times New Roman" w:hAnsi="Times New Roman" w:cs="Times New Roman"/>
                <w:color w:val="auto"/>
                <w:kern w:val="0"/>
                <w:szCs w:val="21"/>
                <w:highlight w:val="none"/>
                <w:lang w:val="en-US" w:eastAsia="zh-CN"/>
              </w:rPr>
              <w:t>与</w:t>
            </w:r>
            <w:r>
              <w:rPr>
                <w:rFonts w:hint="default" w:ascii="Times New Roman" w:hAnsi="Times New Roman" w:cs="Times New Roman"/>
                <w:color w:val="auto"/>
                <w:kern w:val="0"/>
                <w:szCs w:val="21"/>
                <w:highlight w:val="none"/>
                <w:lang w:eastAsia="zh-CN"/>
              </w:rPr>
              <w:t>西藏嘎朗国家湿地公园，</w:t>
            </w:r>
            <w:r>
              <w:rPr>
                <w:rFonts w:hint="default" w:ascii="Times New Roman" w:hAnsi="Times New Roman" w:cs="Times New Roman"/>
                <w:color w:val="auto"/>
                <w:kern w:val="21"/>
                <w:szCs w:val="21"/>
                <w:highlight w:val="none"/>
              </w:rPr>
              <w:t>保护内容/规模/特性</w:t>
            </w:r>
            <w:r>
              <w:rPr>
                <w:rFonts w:hint="default" w:ascii="Times New Roman" w:hAnsi="Times New Roman" w:cs="Times New Roman"/>
                <w:color w:val="auto"/>
                <w:kern w:val="21"/>
                <w:szCs w:val="21"/>
                <w:highlight w:val="none"/>
                <w:lang w:val="en-US" w:eastAsia="zh-CN"/>
              </w:rPr>
              <w:t>与其一致</w:t>
            </w:r>
          </w:p>
        </w:tc>
        <w:tc>
          <w:tcPr>
            <w:tcW w:w="988" w:type="pct"/>
            <w:vAlign w:val="center"/>
          </w:tcPr>
          <w:p w14:paraId="4F4ED289">
            <w:pPr>
              <w:adjustRightIn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规划范围内为一般控制区，规划范围外南侧为核心保护区</w:t>
            </w:r>
          </w:p>
        </w:tc>
      </w:tr>
    </w:tbl>
    <w:p w14:paraId="4D940A6E">
      <w:pPr>
        <w:pStyle w:val="36"/>
        <w:rPr>
          <w:rFonts w:hint="default" w:ascii="Times New Roman" w:hAnsi="Times New Roman" w:cs="Times New Roman"/>
          <w:color w:val="auto"/>
          <w:highlight w:val="none"/>
          <w:lang w:val="en-US"/>
        </w:rPr>
        <w:sectPr>
          <w:pgSz w:w="16838" w:h="11906" w:orient="landscape"/>
          <w:pgMar w:top="1474" w:right="1474" w:bottom="1474" w:left="1474" w:header="1134" w:footer="850" w:gutter="0"/>
          <w:pgBorders>
            <w:top w:val="none" w:sz="0" w:space="0"/>
            <w:left w:val="none" w:sz="0" w:space="0"/>
            <w:bottom w:val="none" w:sz="0" w:space="0"/>
            <w:right w:val="none" w:sz="0" w:space="0"/>
          </w:pgBorders>
          <w:cols w:space="720" w:num="1"/>
          <w:docGrid w:type="lines" w:linePitch="312" w:charSpace="0"/>
        </w:sectPr>
      </w:pPr>
      <w:bookmarkStart w:id="75" w:name="_Hlk72168752"/>
    </w:p>
    <w:bookmarkEnd w:id="75"/>
    <w:p w14:paraId="619F9811">
      <w:pPr>
        <w:pStyle w:val="3"/>
        <w:spacing w:before="156" w:after="156"/>
        <w:rPr>
          <w:rFonts w:hint="default" w:ascii="Times New Roman" w:hAnsi="Times New Roman" w:cs="Times New Roman"/>
          <w:color w:val="auto"/>
          <w:highlight w:val="none"/>
        </w:rPr>
      </w:pPr>
      <w:bookmarkStart w:id="76" w:name="_Toc28562"/>
      <w:bookmarkStart w:id="77" w:name="_Toc519260267"/>
      <w:bookmarkStart w:id="78" w:name="_Toc9092740"/>
      <w:r>
        <w:rPr>
          <w:rFonts w:hint="default" w:ascii="Times New Roman" w:hAnsi="Times New Roman" w:cs="Times New Roman"/>
          <w:color w:val="auto"/>
          <w:highlight w:val="none"/>
        </w:rPr>
        <w:t>评价流程</w:t>
      </w:r>
      <w:bookmarkEnd w:id="76"/>
    </w:p>
    <w:p w14:paraId="4299A5BC">
      <w:pPr>
        <w:autoSpaceDE w:val="0"/>
        <w:autoSpaceDN w:val="0"/>
        <w:adjustRightInd w:val="0"/>
        <w:spacing w:line="360" w:lineRule="auto"/>
        <w:ind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本次规划环境影响评价工作程序见图1.11-1。</w:t>
      </w:r>
    </w:p>
    <w:p w14:paraId="7AE03119">
      <w:pPr>
        <w:jc w:val="center"/>
        <w:rPr>
          <w:rFonts w:hint="default" w:ascii="Times New Roman" w:hAnsi="Times New Roman" w:cs="Times New Roman"/>
          <w:color w:val="auto"/>
          <w:highlight w:val="none"/>
        </w:rPr>
      </w:pPr>
      <w:r>
        <w:rPr>
          <w:rFonts w:hint="default" w:ascii="Times New Roman" w:hAnsi="Times New Roman" w:eastAsia="楷体" w:cs="Times New Roman"/>
          <w:color w:val="auto"/>
          <w:highlight w:val="none"/>
        </w:rPr>
        <w:drawing>
          <wp:inline distT="0" distB="0" distL="114300" distR="114300">
            <wp:extent cx="5775325" cy="6476365"/>
            <wp:effectExtent l="19050" t="19050" r="0" b="635"/>
            <wp:docPr id="114" name="图片 114" descr="QQ截图2020110622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QQ截图20201106223959"/>
                    <pic:cNvPicPr>
                      <a:picLocks noChangeAspect="1"/>
                    </pic:cNvPicPr>
                  </pic:nvPicPr>
                  <pic:blipFill>
                    <a:blip r:embed="rId23" cstate="print"/>
                    <a:srcRect l="2872" r="3062"/>
                    <a:stretch>
                      <a:fillRect/>
                    </a:stretch>
                  </pic:blipFill>
                  <pic:spPr>
                    <a:xfrm>
                      <a:off x="0" y="0"/>
                      <a:ext cx="5778742" cy="6480314"/>
                    </a:xfrm>
                    <a:prstGeom prst="rect">
                      <a:avLst/>
                    </a:prstGeom>
                    <a:ln w="12700">
                      <a:solidFill>
                        <a:schemeClr val="tx1"/>
                      </a:solidFill>
                    </a:ln>
                  </pic:spPr>
                </pic:pic>
              </a:graphicData>
            </a:graphic>
          </wp:inline>
        </w:drawing>
      </w:r>
    </w:p>
    <w:p w14:paraId="05C88372">
      <w:pPr>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图1.11-1  规划环境影响评价工作技术流程图</w:t>
      </w:r>
    </w:p>
    <w:bookmarkEnd w:id="77"/>
    <w:bookmarkEnd w:id="78"/>
    <w:p w14:paraId="78676D86">
      <w:pPr>
        <w:pStyle w:val="2"/>
        <w:spacing w:before="312" w:after="312"/>
        <w:rPr>
          <w:rFonts w:hint="default" w:ascii="Times New Roman" w:hAnsi="Times New Roman" w:cs="Times New Roman"/>
          <w:color w:val="auto"/>
          <w:highlight w:val="none"/>
        </w:rPr>
      </w:pPr>
      <w:bookmarkStart w:id="79" w:name="_Toc8757"/>
      <w:r>
        <w:rPr>
          <w:rFonts w:hint="default" w:ascii="Times New Roman" w:hAnsi="Times New Roman" w:cs="Times New Roman"/>
          <w:color w:val="auto"/>
          <w:highlight w:val="none"/>
        </w:rPr>
        <w:t>规划分析</w:t>
      </w:r>
      <w:bookmarkEnd w:id="79"/>
    </w:p>
    <w:p w14:paraId="32E1A7F7">
      <w:pPr>
        <w:pStyle w:val="3"/>
        <w:spacing w:before="156" w:after="156"/>
        <w:rPr>
          <w:rFonts w:hint="default" w:ascii="Times New Roman" w:hAnsi="Times New Roman" w:cs="Times New Roman"/>
          <w:color w:val="auto"/>
          <w:highlight w:val="none"/>
        </w:rPr>
      </w:pPr>
      <w:bookmarkStart w:id="80" w:name="_Toc9433"/>
      <w:r>
        <w:rPr>
          <w:rFonts w:hint="default" w:ascii="Times New Roman" w:hAnsi="Times New Roman" w:cs="Times New Roman"/>
          <w:color w:val="auto"/>
          <w:highlight w:val="none"/>
        </w:rPr>
        <w:t>规划概述</w:t>
      </w:r>
      <w:bookmarkEnd w:id="80"/>
    </w:p>
    <w:p w14:paraId="15F572FE">
      <w:pPr>
        <w:pStyle w:val="4"/>
        <w:spacing w:before="156" w:afterLines="0"/>
        <w:rPr>
          <w:rFonts w:hint="default" w:ascii="Times New Roman" w:hAnsi="Times New Roman" w:cs="Times New Roman"/>
          <w:color w:val="auto"/>
          <w:highlight w:val="none"/>
        </w:rPr>
      </w:pPr>
      <w:r>
        <w:rPr>
          <w:rFonts w:hint="default" w:ascii="Times New Roman" w:hAnsi="Times New Roman" w:cs="Times New Roman"/>
          <w:color w:val="auto"/>
          <w:highlight w:val="none"/>
        </w:rPr>
        <w:t>规划基本情况</w:t>
      </w:r>
    </w:p>
    <w:p w14:paraId="04493FF6">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bCs/>
          <w:color w:val="auto"/>
          <w:kern w:val="0"/>
          <w:sz w:val="24"/>
          <w:highlight w:val="none"/>
          <w:lang w:val="en-US" w:eastAsia="zh-CN"/>
        </w:rPr>
        <w:t>波密县岗云杉林旅游景区创建4A级规划</w:t>
      </w:r>
      <w:r>
        <w:rPr>
          <w:rFonts w:hint="default" w:ascii="Times New Roman" w:hAnsi="Times New Roman" w:cs="Times New Roman"/>
          <w:color w:val="auto"/>
          <w:kern w:val="0"/>
          <w:sz w:val="24"/>
          <w:highlight w:val="none"/>
        </w:rPr>
        <w:t>基本情况见表2.1-1。</w:t>
      </w:r>
    </w:p>
    <w:p w14:paraId="09277100">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表2.1-1  规划基本情况一览表</w:t>
      </w:r>
    </w:p>
    <w:tbl>
      <w:tblPr>
        <w:tblStyle w:val="5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942"/>
        <w:gridCol w:w="7130"/>
      </w:tblGrid>
      <w:tr w14:paraId="7427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0" w:type="pct"/>
            <w:vAlign w:val="center"/>
          </w:tcPr>
          <w:p w14:paraId="4926BC0E">
            <w:pPr>
              <w:pStyle w:val="28"/>
              <w:tabs>
                <w:tab w:val="left" w:pos="84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规划名称</w:t>
            </w:r>
          </w:p>
        </w:tc>
        <w:tc>
          <w:tcPr>
            <w:tcW w:w="3929" w:type="pct"/>
          </w:tcPr>
          <w:p w14:paraId="6E09419F">
            <w:pPr>
              <w:pStyle w:val="28"/>
              <w:tabs>
                <w:tab w:val="left" w:pos="840"/>
              </w:tabs>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波密县岗云杉林旅游景区创建4A级规划</w:t>
            </w:r>
          </w:p>
        </w:tc>
      </w:tr>
      <w:tr w14:paraId="2DF8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0" w:type="pct"/>
            <w:vAlign w:val="center"/>
          </w:tcPr>
          <w:p w14:paraId="5A74C1E4">
            <w:pPr>
              <w:pStyle w:val="28"/>
              <w:tabs>
                <w:tab w:val="left" w:pos="84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建设单位</w:t>
            </w:r>
          </w:p>
        </w:tc>
        <w:tc>
          <w:tcPr>
            <w:tcW w:w="3929" w:type="pct"/>
          </w:tcPr>
          <w:p w14:paraId="4C3F2843">
            <w:pPr>
              <w:pStyle w:val="28"/>
              <w:tabs>
                <w:tab w:val="left" w:pos="840"/>
              </w:tabs>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波密县文化和旅游局</w:t>
            </w:r>
          </w:p>
        </w:tc>
      </w:tr>
      <w:tr w14:paraId="2094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0" w:type="pct"/>
            <w:vAlign w:val="center"/>
          </w:tcPr>
          <w:p w14:paraId="2D0AA184">
            <w:pPr>
              <w:pStyle w:val="28"/>
              <w:tabs>
                <w:tab w:val="left" w:pos="84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地理位置</w:t>
            </w:r>
          </w:p>
        </w:tc>
        <w:tc>
          <w:tcPr>
            <w:tcW w:w="3929" w:type="pct"/>
          </w:tcPr>
          <w:p w14:paraId="0BE30DC9">
            <w:pPr>
              <w:pStyle w:val="28"/>
              <w:tabs>
                <w:tab w:val="left" w:pos="840"/>
              </w:tabs>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西藏自治区</w:t>
            </w:r>
            <w:r>
              <w:rPr>
                <w:rFonts w:hint="default" w:ascii="Times New Roman" w:hAnsi="Times New Roman" w:cs="Times New Roman"/>
                <w:color w:val="auto"/>
                <w:kern w:val="0"/>
                <w:szCs w:val="21"/>
                <w:highlight w:val="none"/>
                <w:lang w:eastAsia="zh-CN"/>
              </w:rPr>
              <w:t>林芝市波密县扎木镇、古乡</w:t>
            </w:r>
          </w:p>
        </w:tc>
      </w:tr>
      <w:tr w14:paraId="1C65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0" w:type="pct"/>
            <w:vAlign w:val="center"/>
          </w:tcPr>
          <w:p w14:paraId="00E8B416">
            <w:pPr>
              <w:pStyle w:val="28"/>
              <w:tabs>
                <w:tab w:val="left" w:pos="84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val="en-US" w:eastAsia="zh-CN"/>
              </w:rPr>
              <w:t>总体</w:t>
            </w:r>
            <w:r>
              <w:rPr>
                <w:rFonts w:hint="default" w:ascii="Times New Roman" w:hAnsi="Times New Roman" w:cs="Times New Roman"/>
                <w:bCs/>
                <w:color w:val="auto"/>
                <w:kern w:val="0"/>
                <w:szCs w:val="21"/>
                <w:highlight w:val="none"/>
              </w:rPr>
              <w:t>规划范围</w:t>
            </w:r>
          </w:p>
        </w:tc>
        <w:tc>
          <w:tcPr>
            <w:tcW w:w="3929" w:type="pct"/>
          </w:tcPr>
          <w:p w14:paraId="7A514F89">
            <w:pPr>
              <w:pStyle w:val="28"/>
              <w:tabs>
                <w:tab w:val="left" w:pos="840"/>
              </w:tabs>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北起帕隆藏布，南至拉卡背后山林，西起巴卡大桥，东至岗巴大桥，规划范围总面积6.81平方公里，主要涉及村庄包含岗巴村和巴卡村。</w:t>
            </w:r>
          </w:p>
        </w:tc>
      </w:tr>
      <w:tr w14:paraId="31E7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0" w:type="pct"/>
            <w:vAlign w:val="center"/>
          </w:tcPr>
          <w:p w14:paraId="60E8E2DA">
            <w:pPr>
              <w:pStyle w:val="28"/>
              <w:tabs>
                <w:tab w:val="left" w:pos="840"/>
              </w:tabs>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控制性详细规划范围</w:t>
            </w:r>
          </w:p>
        </w:tc>
        <w:tc>
          <w:tcPr>
            <w:tcW w:w="3929" w:type="pct"/>
          </w:tcPr>
          <w:p w14:paraId="085AE719">
            <w:pPr>
              <w:pStyle w:val="28"/>
              <w:tabs>
                <w:tab w:val="left" w:pos="840"/>
              </w:tabs>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包含三个节点，分别为低碳研学营节点，规划范围面积1.17公顷；岗巴检票口节点，规划范围面积0.10公顷；新建游客中心节点，规划范围面积1.31公顷。</w:t>
            </w:r>
          </w:p>
        </w:tc>
      </w:tr>
      <w:tr w14:paraId="34F7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0" w:type="pct"/>
            <w:vAlign w:val="center"/>
          </w:tcPr>
          <w:p w14:paraId="6F8942B6">
            <w:pPr>
              <w:pStyle w:val="28"/>
              <w:tabs>
                <w:tab w:val="left" w:pos="840"/>
              </w:tabs>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规划期限</w:t>
            </w:r>
          </w:p>
        </w:tc>
        <w:tc>
          <w:tcPr>
            <w:tcW w:w="3929" w:type="pct"/>
          </w:tcPr>
          <w:p w14:paraId="7C7931CE">
            <w:pPr>
              <w:pStyle w:val="28"/>
              <w:tabs>
                <w:tab w:val="left" w:pos="840"/>
              </w:tabs>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本次规划期限为2025年-2035年。</w:t>
            </w:r>
          </w:p>
          <w:p w14:paraId="28BDF7E4">
            <w:pPr>
              <w:pStyle w:val="28"/>
              <w:tabs>
                <w:tab w:val="left" w:pos="840"/>
              </w:tabs>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近期</w:t>
            </w:r>
            <w:r>
              <w:rPr>
                <w:rFonts w:hint="default" w:ascii="Times New Roman" w:hAnsi="Times New Roman" w:cs="Times New Roman"/>
                <w:color w:val="auto"/>
                <w:kern w:val="0"/>
                <w:szCs w:val="21"/>
                <w:highlight w:val="none"/>
              </w:rPr>
              <w:t>：2025-20</w:t>
            </w:r>
            <w:r>
              <w:rPr>
                <w:rFonts w:hint="default" w:ascii="Times New Roman" w:hAnsi="Times New Roman" w:cs="Times New Roman"/>
                <w:color w:val="auto"/>
                <w:kern w:val="0"/>
                <w:szCs w:val="21"/>
                <w:highlight w:val="none"/>
                <w:lang w:val="en-US" w:eastAsia="zh-CN"/>
              </w:rPr>
              <w:t>27</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中期2027-2030年</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远期：2031-2035年。</w:t>
            </w:r>
          </w:p>
        </w:tc>
      </w:tr>
      <w:tr w14:paraId="472E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0" w:type="pct"/>
            <w:vAlign w:val="center"/>
          </w:tcPr>
          <w:p w14:paraId="744E20BB">
            <w:pPr>
              <w:pStyle w:val="28"/>
              <w:tabs>
                <w:tab w:val="left" w:pos="840"/>
              </w:tabs>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规划原则</w:t>
            </w:r>
          </w:p>
        </w:tc>
        <w:tc>
          <w:tcPr>
            <w:tcW w:w="3929" w:type="pct"/>
          </w:tcPr>
          <w:p w14:paraId="250AAC66">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1、保护优先，科学开发</w:t>
            </w:r>
          </w:p>
          <w:p w14:paraId="278F6E17">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在旅游开发中，始终牢固树立和践行“绿水青山就是金山银山”理念，坚持科学合理的指导思想和行为方式，注重对资源、环境的切实有效保护，防止和杜绝掠夺性、破坏性开发利用，实现永续利用和可持续发展的绿色产业目标。</w:t>
            </w:r>
          </w:p>
          <w:p w14:paraId="572F19CA">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2、多元统筹，协调共生</w:t>
            </w:r>
          </w:p>
          <w:p w14:paraId="2A35B4E6">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权衡景区生态环境、历史文化保护、社会经济发展的综合效益，统筹景区自身发展与社会需求之间关系，使各个子系统合作共存，互惠互利，提高资源利用率，保持系统内部各组分、各层次及系统与环境之间相互关系的协调、有序和相对平衡。创造环境优美、社会文明、生态环境良好、景观形象和游赏魅力独特、设施方便的生态游览空间。</w:t>
            </w:r>
          </w:p>
          <w:p w14:paraId="5E818CAF">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3、市场导向，突出特色</w:t>
            </w:r>
          </w:p>
          <w:p w14:paraId="7686B2FD">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旅游项目和产品的开发应坚持市场导向和特色第一的方针，高度重视市场的需求状况、特征及其变动趋势，扬己之长、避己之短；岗云杉林生态旅游景区应重点以森林徒步、草湖风光和保存完好的藏式原生村落作为差异性提升旅游吸引力。</w:t>
            </w:r>
          </w:p>
          <w:p w14:paraId="06DF4CA6">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4、梯次推进，逐步深入</w:t>
            </w:r>
          </w:p>
          <w:p w14:paraId="76660643">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景区旅游项目开发建设，应当分阶段分步实施，并注意在项目等级、水准、内容、性质、特征等方面不断提高、深化、丰富和强化。</w:t>
            </w:r>
          </w:p>
          <w:p w14:paraId="4460982A">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5、围绕核心，优化配套</w:t>
            </w:r>
          </w:p>
          <w:p w14:paraId="748C89F0">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旅游项目和产品的开发建设，必须在抓住生态康养这一核心的同时，注意交通线路沿线的补充和搭配，做好基础设施和服务接待设施建设，构建成熟的旅游项目和产品。</w:t>
            </w:r>
          </w:p>
          <w:p w14:paraId="51D90334">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6、村民参与，共同受益</w:t>
            </w:r>
          </w:p>
          <w:p w14:paraId="684B6227">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坚持“景村一体”理念，强化村民在景区发展中的主动参与，以实现当地人口、经济和社会的协调发展。为此，在进行景区旅游开发时，必须坚持村庄文化建设、村民参与、普遍受益的原则。</w:t>
            </w:r>
          </w:p>
        </w:tc>
      </w:tr>
      <w:tr w14:paraId="6120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0" w:type="pct"/>
            <w:vAlign w:val="center"/>
          </w:tcPr>
          <w:p w14:paraId="25240494">
            <w:pPr>
              <w:pStyle w:val="28"/>
              <w:tabs>
                <w:tab w:val="left" w:pos="840"/>
              </w:tabs>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rPr>
              <w:t>规划</w:t>
            </w:r>
            <w:r>
              <w:rPr>
                <w:rFonts w:hint="default" w:ascii="Times New Roman" w:hAnsi="Times New Roman" w:cs="Times New Roman"/>
                <w:bCs/>
                <w:color w:val="auto"/>
                <w:kern w:val="0"/>
                <w:szCs w:val="21"/>
                <w:highlight w:val="none"/>
                <w:lang w:val="en-US" w:eastAsia="zh-CN"/>
              </w:rPr>
              <w:t>总体定位</w:t>
            </w:r>
          </w:p>
        </w:tc>
        <w:tc>
          <w:tcPr>
            <w:tcW w:w="3929" w:type="pct"/>
          </w:tcPr>
          <w:p w14:paraId="420160D7">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将资源优势、生态优势转化为产业优势和发展优势。“三生融合”示范景区：生态保护标杆/生活体验窗口/生产创新样板。打造西藏首个森林康养旅游目的地，国家级森林徒步天堂。</w:t>
            </w:r>
          </w:p>
        </w:tc>
      </w:tr>
      <w:tr w14:paraId="64DD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0" w:type="pct"/>
            <w:vAlign w:val="center"/>
          </w:tcPr>
          <w:p w14:paraId="5A874724">
            <w:pPr>
              <w:pStyle w:val="28"/>
              <w:tabs>
                <w:tab w:val="left" w:pos="840"/>
              </w:tabs>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旅游资源</w:t>
            </w:r>
          </w:p>
        </w:tc>
        <w:tc>
          <w:tcPr>
            <w:tcW w:w="3929" w:type="pct"/>
          </w:tcPr>
          <w:p w14:paraId="702B2EAD">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五级旅游资源（2个）：岗云杉林、草湖</w:t>
            </w:r>
            <w:r>
              <w:rPr>
                <w:rFonts w:hint="eastAsia" w:ascii="Times New Roman" w:hAnsi="Times New Roman" w:cs="Times New Roman"/>
                <w:color w:val="auto"/>
                <w:kern w:val="0"/>
                <w:szCs w:val="21"/>
                <w:highlight w:val="none"/>
                <w:lang w:val="en-US" w:eastAsia="zh-CN"/>
              </w:rPr>
              <w:t>。</w:t>
            </w:r>
          </w:p>
          <w:p w14:paraId="3C3F92A7">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四级旅游资源（5个）：非物质文化遗产（波卓、曲艺说白、波央、竹编制作技艺等）、岗巴村、巴卡村、巴卡村民宿群、帕隆藏布。</w:t>
            </w:r>
          </w:p>
          <w:p w14:paraId="272C6D59">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三级旅游资源单体（9个）：云杉王、山神石像、青冈林、喜德林卡、天象景观（草湖云雾、彩虹、星辰等）、岗云杉林徒步道、非遗体验馆、灵溪山居、云杉居。</w:t>
            </w:r>
          </w:p>
          <w:p w14:paraId="11C12C85">
            <w:pPr>
              <w:pStyle w:val="28"/>
              <w:tabs>
                <w:tab w:val="left" w:pos="840"/>
              </w:tabs>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一、二级资源若干，此处不予单列。</w:t>
            </w:r>
          </w:p>
        </w:tc>
      </w:tr>
    </w:tbl>
    <w:p w14:paraId="67618656">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岗云杉林景区</w:t>
      </w:r>
      <w:r>
        <w:rPr>
          <w:rFonts w:hint="default" w:ascii="Times New Roman" w:hAnsi="Times New Roman" w:cs="Times New Roman"/>
          <w:color w:val="auto"/>
          <w:kern w:val="0"/>
          <w:sz w:val="24"/>
          <w:highlight w:val="none"/>
        </w:rPr>
        <w:t>地理位置图见附图1。</w:t>
      </w:r>
    </w:p>
    <w:p w14:paraId="6AEA109F">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规划定位、规模和结构</w:t>
      </w:r>
    </w:p>
    <w:p w14:paraId="19BD0FB4">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规划定位</w:t>
      </w:r>
    </w:p>
    <w:p w14:paraId="71F533D0">
      <w:pPr>
        <w:pStyle w:val="28"/>
        <w:tabs>
          <w:tab w:val="left" w:pos="840"/>
        </w:tabs>
        <w:spacing w:line="360" w:lineRule="auto"/>
        <w:ind w:firstLine="482" w:firstLineChars="200"/>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（1）总体定位</w:t>
      </w:r>
    </w:p>
    <w:p w14:paraId="0B72A873">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将资源优势、生态优势转化为产业优势和发展优势。“三生融合”示范景区：生态保护标杆/生活体验窗口/生产创新样板。打造西藏首个森林康养旅游目的地，国家级森林徒步天堂。</w:t>
      </w:r>
    </w:p>
    <w:p w14:paraId="3C14A61B">
      <w:pPr>
        <w:pStyle w:val="28"/>
        <w:tabs>
          <w:tab w:val="left" w:pos="840"/>
        </w:tabs>
        <w:spacing w:line="360" w:lineRule="auto"/>
        <w:ind w:firstLine="482" w:firstLineChars="200"/>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（2）形象定位</w:t>
      </w:r>
    </w:p>
    <w:p w14:paraId="73E0097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①藏地绿野仙踪·岗巴彼岸新生</w:t>
      </w:r>
    </w:p>
    <w:p w14:paraId="2B71D6D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借用童话意象，唤起对神秘、原始、梦幻森林的向往，彼岸新生点明景区心灵疗愈主题，打造远离尘嚣、回归自然的顶级康养目的地。</w:t>
      </w:r>
    </w:p>
    <w:p w14:paraId="11109B0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②千年云杉藏秘境·雪域林海疗心归</w:t>
      </w:r>
    </w:p>
    <w:p w14:paraId="65F0DE06">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en-US" w:eastAsia="zh-CN"/>
        </w:rPr>
        <w:t>突出“中国最美森林”IP，精准对接森林康养热点，强调深度体验和身心修复效果。</w:t>
      </w:r>
    </w:p>
    <w:p w14:paraId="228DFEE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③世界云杉基因库·藏地森林康养极</w:t>
      </w:r>
    </w:p>
    <w:p w14:paraId="4AEC614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点明核心资源（云杉林）的全球性地位，“基因库”暗示其丰富的生物多样性和科研价值，引发探索欲。“藏地”突显地域特色，充满神秘感。“康养极”直接点明景区打造西藏顶级森林康养目的地。</w:t>
      </w:r>
    </w:p>
    <w:p w14:paraId="18E9C0AA">
      <w:pPr>
        <w:pStyle w:val="28"/>
        <w:tabs>
          <w:tab w:val="left" w:pos="840"/>
        </w:tabs>
        <w:spacing w:line="360" w:lineRule="auto"/>
        <w:ind w:firstLine="482" w:firstLineChars="200"/>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eastAsia="宋体" w:cs="Times New Roman"/>
          <w:b/>
          <w:bCs w:val="0"/>
          <w:color w:val="auto"/>
          <w:kern w:val="0"/>
          <w:sz w:val="24"/>
          <w:highlight w:val="none"/>
          <w:lang w:val="en-US" w:eastAsia="zh-CN"/>
        </w:rPr>
        <w:t>（3）</w:t>
      </w:r>
      <w:r>
        <w:rPr>
          <w:rFonts w:hint="default" w:ascii="Times New Roman" w:hAnsi="Times New Roman" w:cs="Times New Roman"/>
          <w:b/>
          <w:bCs w:val="0"/>
          <w:color w:val="auto"/>
          <w:kern w:val="0"/>
          <w:sz w:val="24"/>
          <w:highlight w:val="none"/>
          <w:lang w:val="en-US" w:eastAsia="zh-CN"/>
        </w:rPr>
        <w:t>发展目标</w:t>
      </w:r>
    </w:p>
    <w:p w14:paraId="58B20316">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近期目标：</w:t>
      </w:r>
    </w:p>
    <w:p w14:paraId="0ED4207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国家4A级旅游景区</w:t>
      </w:r>
    </w:p>
    <w:p w14:paraId="595324E6">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远期目标：</w:t>
      </w:r>
    </w:p>
    <w:p w14:paraId="5631B0A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自治区康养旅游示范基地</w:t>
      </w:r>
    </w:p>
    <w:p w14:paraId="75099CB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自治区级旅游度假区</w:t>
      </w:r>
    </w:p>
    <w:p w14:paraId="7093C3F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国家研学旅游基地</w:t>
      </w:r>
    </w:p>
    <w:p w14:paraId="6FA4443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西藏首个全域零碳旅游景区</w:t>
      </w:r>
    </w:p>
    <w:p w14:paraId="408711A5">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规划规模</w:t>
      </w:r>
    </w:p>
    <w:p w14:paraId="2341AC3C">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通过波密县近几年游客量数据统计，根据游客数量变化规律，结合旅游地生命周期的一般规律，以此来估算波密县未来几年游客量，以此推算岗云杉林生态旅游景区旅游人口数量，预测发展规模。发展规模预测以2024年作为基准年进行预测。</w:t>
      </w:r>
    </w:p>
    <w:p w14:paraId="5BEB17D3">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波密县与</w:t>
      </w:r>
      <w:r>
        <w:rPr>
          <w:rFonts w:hint="default" w:ascii="Times New Roman" w:hAnsi="Times New Roman" w:eastAsia="宋体" w:cs="Times New Roman"/>
          <w:bCs/>
          <w:color w:val="auto"/>
          <w:kern w:val="0"/>
          <w:sz w:val="24"/>
          <w:highlight w:val="none"/>
          <w:lang w:eastAsia="zh-CN"/>
        </w:rPr>
        <w:t>岗云杉林生态旅游景区</w:t>
      </w:r>
      <w:r>
        <w:rPr>
          <w:rFonts w:hint="default" w:ascii="Times New Roman" w:hAnsi="Times New Roman" w:cs="Times New Roman"/>
          <w:bCs/>
          <w:color w:val="auto"/>
          <w:kern w:val="0"/>
          <w:sz w:val="24"/>
          <w:highlight w:val="none"/>
          <w:lang w:val="en-US" w:eastAsia="zh-CN"/>
        </w:rPr>
        <w:t>202</w:t>
      </w:r>
      <w:r>
        <w:rPr>
          <w:rFonts w:hint="eastAsia"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val="en-US" w:eastAsia="zh-CN"/>
        </w:rPr>
        <w:t>年~2024年游客数量统计如下表所示：</w:t>
      </w:r>
    </w:p>
    <w:p w14:paraId="700C537A">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表2.1-2  波密县与岗云杉林生态旅游景区2020年~2024年游客量</w:t>
      </w:r>
      <w:r>
        <w:rPr>
          <w:rFonts w:hint="default" w:ascii="Times New Roman" w:hAnsi="Times New Roman" w:eastAsia="黑体" w:cs="Times New Roman"/>
          <w:bCs/>
          <w:color w:val="auto"/>
          <w:kern w:val="0"/>
          <w:szCs w:val="21"/>
          <w:highlight w:val="none"/>
          <w:lang w:val="en-US" w:eastAsia="zh-CN"/>
        </w:rPr>
        <w:t>统计</w:t>
      </w:r>
      <w:r>
        <w:rPr>
          <w:rFonts w:hint="default" w:ascii="Times New Roman" w:hAnsi="Times New Roman" w:eastAsia="黑体" w:cs="Times New Roman"/>
          <w:bCs/>
          <w:color w:val="auto"/>
          <w:kern w:val="0"/>
          <w:szCs w:val="21"/>
          <w:highlight w:val="none"/>
        </w:rPr>
        <w:t>表</w:t>
      </w:r>
    </w:p>
    <w:tbl>
      <w:tblPr>
        <w:tblStyle w:val="5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4"/>
        <w:gridCol w:w="1622"/>
        <w:gridCol w:w="1622"/>
        <w:gridCol w:w="1622"/>
      </w:tblGrid>
      <w:tr w14:paraId="0575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7" w:type="pct"/>
            <w:vAlign w:val="center"/>
          </w:tcPr>
          <w:p w14:paraId="44218149">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年份</w:t>
            </w:r>
          </w:p>
        </w:tc>
        <w:tc>
          <w:tcPr>
            <w:tcW w:w="884" w:type="pct"/>
            <w:vAlign w:val="center"/>
          </w:tcPr>
          <w:p w14:paraId="7471D278">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2022</w:t>
            </w:r>
          </w:p>
        </w:tc>
        <w:tc>
          <w:tcPr>
            <w:tcW w:w="884" w:type="pct"/>
            <w:vAlign w:val="center"/>
          </w:tcPr>
          <w:p w14:paraId="653FC0A6">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2023</w:t>
            </w:r>
          </w:p>
        </w:tc>
        <w:tc>
          <w:tcPr>
            <w:tcW w:w="884" w:type="pct"/>
            <w:vAlign w:val="center"/>
          </w:tcPr>
          <w:p w14:paraId="124B62F5">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2024</w:t>
            </w:r>
          </w:p>
        </w:tc>
      </w:tr>
      <w:tr w14:paraId="1EBA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7" w:type="pct"/>
            <w:vAlign w:val="center"/>
          </w:tcPr>
          <w:p w14:paraId="7073047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全县游客量（万人）</w:t>
            </w:r>
          </w:p>
        </w:tc>
        <w:tc>
          <w:tcPr>
            <w:tcW w:w="884" w:type="pct"/>
            <w:shd w:val="clear" w:color="auto" w:fill="auto"/>
            <w:vAlign w:val="center"/>
          </w:tcPr>
          <w:p w14:paraId="27FA9F7A">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Cs w:val="21"/>
                <w:highlight w:val="none"/>
                <w:lang w:val="en-US" w:eastAsia="zh-CN"/>
              </w:rPr>
              <w:t>127.95</w:t>
            </w:r>
          </w:p>
        </w:tc>
        <w:tc>
          <w:tcPr>
            <w:tcW w:w="884" w:type="pct"/>
            <w:vAlign w:val="center"/>
          </w:tcPr>
          <w:p w14:paraId="5195AF62">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245.86</w:t>
            </w:r>
          </w:p>
        </w:tc>
        <w:tc>
          <w:tcPr>
            <w:tcW w:w="884" w:type="pct"/>
            <w:vAlign w:val="center"/>
          </w:tcPr>
          <w:p w14:paraId="128265AB">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263.15</w:t>
            </w:r>
          </w:p>
        </w:tc>
      </w:tr>
      <w:tr w14:paraId="441E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7" w:type="pct"/>
            <w:vAlign w:val="center"/>
          </w:tcPr>
          <w:p w14:paraId="5C2804F2">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景区游客量（万人）</w:t>
            </w:r>
          </w:p>
        </w:tc>
        <w:tc>
          <w:tcPr>
            <w:tcW w:w="884" w:type="pct"/>
            <w:shd w:val="clear" w:color="auto" w:fill="auto"/>
            <w:vAlign w:val="center"/>
          </w:tcPr>
          <w:p w14:paraId="23743359">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eastAsia" w:ascii="Times New Roman" w:hAnsi="Times New Roman" w:cs="Times New Roman" w:eastAsiaTheme="minorEastAsia"/>
                <w:bCs/>
                <w:color w:val="auto"/>
                <w:kern w:val="0"/>
                <w:szCs w:val="21"/>
                <w:highlight w:val="none"/>
                <w:lang w:val="en-US" w:eastAsia="zh-CN"/>
              </w:rPr>
              <w:t>39.54</w:t>
            </w:r>
          </w:p>
        </w:tc>
        <w:tc>
          <w:tcPr>
            <w:tcW w:w="884" w:type="pct"/>
            <w:vAlign w:val="center"/>
          </w:tcPr>
          <w:p w14:paraId="5001C7C0">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49.95</w:t>
            </w:r>
          </w:p>
        </w:tc>
        <w:tc>
          <w:tcPr>
            <w:tcW w:w="884" w:type="pct"/>
            <w:vAlign w:val="center"/>
          </w:tcPr>
          <w:p w14:paraId="1B0F74D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52.48</w:t>
            </w:r>
          </w:p>
        </w:tc>
      </w:tr>
    </w:tbl>
    <w:p w14:paraId="41F5593A">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本次规划选择的</w:t>
      </w:r>
      <w:r>
        <w:rPr>
          <w:rFonts w:hint="default" w:ascii="Times New Roman" w:hAnsi="Times New Roman" w:eastAsia="宋体" w:cs="Times New Roman"/>
          <w:bCs/>
          <w:color w:val="auto"/>
          <w:kern w:val="0"/>
          <w:sz w:val="24"/>
          <w:highlight w:val="none"/>
          <w:lang w:eastAsia="zh-CN"/>
        </w:rPr>
        <w:t>旅游地生命周期一般规律</w:t>
      </w:r>
      <w:r>
        <w:rPr>
          <w:rFonts w:hint="default" w:ascii="Times New Roman" w:hAnsi="Times New Roman" w:cs="Times New Roman"/>
          <w:bCs/>
          <w:color w:val="auto"/>
          <w:kern w:val="0"/>
          <w:sz w:val="24"/>
          <w:highlight w:val="none"/>
          <w:lang w:val="en-US" w:eastAsia="zh-CN"/>
        </w:rPr>
        <w:t>如下：</w:t>
      </w:r>
    </w:p>
    <w:p w14:paraId="6B7B8E0B">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•参与阶段3-4年，增长率</w:t>
      </w:r>
      <w:r>
        <w:rPr>
          <w:rFonts w:hint="eastAsia" w:ascii="Times New Roman" w:hAnsi="Times New Roman" w:cs="Times New Roman"/>
          <w:bCs/>
          <w:color w:val="auto"/>
          <w:kern w:val="0"/>
          <w:sz w:val="24"/>
          <w:highlight w:val="none"/>
          <w:lang w:val="en-US" w:eastAsia="zh-CN"/>
        </w:rPr>
        <w:t>3</w:t>
      </w:r>
      <w:r>
        <w:rPr>
          <w:rFonts w:hint="default" w:ascii="Times New Roman" w:hAnsi="Times New Roman" w:eastAsia="宋体" w:cs="Times New Roman"/>
          <w:bCs/>
          <w:color w:val="auto"/>
          <w:kern w:val="0"/>
          <w:sz w:val="24"/>
          <w:highlight w:val="none"/>
          <w:lang w:eastAsia="zh-CN"/>
        </w:rPr>
        <w:t>-</w:t>
      </w:r>
      <w:r>
        <w:rPr>
          <w:rFonts w:hint="eastAsia" w:ascii="Times New Roman" w:hAnsi="Times New Roman" w:cs="Times New Roman"/>
          <w:bCs/>
          <w:color w:val="auto"/>
          <w:kern w:val="0"/>
          <w:sz w:val="24"/>
          <w:highlight w:val="none"/>
          <w:lang w:val="en-US" w:eastAsia="zh-CN"/>
        </w:rPr>
        <w:t>8</w:t>
      </w: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eastAsia="zh-CN"/>
        </w:rPr>
        <w:t>。</w:t>
      </w:r>
    </w:p>
    <w:p w14:paraId="6CDF55EF">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•发展阶段4-5年，增长率</w:t>
      </w:r>
      <w:r>
        <w:rPr>
          <w:rFonts w:hint="eastAsia" w:ascii="Times New Roman" w:hAnsi="Times New Roman" w:cs="Times New Roman"/>
          <w:bCs/>
          <w:color w:val="auto"/>
          <w:kern w:val="0"/>
          <w:sz w:val="24"/>
          <w:highlight w:val="none"/>
          <w:lang w:val="en-US" w:eastAsia="zh-CN"/>
        </w:rPr>
        <w:t>5</w:t>
      </w:r>
      <w:r>
        <w:rPr>
          <w:rFonts w:hint="default" w:ascii="Times New Roman" w:hAnsi="Times New Roman" w:eastAsia="宋体" w:cs="Times New Roman"/>
          <w:bCs/>
          <w:color w:val="auto"/>
          <w:kern w:val="0"/>
          <w:sz w:val="24"/>
          <w:highlight w:val="none"/>
          <w:lang w:eastAsia="zh-CN"/>
        </w:rPr>
        <w:t>-</w:t>
      </w:r>
      <w:r>
        <w:rPr>
          <w:rFonts w:hint="eastAsia" w:ascii="Times New Roman" w:hAnsi="Times New Roman" w:cs="Times New Roman"/>
          <w:bCs/>
          <w:color w:val="auto"/>
          <w:kern w:val="0"/>
          <w:sz w:val="24"/>
          <w:highlight w:val="none"/>
          <w:lang w:val="en-US" w:eastAsia="zh-CN"/>
        </w:rPr>
        <w:t>10</w:t>
      </w: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eastAsia="zh-CN"/>
        </w:rPr>
        <w:t>。</w:t>
      </w:r>
    </w:p>
    <w:p w14:paraId="2FD6353D">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•巩固阶段5-6年，增长率</w:t>
      </w:r>
      <w:r>
        <w:rPr>
          <w:rFonts w:hint="eastAsia" w:ascii="Times New Roman" w:hAnsi="Times New Roman" w:cs="Times New Roman"/>
          <w:bCs/>
          <w:color w:val="auto"/>
          <w:kern w:val="0"/>
          <w:sz w:val="24"/>
          <w:highlight w:val="none"/>
          <w:lang w:val="en-US" w:eastAsia="zh-CN"/>
        </w:rPr>
        <w:t>1</w:t>
      </w:r>
      <w:r>
        <w:rPr>
          <w:rFonts w:hint="default" w:ascii="Times New Roman" w:hAnsi="Times New Roman" w:eastAsia="宋体" w:cs="Times New Roman"/>
          <w:bCs/>
          <w:color w:val="auto"/>
          <w:kern w:val="0"/>
          <w:sz w:val="24"/>
          <w:highlight w:val="none"/>
          <w:lang w:eastAsia="zh-CN"/>
        </w:rPr>
        <w:t>-</w:t>
      </w:r>
      <w:r>
        <w:rPr>
          <w:rFonts w:hint="eastAsia" w:ascii="Times New Roman" w:hAnsi="Times New Roman" w:cs="Times New Roman"/>
          <w:bCs/>
          <w:color w:val="auto"/>
          <w:kern w:val="0"/>
          <w:sz w:val="24"/>
          <w:highlight w:val="none"/>
          <w:lang w:val="en-US" w:eastAsia="zh-CN"/>
        </w:rPr>
        <w:t>8</w:t>
      </w: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eastAsia="zh-CN"/>
        </w:rPr>
        <w:t>。</w:t>
      </w:r>
    </w:p>
    <w:p w14:paraId="1974AEE0">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•停滞阶段</w:t>
      </w:r>
      <w:r>
        <w:rPr>
          <w:rFonts w:hint="default" w:ascii="Times New Roman" w:hAnsi="Times New Roman" w:cs="Times New Roman"/>
          <w:bCs/>
          <w:color w:val="auto"/>
          <w:kern w:val="0"/>
          <w:sz w:val="24"/>
          <w:highlight w:val="none"/>
          <w:lang w:eastAsia="zh-CN"/>
        </w:rPr>
        <w:t>。</w:t>
      </w:r>
    </w:p>
    <w:p w14:paraId="6C545672">
      <w:pPr>
        <w:pStyle w:val="28"/>
        <w:tabs>
          <w:tab w:val="left" w:pos="840"/>
        </w:tabs>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3468370" cy="2486025"/>
            <wp:effectExtent l="0" t="0" r="6350" b="1333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picture 1670"/>
                    <pic:cNvPicPr>
                      <a:picLocks noChangeAspect="1"/>
                    </pic:cNvPicPr>
                  </pic:nvPicPr>
                  <pic:blipFill>
                    <a:blip r:embed="rId24"/>
                    <a:stretch>
                      <a:fillRect/>
                    </a:stretch>
                  </pic:blipFill>
                  <pic:spPr>
                    <a:xfrm rot="21600000">
                      <a:off x="0" y="0"/>
                      <a:ext cx="3468370" cy="2486025"/>
                    </a:xfrm>
                    <a:prstGeom prst="rect">
                      <a:avLst/>
                    </a:prstGeom>
                  </pic:spPr>
                </pic:pic>
              </a:graphicData>
            </a:graphic>
          </wp:inline>
        </w:drawing>
      </w:r>
    </w:p>
    <w:p w14:paraId="651FE08A">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图2.1-1  旅游地生命周期一般规律统计图</w:t>
      </w:r>
    </w:p>
    <w:p w14:paraId="0B60117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val="en-US" w:eastAsia="zh-CN"/>
        </w:rPr>
        <w:t>根据《波密县岗云杉林生态旅游景区总体规划暨控制性详细规划》（2025-2035年），波密县与规划区2025~2035年游客规模预测统计表如下表与下图所示。</w:t>
      </w:r>
    </w:p>
    <w:p w14:paraId="7F8A702B">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表2.1-</w:t>
      </w:r>
      <w:r>
        <w:rPr>
          <w:rFonts w:hint="default" w:ascii="Times New Roman" w:hAnsi="Times New Roman" w:eastAsia="黑体" w:cs="Times New Roman"/>
          <w:bCs/>
          <w:color w:val="auto"/>
          <w:kern w:val="0"/>
          <w:szCs w:val="21"/>
          <w:highlight w:val="none"/>
          <w:lang w:val="en-US" w:eastAsia="zh-CN"/>
        </w:rPr>
        <w:t>3</w:t>
      </w:r>
      <w:r>
        <w:rPr>
          <w:rFonts w:hint="default" w:ascii="Times New Roman" w:hAnsi="Times New Roman" w:eastAsia="黑体" w:cs="Times New Roman"/>
          <w:bCs/>
          <w:color w:val="auto"/>
          <w:kern w:val="0"/>
          <w:szCs w:val="21"/>
          <w:highlight w:val="none"/>
        </w:rPr>
        <w:t xml:space="preserve">  游客量预测表</w:t>
      </w:r>
    </w:p>
    <w:tbl>
      <w:tblPr>
        <w:tblStyle w:val="5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824"/>
        <w:gridCol w:w="1628"/>
        <w:gridCol w:w="1661"/>
        <w:gridCol w:w="1764"/>
        <w:gridCol w:w="1916"/>
      </w:tblGrid>
      <w:tr w14:paraId="318C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Merge w:val="restart"/>
            <w:vAlign w:val="center"/>
          </w:tcPr>
          <w:p w14:paraId="7CFE2A70">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规划年限</w:t>
            </w:r>
          </w:p>
        </w:tc>
        <w:tc>
          <w:tcPr>
            <w:tcW w:w="449" w:type="pct"/>
            <w:vMerge w:val="restart"/>
            <w:vAlign w:val="center"/>
          </w:tcPr>
          <w:p w14:paraId="4EAB8499">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年份</w:t>
            </w:r>
          </w:p>
        </w:tc>
        <w:tc>
          <w:tcPr>
            <w:tcW w:w="1792" w:type="pct"/>
            <w:gridSpan w:val="2"/>
            <w:vAlign w:val="center"/>
          </w:tcPr>
          <w:p w14:paraId="1C82219F">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波密县旅游人数</w:t>
            </w:r>
          </w:p>
        </w:tc>
        <w:tc>
          <w:tcPr>
            <w:tcW w:w="2005" w:type="pct"/>
            <w:gridSpan w:val="2"/>
            <w:vAlign w:val="center"/>
          </w:tcPr>
          <w:p w14:paraId="41758E33">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规划区旅游人数</w:t>
            </w:r>
          </w:p>
        </w:tc>
      </w:tr>
      <w:tr w14:paraId="0F5D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Merge w:val="continue"/>
            <w:vAlign w:val="center"/>
          </w:tcPr>
          <w:p w14:paraId="7C937F5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p>
        </w:tc>
        <w:tc>
          <w:tcPr>
            <w:tcW w:w="449" w:type="pct"/>
            <w:vMerge w:val="continue"/>
            <w:vAlign w:val="center"/>
          </w:tcPr>
          <w:p w14:paraId="6C120BD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p>
        </w:tc>
        <w:tc>
          <w:tcPr>
            <w:tcW w:w="887" w:type="pct"/>
            <w:shd w:val="clear" w:color="auto" w:fill="auto"/>
            <w:vAlign w:val="center"/>
          </w:tcPr>
          <w:p w14:paraId="5058A077">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zh-CN" w:eastAsia="zh-CN" w:bidi="ar-SA"/>
              </w:rPr>
            </w:pPr>
            <w:r>
              <w:rPr>
                <w:rFonts w:hint="default" w:ascii="Times New Roman" w:hAnsi="Times New Roman" w:cs="Times New Roman" w:eastAsiaTheme="minorEastAsia"/>
                <w:bCs/>
                <w:color w:val="auto"/>
                <w:kern w:val="0"/>
                <w:szCs w:val="21"/>
                <w:highlight w:val="none"/>
              </w:rPr>
              <w:t>旅游人次（万）</w:t>
            </w:r>
          </w:p>
        </w:tc>
        <w:tc>
          <w:tcPr>
            <w:tcW w:w="905" w:type="pct"/>
            <w:shd w:val="clear" w:color="auto" w:fill="auto"/>
            <w:vAlign w:val="center"/>
          </w:tcPr>
          <w:p w14:paraId="695D181A">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zh-CN" w:eastAsia="zh-CN" w:bidi="ar-SA"/>
              </w:rPr>
            </w:pPr>
            <w:r>
              <w:rPr>
                <w:rFonts w:hint="default" w:ascii="Times New Roman" w:hAnsi="Times New Roman" w:cs="Times New Roman" w:eastAsiaTheme="minorEastAsia"/>
                <w:bCs/>
                <w:color w:val="auto"/>
                <w:kern w:val="0"/>
                <w:szCs w:val="21"/>
                <w:highlight w:val="none"/>
              </w:rPr>
              <w:t>年均增长率（%）</w:t>
            </w:r>
          </w:p>
        </w:tc>
        <w:tc>
          <w:tcPr>
            <w:tcW w:w="961" w:type="pct"/>
            <w:vAlign w:val="center"/>
          </w:tcPr>
          <w:p w14:paraId="1ABA0218">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旅游人次（万）</w:t>
            </w:r>
          </w:p>
        </w:tc>
        <w:tc>
          <w:tcPr>
            <w:tcW w:w="1043" w:type="pct"/>
            <w:vAlign w:val="center"/>
          </w:tcPr>
          <w:p w14:paraId="1A61CC20">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年均增长率（%）</w:t>
            </w:r>
          </w:p>
        </w:tc>
      </w:tr>
      <w:tr w14:paraId="667D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shd w:val="clear" w:color="auto" w:fill="auto"/>
            <w:vAlign w:val="center"/>
          </w:tcPr>
          <w:p w14:paraId="5C660657">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Cs w:val="21"/>
                <w:highlight w:val="none"/>
                <w:lang w:val="en-US" w:eastAsia="zh-CN"/>
              </w:rPr>
              <w:t>基础数据</w:t>
            </w:r>
          </w:p>
        </w:tc>
        <w:tc>
          <w:tcPr>
            <w:tcW w:w="449" w:type="pct"/>
            <w:shd w:val="clear" w:color="auto" w:fill="auto"/>
            <w:vAlign w:val="center"/>
          </w:tcPr>
          <w:p w14:paraId="35982CCF">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zh-CN" w:eastAsia="zh-CN" w:bidi="ar-SA"/>
              </w:rPr>
            </w:pPr>
            <w:r>
              <w:rPr>
                <w:rFonts w:hint="default" w:ascii="Times New Roman" w:hAnsi="Times New Roman" w:cs="Times New Roman" w:eastAsiaTheme="minorEastAsia"/>
                <w:bCs/>
                <w:color w:val="auto"/>
                <w:kern w:val="0"/>
                <w:szCs w:val="21"/>
                <w:highlight w:val="none"/>
              </w:rPr>
              <w:t>202</w:t>
            </w:r>
            <w:r>
              <w:rPr>
                <w:rFonts w:hint="default" w:ascii="Times New Roman" w:hAnsi="Times New Roman" w:cs="Times New Roman" w:eastAsiaTheme="minorEastAsia"/>
                <w:bCs/>
                <w:color w:val="auto"/>
                <w:kern w:val="0"/>
                <w:szCs w:val="21"/>
                <w:highlight w:val="none"/>
                <w:lang w:val="en-US" w:eastAsia="zh-CN"/>
              </w:rPr>
              <w:t>3</w:t>
            </w:r>
          </w:p>
        </w:tc>
        <w:tc>
          <w:tcPr>
            <w:tcW w:w="887" w:type="pct"/>
            <w:shd w:val="clear" w:color="auto" w:fill="auto"/>
            <w:vAlign w:val="center"/>
          </w:tcPr>
          <w:p w14:paraId="253DB937">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Cs w:val="21"/>
                <w:highlight w:val="none"/>
                <w:lang w:val="en-US" w:eastAsia="zh-CN"/>
              </w:rPr>
              <w:t>245.86</w:t>
            </w:r>
          </w:p>
        </w:tc>
        <w:tc>
          <w:tcPr>
            <w:tcW w:w="905" w:type="pct"/>
            <w:shd w:val="clear" w:color="auto" w:fill="auto"/>
            <w:vAlign w:val="center"/>
          </w:tcPr>
          <w:p w14:paraId="094BEC56">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Cs w:val="21"/>
                <w:highlight w:val="none"/>
                <w:lang w:val="en-US" w:eastAsia="zh-CN"/>
              </w:rPr>
              <w:t>/</w:t>
            </w:r>
          </w:p>
        </w:tc>
        <w:tc>
          <w:tcPr>
            <w:tcW w:w="961" w:type="pct"/>
            <w:shd w:val="clear" w:color="auto" w:fill="auto"/>
            <w:vAlign w:val="center"/>
          </w:tcPr>
          <w:p w14:paraId="296B3AD3">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eastAsia" w:ascii="Times New Roman" w:hAnsi="Times New Roman" w:cs="Times New Roman" w:eastAsiaTheme="minorEastAsia"/>
                <w:bCs/>
                <w:color w:val="auto"/>
                <w:kern w:val="0"/>
                <w:sz w:val="21"/>
                <w:szCs w:val="21"/>
                <w:highlight w:val="none"/>
                <w:lang w:val="en-US" w:eastAsia="zh-CN" w:bidi="ar-SA"/>
              </w:rPr>
              <w:t>49.95</w:t>
            </w:r>
          </w:p>
        </w:tc>
        <w:tc>
          <w:tcPr>
            <w:tcW w:w="1043" w:type="pct"/>
            <w:shd w:val="clear" w:color="auto" w:fill="auto"/>
            <w:vAlign w:val="center"/>
          </w:tcPr>
          <w:p w14:paraId="795E49D0">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Cs w:val="21"/>
                <w:highlight w:val="none"/>
                <w:lang w:val="en-US" w:eastAsia="zh-CN"/>
              </w:rPr>
              <w:t>/</w:t>
            </w:r>
          </w:p>
        </w:tc>
      </w:tr>
      <w:tr w14:paraId="621D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shd w:val="clear" w:color="auto" w:fill="auto"/>
            <w:vAlign w:val="center"/>
          </w:tcPr>
          <w:p w14:paraId="3F2DDC7A">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Cs w:val="21"/>
                <w:highlight w:val="none"/>
                <w:lang w:val="en-US" w:eastAsia="zh-CN"/>
              </w:rPr>
              <w:t>基础数据</w:t>
            </w:r>
          </w:p>
        </w:tc>
        <w:tc>
          <w:tcPr>
            <w:tcW w:w="449" w:type="pct"/>
            <w:shd w:val="clear" w:color="auto" w:fill="auto"/>
            <w:vAlign w:val="center"/>
          </w:tcPr>
          <w:p w14:paraId="53D6A1A4">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zh-CN" w:eastAsia="zh-CN" w:bidi="ar-SA"/>
              </w:rPr>
            </w:pPr>
            <w:r>
              <w:rPr>
                <w:rFonts w:hint="default" w:ascii="Times New Roman" w:hAnsi="Times New Roman" w:cs="Times New Roman" w:eastAsiaTheme="minorEastAsia"/>
                <w:bCs/>
                <w:color w:val="auto"/>
                <w:kern w:val="0"/>
                <w:szCs w:val="21"/>
                <w:highlight w:val="none"/>
              </w:rPr>
              <w:t>2024</w:t>
            </w:r>
          </w:p>
        </w:tc>
        <w:tc>
          <w:tcPr>
            <w:tcW w:w="887" w:type="pct"/>
            <w:shd w:val="clear" w:color="auto" w:fill="auto"/>
            <w:vAlign w:val="center"/>
          </w:tcPr>
          <w:p w14:paraId="7E741AB7">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Cs w:val="21"/>
                <w:highlight w:val="none"/>
                <w:lang w:val="en-US" w:eastAsia="zh-CN"/>
              </w:rPr>
              <w:t>263.15</w:t>
            </w:r>
          </w:p>
        </w:tc>
        <w:tc>
          <w:tcPr>
            <w:tcW w:w="905" w:type="pct"/>
            <w:shd w:val="clear" w:color="auto" w:fill="auto"/>
            <w:vAlign w:val="center"/>
          </w:tcPr>
          <w:p w14:paraId="6094E6A1">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Cs w:val="21"/>
                <w:highlight w:val="none"/>
                <w:lang w:val="en-US" w:eastAsia="zh-CN"/>
              </w:rPr>
              <w:t>/</w:t>
            </w:r>
          </w:p>
        </w:tc>
        <w:tc>
          <w:tcPr>
            <w:tcW w:w="961" w:type="pct"/>
            <w:shd w:val="clear" w:color="auto" w:fill="auto"/>
            <w:vAlign w:val="center"/>
          </w:tcPr>
          <w:p w14:paraId="7427B4F3">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eastAsia" w:ascii="Times New Roman" w:hAnsi="Times New Roman" w:cs="Times New Roman" w:eastAsiaTheme="minorEastAsia"/>
                <w:bCs/>
                <w:color w:val="auto"/>
                <w:kern w:val="0"/>
                <w:sz w:val="21"/>
                <w:szCs w:val="21"/>
                <w:highlight w:val="none"/>
                <w:lang w:val="en-US" w:eastAsia="zh-CN" w:bidi="ar-SA"/>
              </w:rPr>
              <w:t>52.48</w:t>
            </w:r>
          </w:p>
        </w:tc>
        <w:tc>
          <w:tcPr>
            <w:tcW w:w="1043" w:type="pct"/>
            <w:shd w:val="clear" w:color="auto" w:fill="auto"/>
            <w:vAlign w:val="center"/>
          </w:tcPr>
          <w:p w14:paraId="0C04DF83">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cs="Times New Roman" w:eastAsiaTheme="minorEastAsia"/>
                <w:bCs/>
                <w:color w:val="auto"/>
                <w:kern w:val="0"/>
                <w:szCs w:val="21"/>
                <w:highlight w:val="none"/>
                <w:lang w:val="en-US" w:eastAsia="zh-CN"/>
              </w:rPr>
              <w:t>/</w:t>
            </w:r>
          </w:p>
        </w:tc>
      </w:tr>
      <w:tr w14:paraId="67AF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7FF7B10C">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近期</w:t>
            </w:r>
          </w:p>
        </w:tc>
        <w:tc>
          <w:tcPr>
            <w:tcW w:w="449" w:type="pct"/>
            <w:shd w:val="clear" w:color="auto" w:fill="auto"/>
            <w:vAlign w:val="center"/>
          </w:tcPr>
          <w:p w14:paraId="25FC38D7">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zh-CN" w:eastAsia="zh-CN" w:bidi="ar-SA"/>
              </w:rPr>
            </w:pPr>
            <w:r>
              <w:rPr>
                <w:rFonts w:hint="default" w:ascii="Times New Roman" w:hAnsi="Times New Roman" w:cs="Times New Roman" w:eastAsiaTheme="minorEastAsia"/>
                <w:bCs/>
                <w:color w:val="auto"/>
                <w:kern w:val="0"/>
                <w:szCs w:val="21"/>
                <w:highlight w:val="none"/>
              </w:rPr>
              <w:t>2025</w:t>
            </w:r>
          </w:p>
        </w:tc>
        <w:tc>
          <w:tcPr>
            <w:tcW w:w="887" w:type="pct"/>
            <w:vAlign w:val="center"/>
          </w:tcPr>
          <w:p w14:paraId="5C467198">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272.36</w:t>
            </w:r>
          </w:p>
        </w:tc>
        <w:tc>
          <w:tcPr>
            <w:tcW w:w="1661" w:type="dxa"/>
            <w:vAlign w:val="center"/>
          </w:tcPr>
          <w:p w14:paraId="0627E093">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3.50 </w:t>
            </w:r>
          </w:p>
        </w:tc>
        <w:tc>
          <w:tcPr>
            <w:tcW w:w="961" w:type="pct"/>
            <w:vAlign w:val="center"/>
          </w:tcPr>
          <w:p w14:paraId="47E3D714">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53.11</w:t>
            </w:r>
          </w:p>
        </w:tc>
        <w:tc>
          <w:tcPr>
            <w:tcW w:w="1916" w:type="dxa"/>
            <w:shd w:val="clear" w:color="auto" w:fill="auto"/>
            <w:vAlign w:val="center"/>
          </w:tcPr>
          <w:p w14:paraId="23A47A24">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1.20 </w:t>
            </w:r>
          </w:p>
        </w:tc>
      </w:tr>
      <w:tr w14:paraId="4491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57A10F7E">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近期</w:t>
            </w:r>
          </w:p>
        </w:tc>
        <w:tc>
          <w:tcPr>
            <w:tcW w:w="449" w:type="pct"/>
            <w:shd w:val="clear" w:color="auto" w:fill="auto"/>
            <w:vAlign w:val="center"/>
          </w:tcPr>
          <w:p w14:paraId="797EA52A">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zh-CN" w:eastAsia="zh-CN" w:bidi="ar-SA"/>
              </w:rPr>
            </w:pPr>
            <w:r>
              <w:rPr>
                <w:rFonts w:hint="default" w:ascii="Times New Roman" w:hAnsi="Times New Roman" w:cs="Times New Roman" w:eastAsiaTheme="minorEastAsia"/>
                <w:bCs/>
                <w:color w:val="auto"/>
                <w:kern w:val="0"/>
                <w:szCs w:val="21"/>
                <w:highlight w:val="none"/>
              </w:rPr>
              <w:t>2026</w:t>
            </w:r>
          </w:p>
        </w:tc>
        <w:tc>
          <w:tcPr>
            <w:tcW w:w="887" w:type="pct"/>
            <w:vAlign w:val="center"/>
          </w:tcPr>
          <w:p w14:paraId="216270DB">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283.25</w:t>
            </w:r>
          </w:p>
        </w:tc>
        <w:tc>
          <w:tcPr>
            <w:tcW w:w="1661" w:type="dxa"/>
            <w:vAlign w:val="center"/>
          </w:tcPr>
          <w:p w14:paraId="59C7DD9D">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4.00 </w:t>
            </w:r>
          </w:p>
        </w:tc>
        <w:tc>
          <w:tcPr>
            <w:tcW w:w="961" w:type="pct"/>
            <w:vAlign w:val="center"/>
          </w:tcPr>
          <w:p w14:paraId="42AD144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55.23</w:t>
            </w:r>
          </w:p>
        </w:tc>
        <w:tc>
          <w:tcPr>
            <w:tcW w:w="1916" w:type="dxa"/>
            <w:shd w:val="clear" w:color="auto" w:fill="auto"/>
            <w:vAlign w:val="center"/>
          </w:tcPr>
          <w:p w14:paraId="50A39851">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3.99 </w:t>
            </w:r>
          </w:p>
        </w:tc>
      </w:tr>
      <w:tr w14:paraId="75C8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08575FFD">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近期</w:t>
            </w:r>
          </w:p>
        </w:tc>
        <w:tc>
          <w:tcPr>
            <w:tcW w:w="449" w:type="pct"/>
            <w:shd w:val="clear" w:color="auto" w:fill="auto"/>
            <w:vAlign w:val="center"/>
          </w:tcPr>
          <w:p w14:paraId="39044D2E">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zh-CN" w:eastAsia="zh-CN" w:bidi="ar-SA"/>
              </w:rPr>
            </w:pPr>
            <w:r>
              <w:rPr>
                <w:rFonts w:hint="default" w:ascii="Times New Roman" w:hAnsi="Times New Roman" w:cs="Times New Roman" w:eastAsiaTheme="minorEastAsia"/>
                <w:bCs/>
                <w:color w:val="auto"/>
                <w:kern w:val="0"/>
                <w:szCs w:val="21"/>
                <w:highlight w:val="none"/>
              </w:rPr>
              <w:t>2027</w:t>
            </w:r>
          </w:p>
        </w:tc>
        <w:tc>
          <w:tcPr>
            <w:tcW w:w="887" w:type="pct"/>
            <w:vAlign w:val="center"/>
          </w:tcPr>
          <w:p w14:paraId="5CB2AE46">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294.58</w:t>
            </w:r>
          </w:p>
        </w:tc>
        <w:tc>
          <w:tcPr>
            <w:tcW w:w="1661" w:type="dxa"/>
            <w:vAlign w:val="center"/>
          </w:tcPr>
          <w:p w14:paraId="0852666A">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4.00 </w:t>
            </w:r>
          </w:p>
        </w:tc>
        <w:tc>
          <w:tcPr>
            <w:tcW w:w="961" w:type="pct"/>
            <w:vAlign w:val="center"/>
          </w:tcPr>
          <w:p w14:paraId="3279FE8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58.33</w:t>
            </w:r>
          </w:p>
        </w:tc>
        <w:tc>
          <w:tcPr>
            <w:tcW w:w="1916" w:type="dxa"/>
            <w:shd w:val="clear" w:color="auto" w:fill="auto"/>
            <w:vAlign w:val="center"/>
          </w:tcPr>
          <w:p w14:paraId="0E08E7B3">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5.61 </w:t>
            </w:r>
          </w:p>
        </w:tc>
      </w:tr>
      <w:tr w14:paraId="7CF2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55F4D16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中期</w:t>
            </w:r>
          </w:p>
        </w:tc>
        <w:tc>
          <w:tcPr>
            <w:tcW w:w="449" w:type="pct"/>
            <w:shd w:val="clear" w:color="auto" w:fill="auto"/>
            <w:vAlign w:val="center"/>
          </w:tcPr>
          <w:p w14:paraId="7F7BED62">
            <w:pPr>
              <w:pStyle w:val="28"/>
              <w:tabs>
                <w:tab w:val="left" w:pos="840"/>
              </w:tabs>
              <w:spacing w:line="276" w:lineRule="auto"/>
              <w:jc w:val="center"/>
              <w:rPr>
                <w:rFonts w:hint="default" w:ascii="Times New Roman" w:hAnsi="Times New Roman" w:cs="Times New Roman" w:eastAsiaTheme="minorEastAsia"/>
                <w:bCs/>
                <w:color w:val="auto"/>
                <w:kern w:val="0"/>
                <w:sz w:val="21"/>
                <w:szCs w:val="21"/>
                <w:highlight w:val="none"/>
                <w:lang w:val="zh-CN" w:eastAsia="zh-CN" w:bidi="ar-SA"/>
              </w:rPr>
            </w:pPr>
            <w:r>
              <w:rPr>
                <w:rFonts w:hint="default" w:ascii="Times New Roman" w:hAnsi="Times New Roman" w:cs="Times New Roman" w:eastAsiaTheme="minorEastAsia"/>
                <w:bCs/>
                <w:color w:val="auto"/>
                <w:kern w:val="0"/>
                <w:szCs w:val="21"/>
                <w:highlight w:val="none"/>
              </w:rPr>
              <w:t>2028</w:t>
            </w:r>
          </w:p>
        </w:tc>
        <w:tc>
          <w:tcPr>
            <w:tcW w:w="887" w:type="pct"/>
            <w:vAlign w:val="center"/>
          </w:tcPr>
          <w:p w14:paraId="1C5200B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309.31</w:t>
            </w:r>
          </w:p>
        </w:tc>
        <w:tc>
          <w:tcPr>
            <w:tcW w:w="1661" w:type="dxa"/>
            <w:vAlign w:val="center"/>
          </w:tcPr>
          <w:p w14:paraId="6B4F08DF">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 </w:t>
            </w:r>
          </w:p>
        </w:tc>
        <w:tc>
          <w:tcPr>
            <w:tcW w:w="961" w:type="pct"/>
            <w:vAlign w:val="center"/>
          </w:tcPr>
          <w:p w14:paraId="504DFDE0">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60.86</w:t>
            </w:r>
          </w:p>
        </w:tc>
        <w:tc>
          <w:tcPr>
            <w:tcW w:w="1916" w:type="dxa"/>
            <w:shd w:val="clear" w:color="auto" w:fill="auto"/>
            <w:vAlign w:val="center"/>
          </w:tcPr>
          <w:p w14:paraId="2F342A09">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4.34 </w:t>
            </w:r>
          </w:p>
        </w:tc>
      </w:tr>
      <w:tr w14:paraId="0348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06CBE52B">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中期</w:t>
            </w:r>
          </w:p>
        </w:tc>
        <w:tc>
          <w:tcPr>
            <w:tcW w:w="449" w:type="pct"/>
            <w:vAlign w:val="center"/>
          </w:tcPr>
          <w:p w14:paraId="3327CB0F">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2029</w:t>
            </w:r>
          </w:p>
        </w:tc>
        <w:tc>
          <w:tcPr>
            <w:tcW w:w="887" w:type="pct"/>
            <w:vAlign w:val="center"/>
          </w:tcPr>
          <w:p w14:paraId="28994ED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327.87</w:t>
            </w:r>
          </w:p>
        </w:tc>
        <w:tc>
          <w:tcPr>
            <w:tcW w:w="1661" w:type="dxa"/>
            <w:vAlign w:val="center"/>
          </w:tcPr>
          <w:p w14:paraId="5B7407F5">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6.00 </w:t>
            </w:r>
          </w:p>
        </w:tc>
        <w:tc>
          <w:tcPr>
            <w:tcW w:w="961" w:type="pct"/>
            <w:vAlign w:val="center"/>
          </w:tcPr>
          <w:p w14:paraId="70853D14">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65.57</w:t>
            </w:r>
          </w:p>
        </w:tc>
        <w:tc>
          <w:tcPr>
            <w:tcW w:w="1916" w:type="dxa"/>
            <w:shd w:val="clear" w:color="auto" w:fill="auto"/>
            <w:vAlign w:val="center"/>
          </w:tcPr>
          <w:p w14:paraId="17854E27">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7.74 </w:t>
            </w:r>
          </w:p>
        </w:tc>
      </w:tr>
      <w:tr w14:paraId="34D6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5DC6D84C">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中期</w:t>
            </w:r>
          </w:p>
        </w:tc>
        <w:tc>
          <w:tcPr>
            <w:tcW w:w="449" w:type="pct"/>
            <w:vAlign w:val="center"/>
          </w:tcPr>
          <w:p w14:paraId="15D9684E">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2030</w:t>
            </w:r>
          </w:p>
        </w:tc>
        <w:tc>
          <w:tcPr>
            <w:tcW w:w="887" w:type="pct"/>
            <w:vAlign w:val="center"/>
          </w:tcPr>
          <w:p w14:paraId="3752C36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347.55</w:t>
            </w:r>
          </w:p>
        </w:tc>
        <w:tc>
          <w:tcPr>
            <w:tcW w:w="1661" w:type="dxa"/>
            <w:vAlign w:val="center"/>
          </w:tcPr>
          <w:p w14:paraId="58802B25">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6.00 </w:t>
            </w:r>
          </w:p>
        </w:tc>
        <w:tc>
          <w:tcPr>
            <w:tcW w:w="961" w:type="pct"/>
            <w:vAlign w:val="center"/>
          </w:tcPr>
          <w:p w14:paraId="1D04BFDF">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69.51</w:t>
            </w:r>
          </w:p>
        </w:tc>
        <w:tc>
          <w:tcPr>
            <w:tcW w:w="1916" w:type="dxa"/>
            <w:shd w:val="clear" w:color="auto" w:fill="auto"/>
            <w:vAlign w:val="center"/>
          </w:tcPr>
          <w:p w14:paraId="17AC410E">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6.01 </w:t>
            </w:r>
          </w:p>
        </w:tc>
      </w:tr>
      <w:tr w14:paraId="25DC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380CAF59">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远期</w:t>
            </w:r>
          </w:p>
        </w:tc>
        <w:tc>
          <w:tcPr>
            <w:tcW w:w="449" w:type="pct"/>
            <w:vAlign w:val="center"/>
          </w:tcPr>
          <w:p w14:paraId="0FBCF42B">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2031</w:t>
            </w:r>
          </w:p>
        </w:tc>
        <w:tc>
          <w:tcPr>
            <w:tcW w:w="887" w:type="pct"/>
            <w:vAlign w:val="center"/>
          </w:tcPr>
          <w:p w14:paraId="1DC5986D">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371.87</w:t>
            </w:r>
          </w:p>
        </w:tc>
        <w:tc>
          <w:tcPr>
            <w:tcW w:w="1661" w:type="dxa"/>
            <w:vAlign w:val="center"/>
          </w:tcPr>
          <w:p w14:paraId="0693CAA4">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7.00 </w:t>
            </w:r>
          </w:p>
        </w:tc>
        <w:tc>
          <w:tcPr>
            <w:tcW w:w="961" w:type="pct"/>
            <w:vAlign w:val="center"/>
          </w:tcPr>
          <w:p w14:paraId="4FC6CD70">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74.37</w:t>
            </w:r>
          </w:p>
        </w:tc>
        <w:tc>
          <w:tcPr>
            <w:tcW w:w="1916" w:type="dxa"/>
            <w:shd w:val="clear" w:color="auto" w:fill="auto"/>
            <w:vAlign w:val="center"/>
          </w:tcPr>
          <w:p w14:paraId="44DBB60D">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6.99 </w:t>
            </w:r>
          </w:p>
        </w:tc>
      </w:tr>
      <w:tr w14:paraId="28C2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641E85BF">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远期</w:t>
            </w:r>
          </w:p>
        </w:tc>
        <w:tc>
          <w:tcPr>
            <w:tcW w:w="449" w:type="pct"/>
            <w:vAlign w:val="center"/>
          </w:tcPr>
          <w:p w14:paraId="2D8CABE0">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2032</w:t>
            </w:r>
          </w:p>
        </w:tc>
        <w:tc>
          <w:tcPr>
            <w:tcW w:w="887" w:type="pct"/>
            <w:vAlign w:val="center"/>
          </w:tcPr>
          <w:p w14:paraId="4DCEC102">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397.9</w:t>
            </w:r>
          </w:p>
        </w:tc>
        <w:tc>
          <w:tcPr>
            <w:tcW w:w="1661" w:type="dxa"/>
            <w:vAlign w:val="center"/>
          </w:tcPr>
          <w:p w14:paraId="665D5CCA">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7.00 </w:t>
            </w:r>
          </w:p>
        </w:tc>
        <w:tc>
          <w:tcPr>
            <w:tcW w:w="961" w:type="pct"/>
            <w:vAlign w:val="center"/>
          </w:tcPr>
          <w:p w14:paraId="71B05BEA">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81.57</w:t>
            </w:r>
          </w:p>
        </w:tc>
        <w:tc>
          <w:tcPr>
            <w:tcW w:w="1916" w:type="dxa"/>
            <w:shd w:val="clear" w:color="auto" w:fill="auto"/>
            <w:vAlign w:val="center"/>
          </w:tcPr>
          <w:p w14:paraId="2EB8E3F7">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9.68 </w:t>
            </w:r>
          </w:p>
        </w:tc>
      </w:tr>
      <w:tr w14:paraId="7F15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03F730D4">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远期</w:t>
            </w:r>
          </w:p>
        </w:tc>
        <w:tc>
          <w:tcPr>
            <w:tcW w:w="449" w:type="pct"/>
            <w:vAlign w:val="center"/>
          </w:tcPr>
          <w:p w14:paraId="7467CFC1">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2033</w:t>
            </w:r>
          </w:p>
        </w:tc>
        <w:tc>
          <w:tcPr>
            <w:tcW w:w="887" w:type="pct"/>
            <w:vAlign w:val="center"/>
          </w:tcPr>
          <w:p w14:paraId="70767D09">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42</w:t>
            </w:r>
            <w:r>
              <w:rPr>
                <w:rFonts w:hint="eastAsia" w:ascii="Times New Roman" w:hAnsi="Times New Roman" w:cs="Times New Roman" w:eastAsiaTheme="minorEastAsia"/>
                <w:bCs/>
                <w:color w:val="auto"/>
                <w:kern w:val="0"/>
                <w:szCs w:val="21"/>
                <w:highlight w:val="none"/>
                <w:lang w:val="en-US" w:eastAsia="zh-CN"/>
              </w:rPr>
              <w:t>5.76</w:t>
            </w:r>
          </w:p>
        </w:tc>
        <w:tc>
          <w:tcPr>
            <w:tcW w:w="1661" w:type="dxa"/>
            <w:vAlign w:val="center"/>
          </w:tcPr>
          <w:p w14:paraId="7CBD3B8E">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7.00 </w:t>
            </w:r>
          </w:p>
        </w:tc>
        <w:tc>
          <w:tcPr>
            <w:tcW w:w="961" w:type="pct"/>
            <w:vAlign w:val="center"/>
          </w:tcPr>
          <w:p w14:paraId="77BAE706">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87.28</w:t>
            </w:r>
          </w:p>
        </w:tc>
        <w:tc>
          <w:tcPr>
            <w:tcW w:w="1916" w:type="dxa"/>
            <w:shd w:val="clear" w:color="auto" w:fill="auto"/>
            <w:vAlign w:val="center"/>
          </w:tcPr>
          <w:p w14:paraId="36EDB7E4">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7.00 </w:t>
            </w:r>
          </w:p>
        </w:tc>
      </w:tr>
      <w:tr w14:paraId="5ABA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247CEE52">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远期</w:t>
            </w:r>
          </w:p>
        </w:tc>
        <w:tc>
          <w:tcPr>
            <w:tcW w:w="449" w:type="pct"/>
            <w:vAlign w:val="center"/>
          </w:tcPr>
          <w:p w14:paraId="50BB0A5B">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2034</w:t>
            </w:r>
          </w:p>
        </w:tc>
        <w:tc>
          <w:tcPr>
            <w:tcW w:w="887" w:type="pct"/>
            <w:vAlign w:val="center"/>
          </w:tcPr>
          <w:p w14:paraId="36CA7860">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4</w:t>
            </w:r>
            <w:r>
              <w:rPr>
                <w:rFonts w:hint="eastAsia" w:ascii="Times New Roman" w:hAnsi="Times New Roman" w:cs="Times New Roman" w:eastAsiaTheme="minorEastAsia"/>
                <w:bCs/>
                <w:color w:val="auto"/>
                <w:kern w:val="0"/>
                <w:szCs w:val="21"/>
                <w:highlight w:val="none"/>
                <w:lang w:val="en-US" w:eastAsia="zh-CN"/>
              </w:rPr>
              <w:t>55.56</w:t>
            </w:r>
          </w:p>
        </w:tc>
        <w:tc>
          <w:tcPr>
            <w:tcW w:w="1661" w:type="dxa"/>
            <w:vAlign w:val="center"/>
          </w:tcPr>
          <w:p w14:paraId="7EC19FA4">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7.00 </w:t>
            </w:r>
          </w:p>
        </w:tc>
        <w:tc>
          <w:tcPr>
            <w:tcW w:w="961" w:type="pct"/>
            <w:vAlign w:val="center"/>
          </w:tcPr>
          <w:p w14:paraId="73F564E7">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93.39</w:t>
            </w:r>
          </w:p>
        </w:tc>
        <w:tc>
          <w:tcPr>
            <w:tcW w:w="1916" w:type="dxa"/>
            <w:shd w:val="clear" w:color="auto" w:fill="auto"/>
            <w:vAlign w:val="center"/>
          </w:tcPr>
          <w:p w14:paraId="0F7382AE">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7.00 </w:t>
            </w:r>
          </w:p>
        </w:tc>
      </w:tr>
      <w:tr w14:paraId="59AC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5A7BB564">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lang w:val="en-US" w:eastAsia="zh-CN"/>
              </w:rPr>
              <w:t>远期</w:t>
            </w:r>
          </w:p>
        </w:tc>
        <w:tc>
          <w:tcPr>
            <w:tcW w:w="449" w:type="pct"/>
            <w:vAlign w:val="center"/>
          </w:tcPr>
          <w:p w14:paraId="2BC59DBB">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cs="Times New Roman" w:eastAsiaTheme="minorEastAsia"/>
                <w:bCs/>
                <w:color w:val="auto"/>
                <w:kern w:val="0"/>
                <w:szCs w:val="21"/>
                <w:highlight w:val="none"/>
                <w:lang w:val="en-US" w:eastAsia="zh-CN"/>
              </w:rPr>
              <w:t>2035</w:t>
            </w:r>
          </w:p>
        </w:tc>
        <w:tc>
          <w:tcPr>
            <w:tcW w:w="887" w:type="pct"/>
            <w:vAlign w:val="center"/>
          </w:tcPr>
          <w:p w14:paraId="2ED161AA">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487.45</w:t>
            </w:r>
          </w:p>
        </w:tc>
        <w:tc>
          <w:tcPr>
            <w:tcW w:w="1661" w:type="dxa"/>
            <w:vAlign w:val="center"/>
          </w:tcPr>
          <w:p w14:paraId="504DC435">
            <w:pPr>
              <w:keepNext w:val="0"/>
              <w:keepLines w:val="0"/>
              <w:widowControl/>
              <w:suppressLineNumbers w:val="0"/>
              <w:jc w:val="center"/>
              <w:textAlignment w:val="center"/>
              <w:rPr>
                <w:rFonts w:hint="default" w:ascii="Times New Roman" w:hAnsi="Times New Roman" w:cs="Times New Roman" w:eastAsiaTheme="minorEastAsia"/>
                <w:bCs/>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7.00 </w:t>
            </w:r>
          </w:p>
        </w:tc>
        <w:tc>
          <w:tcPr>
            <w:tcW w:w="961" w:type="pct"/>
            <w:vAlign w:val="center"/>
          </w:tcPr>
          <w:p w14:paraId="7AD2B699">
            <w:pPr>
              <w:pStyle w:val="28"/>
              <w:tabs>
                <w:tab w:val="left" w:pos="840"/>
              </w:tabs>
              <w:spacing w:line="276" w:lineRule="auto"/>
              <w:jc w:val="center"/>
              <w:rPr>
                <w:rFonts w:hint="default" w:ascii="Times New Roman" w:hAnsi="Times New Roman" w:cs="Times New Roman" w:eastAsiaTheme="minorEastAsia"/>
                <w:bCs/>
                <w:color w:val="auto"/>
                <w:kern w:val="0"/>
                <w:szCs w:val="21"/>
                <w:highlight w:val="none"/>
                <w:lang w:val="en-US" w:eastAsia="zh-CN"/>
              </w:rPr>
            </w:pPr>
            <w:r>
              <w:rPr>
                <w:rFonts w:hint="eastAsia" w:ascii="Times New Roman" w:hAnsi="Times New Roman" w:cs="Times New Roman" w:eastAsiaTheme="minorEastAsia"/>
                <w:bCs/>
                <w:color w:val="auto"/>
                <w:kern w:val="0"/>
                <w:szCs w:val="21"/>
                <w:highlight w:val="none"/>
                <w:lang w:val="en-US" w:eastAsia="zh-CN"/>
              </w:rPr>
              <w:t>95.05</w:t>
            </w:r>
          </w:p>
        </w:tc>
        <w:tc>
          <w:tcPr>
            <w:tcW w:w="1916" w:type="dxa"/>
            <w:shd w:val="clear" w:color="auto" w:fill="auto"/>
            <w:vAlign w:val="center"/>
          </w:tcPr>
          <w:p w14:paraId="748A7C59">
            <w:pPr>
              <w:keepNext w:val="0"/>
              <w:keepLines w:val="0"/>
              <w:widowControl/>
              <w:suppressLineNumbers w:val="0"/>
              <w:jc w:val="center"/>
              <w:textAlignment w:val="center"/>
              <w:rPr>
                <w:rFonts w:hint="default" w:ascii="Times New Roman" w:hAnsi="Times New Roman" w:cs="Times New Roman" w:eastAsiaTheme="minorEastAsia"/>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1.78 </w:t>
            </w:r>
          </w:p>
        </w:tc>
      </w:tr>
    </w:tbl>
    <w:p w14:paraId="5A64CA3E">
      <w:pPr>
        <w:pStyle w:val="28"/>
        <w:tabs>
          <w:tab w:val="left" w:pos="840"/>
        </w:tabs>
        <w:spacing w:line="360" w:lineRule="auto"/>
        <w:jc w:val="center"/>
        <w:rPr>
          <w:rFonts w:hint="default" w:ascii="Times New Roman" w:hAnsi="Times New Roman" w:cs="Times New Roman"/>
          <w:color w:val="auto"/>
          <w:kern w:val="0"/>
          <w:sz w:val="24"/>
          <w:highlight w:val="none"/>
        </w:rPr>
      </w:pPr>
      <w:r>
        <w:rPr>
          <w:color w:val="auto"/>
          <w:highlight w:val="none"/>
        </w:rPr>
        <w:drawing>
          <wp:inline distT="0" distB="0" distL="114300" distR="114300">
            <wp:extent cx="5681345" cy="1888490"/>
            <wp:effectExtent l="0" t="0" r="3175" b="1270"/>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25"/>
                    <a:stretch>
                      <a:fillRect/>
                    </a:stretch>
                  </pic:blipFill>
                  <pic:spPr>
                    <a:xfrm>
                      <a:off x="0" y="0"/>
                      <a:ext cx="5681345" cy="1888490"/>
                    </a:xfrm>
                    <a:prstGeom prst="rect">
                      <a:avLst/>
                    </a:prstGeom>
                    <a:noFill/>
                    <a:ln>
                      <a:noFill/>
                    </a:ln>
                  </pic:spPr>
                </pic:pic>
              </a:graphicData>
            </a:graphic>
          </wp:inline>
        </w:drawing>
      </w:r>
    </w:p>
    <w:p w14:paraId="53BD97B6">
      <w:pPr>
        <w:pStyle w:val="28"/>
        <w:tabs>
          <w:tab w:val="left" w:pos="840"/>
        </w:tabs>
        <w:spacing w:line="360" w:lineRule="auto"/>
        <w:jc w:val="center"/>
        <w:rPr>
          <w:rFonts w:hint="default" w:ascii="Times New Roman" w:hAnsi="Times New Roman" w:eastAsia="黑体" w:cs="Times New Roman"/>
          <w:color w:val="auto"/>
          <w:kern w:val="0"/>
          <w:sz w:val="24"/>
          <w:highlight w:val="none"/>
          <w:lang w:val="en-US" w:eastAsia="zh-CN"/>
        </w:rPr>
      </w:pPr>
      <w:r>
        <w:rPr>
          <w:rFonts w:hint="default" w:ascii="Times New Roman" w:hAnsi="Times New Roman" w:eastAsia="黑体" w:cs="Times New Roman"/>
          <w:bCs/>
          <w:color w:val="auto"/>
          <w:kern w:val="0"/>
          <w:szCs w:val="21"/>
          <w:highlight w:val="none"/>
          <w:lang w:val="en-US" w:eastAsia="zh-CN"/>
        </w:rPr>
        <w:t>图</w:t>
      </w:r>
      <w:r>
        <w:rPr>
          <w:rFonts w:hint="default" w:ascii="Times New Roman" w:hAnsi="Times New Roman" w:eastAsia="黑体" w:cs="Times New Roman"/>
          <w:bCs/>
          <w:color w:val="auto"/>
          <w:kern w:val="0"/>
          <w:szCs w:val="21"/>
          <w:highlight w:val="none"/>
        </w:rPr>
        <w:t>2.1-2  波密县与规划区202</w:t>
      </w:r>
      <w:r>
        <w:rPr>
          <w:rFonts w:hint="eastAsia" w:ascii="Times New Roman" w:hAnsi="Times New Roman" w:eastAsia="黑体" w:cs="Times New Roman"/>
          <w:bCs/>
          <w:color w:val="auto"/>
          <w:kern w:val="0"/>
          <w:szCs w:val="21"/>
          <w:highlight w:val="none"/>
          <w:lang w:val="en-US" w:eastAsia="zh-CN"/>
        </w:rPr>
        <w:t>6</w:t>
      </w:r>
      <w:r>
        <w:rPr>
          <w:rFonts w:hint="default" w:ascii="Times New Roman" w:hAnsi="Times New Roman" w:eastAsia="黑体" w:cs="Times New Roman"/>
          <w:bCs/>
          <w:color w:val="auto"/>
          <w:kern w:val="0"/>
          <w:szCs w:val="21"/>
          <w:highlight w:val="none"/>
        </w:rPr>
        <w:t>~2035年游客规模预测统计</w:t>
      </w:r>
      <w:r>
        <w:rPr>
          <w:rFonts w:hint="default" w:ascii="Times New Roman" w:hAnsi="Times New Roman" w:eastAsia="黑体" w:cs="Times New Roman"/>
          <w:bCs/>
          <w:color w:val="auto"/>
          <w:kern w:val="0"/>
          <w:szCs w:val="21"/>
          <w:highlight w:val="none"/>
          <w:lang w:val="en-US" w:eastAsia="zh-CN"/>
        </w:rPr>
        <w:t>图</w:t>
      </w:r>
    </w:p>
    <w:p w14:paraId="053B518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空间</w:t>
      </w:r>
      <w:r>
        <w:rPr>
          <w:rFonts w:hint="default" w:ascii="Times New Roman" w:hAnsi="Times New Roman" w:cs="Times New Roman"/>
          <w:color w:val="auto"/>
          <w:highlight w:val="none"/>
        </w:rPr>
        <w:t>结构</w:t>
      </w:r>
    </w:p>
    <w:p w14:paraId="0C41B09A">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基于项目地云杉林、草湖、村落空间肌理，结合景区未来发展的构想，遵循空间邻近性、整体性、功能性的组织原则，构建“一带四区”空间格局。</w:t>
      </w:r>
    </w:p>
    <w:p w14:paraId="52010C27">
      <w:pPr>
        <w:pStyle w:val="28"/>
        <w:tabs>
          <w:tab w:val="left" w:pos="840"/>
        </w:tabs>
        <w:spacing w:line="36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highlight w:val="none"/>
        </w:rPr>
        <w:drawing>
          <wp:inline distT="0" distB="0" distL="114300" distR="114300">
            <wp:extent cx="5685155" cy="3460115"/>
            <wp:effectExtent l="0" t="0" r="14605" b="14605"/>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26"/>
                    <a:stretch>
                      <a:fillRect/>
                    </a:stretch>
                  </pic:blipFill>
                  <pic:spPr>
                    <a:xfrm>
                      <a:off x="0" y="0"/>
                      <a:ext cx="5685155" cy="3460115"/>
                    </a:xfrm>
                    <a:prstGeom prst="rect">
                      <a:avLst/>
                    </a:prstGeom>
                    <a:noFill/>
                    <a:ln>
                      <a:noFill/>
                    </a:ln>
                  </pic:spPr>
                </pic:pic>
              </a:graphicData>
            </a:graphic>
          </wp:inline>
        </w:drawing>
      </w:r>
    </w:p>
    <w:p w14:paraId="185FA104">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图2.1-3 空间结构分布图</w:t>
      </w:r>
    </w:p>
    <w:p w14:paraId="0E84C0F2">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规划功能分区</w:t>
      </w:r>
    </w:p>
    <w:p w14:paraId="66482B09">
      <w:pPr>
        <w:pStyle w:val="28"/>
        <w:tabs>
          <w:tab w:val="left" w:pos="840"/>
        </w:tabs>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1、岗巴康旅疗愈区</w:t>
      </w:r>
    </w:p>
    <w:p w14:paraId="5B885267">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（1）综合现状</w:t>
      </w:r>
    </w:p>
    <w:p w14:paraId="35907457">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区域作为岗云杉林生态旅游景区的景前区，景区主要的服务枢纽，有着优美的田园风光，相对完善的旅游接待设施，设有游客中心、停车场、旅游厕所，24户家庭旅馆等。</w:t>
      </w:r>
    </w:p>
    <w:p w14:paraId="2F5D686D">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（2）规划思路</w:t>
      </w:r>
    </w:p>
    <w:p w14:paraId="053448D4">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①打造思路</w:t>
      </w:r>
    </w:p>
    <w:p w14:paraId="34D6817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规划依托岗巴村优美的田园风光及家庭旅馆经济，以“森林康养·自然疗愈”为主题，规划生态康养、藏式疗愈项目业态，打造一个“可游可养可居”的诗意田园康养休闲区。</w:t>
      </w:r>
    </w:p>
    <w:p w14:paraId="66927B1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②主要功能</w:t>
      </w:r>
    </w:p>
    <w:p w14:paraId="74EB893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形象展示、综合服务、康养休闲。</w:t>
      </w:r>
    </w:p>
    <w:p w14:paraId="509ECE7A">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（3）项目业态</w:t>
      </w:r>
    </w:p>
    <w:p w14:paraId="7A2B6232">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游客中心、旅游厕所、生态停车场、交通换乘站、景前风貌提升改造、糌粑体验坊、有机农场、岗巴康养民宿、森旅部落、喜德林卡、迷雾森林、藏服旅拍。</w:t>
      </w:r>
    </w:p>
    <w:p w14:paraId="5C2DB134">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1）游客中心：对现有岗巴村游客中心区域按照4A景区标准进行提升改造，完善综合接待服务功能和设施，为游客提供舒适、便捷的旅游服务，作为整个景区的展示窗口和第一印象区。</w:t>
      </w:r>
    </w:p>
    <w:p w14:paraId="5F00C994">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后期，在G318与岗巴大桥交汇处规划新建游客中心，配套相应服务设施，以便引导G318自驾游客进入景区。</w:t>
      </w:r>
    </w:p>
    <w:p w14:paraId="0285A0CB">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2）游客中心内部：按照《旅游景区游客中心设置与服务规范》，完善相应的配套服务设施，方便游客各类旅游需求服务。</w:t>
      </w:r>
    </w:p>
    <w:p w14:paraId="4509D672">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3）旅游厕所：按照《旅游厕所质量要求与评定》（GB/T18973</w:t>
      </w: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2022）进行改造提升。</w:t>
      </w:r>
    </w:p>
    <w:p w14:paraId="04BF645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4）生态停车场：按照4A景区评定标准，规范停车场划线、分区、管理服务。</w:t>
      </w:r>
    </w:p>
    <w:p w14:paraId="1FDCDD15">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5）交通换乘站：做好景区的交通换乘接驳，所有自驾与“云杉专线”乘车游客到此必须换乘景区观光车，便于景区管理，保障游客安全。</w:t>
      </w:r>
    </w:p>
    <w:p w14:paraId="0C512942">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6）景前风貌提升改造：首先，对进景区的主干道进行提升改造，对景观环境进行美化、亮化、绿化，增加主题景观小品，营造文化氛围，打造进景区的景观大道。</w:t>
      </w:r>
    </w:p>
    <w:p w14:paraId="49D458A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其次，对道路两旁的民居建筑进行风貌提升，增加藏民族文化元素，增加文化氛围；最后，对景前环境卫生进行整治提升，为游客做足岗云杉林生态旅游景区初印象。</w:t>
      </w:r>
    </w:p>
    <w:p w14:paraId="081DCC0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7）糌粑体验坊：依托“岗云杉林糌粑”区域品牌，整合村内糌粑小作坊，成立糌粑加工合作社，打造可供游客体验的糌粑体验坊，感受从一颗青稞到糌粑美食的全过程，用最直接的方式感受藏式生活。</w:t>
      </w:r>
    </w:p>
    <w:p w14:paraId="4D1EF286">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8）有机农场</w:t>
      </w:r>
    </w:p>
    <w:p w14:paraId="56B34297">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依托游客中心西侧连心采摘园，进行有机、绿色升级改造，打造有机种植、生态观光于一体的特色采摘园，主打高原有机认证产品，与岗巴村民宿康养联动，形成“农业+文旅”复合业态。</w:t>
      </w:r>
    </w:p>
    <w:p w14:paraId="109A1C17">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基础产品：有机果蔬采摘、藏地特色农产品销售（如青稞制品）。</w:t>
      </w:r>
    </w:p>
    <w:p w14:paraId="5B39F8A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增值服务：定制化家庭农场认领、高原生态研学课程。</w:t>
      </w:r>
    </w:p>
    <w:p w14:paraId="2DD07059">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9）岗巴康养民宿</w:t>
      </w:r>
    </w:p>
    <w:p w14:paraId="71C4692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依托现状岗巴村24户家庭旅馆，成立民宿联盟合作社，通过引进企业，农户房屋入股，采用“公司+合作社+农户”模式，走精品民宿路线。按照星级民宿标准完善内部院落、公共客厅、客房、卫生间、厨房、餐厅等功能设施配套及装修设计，对民宿采取统一的运营、管理和营销，对民宿主进行统一培训，为游客提供亲情化的服务，执行公司统一的管理标准，服务品质做到可控制可管理。</w:t>
      </w:r>
    </w:p>
    <w:p w14:paraId="50947AA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结合森林康养主题，推出系列藏式生活体验，如做藏香、竹编制作、听藏戏、跳藏舞、品藏式火锅美食等活动，沉浸式体验原汁原味的藏式生活，丰富游客体验。</w:t>
      </w:r>
    </w:p>
    <w:p w14:paraId="2B23AFF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10）森旅部落</w:t>
      </w:r>
    </w:p>
    <w:p w14:paraId="5BB8B294">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依托区域内森林景观、沁人心脾的森林环境、养生古法，以“森林康养”为核心，开展以修身养性为目的的休闲、度假、康养等系列活动，打造一个综合的森林旅游休闲度假地，为游客提供服务。</w:t>
      </w:r>
    </w:p>
    <w:p w14:paraId="6EC165B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①自然课堂：依托场地内森林、田园等自然资源，植入森林瑜伽、冥想、写生等项目，让游客在自然的环境里流连忘返。</w:t>
      </w:r>
    </w:p>
    <w:p w14:paraId="6F453152">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②森林疗愈坊：打造森林SPA，内设五味甘露浴、草本足浴、藏式按摩等项目，进行养身护理，缓解身心疲劳。</w:t>
      </w:r>
    </w:p>
    <w:p w14:paraId="32FE3C0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③药膳食疗餐厅：运用“药食同源”理论，将药物作为食物，又将食物赋以药用，药借食力，食助药威，打造药膳养生项目，借力项目地藏药材种植基础，就地取材，场地直供，丰富游客康养体验。</w:t>
      </w:r>
    </w:p>
    <w:p w14:paraId="3A064951">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11）喜德林卡</w:t>
      </w:r>
    </w:p>
    <w:p w14:paraId="1E19313C">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针对现状喜德林卡发展问题，在入口处发展旅游餐饮接待服务，以满足林卡发展需求。结合藏式传统休闲活动，对林卡进行优化提升，突出文化特色，为市民及游客打造一处充满藏式风情的休闲林卡，打造一场难忘的旅居体验。</w:t>
      </w:r>
    </w:p>
    <w:p w14:paraId="0F0DD77D">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12）迷雾森林</w:t>
      </w:r>
    </w:p>
    <w:p w14:paraId="65370F9C">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利用生态材质结合水雾、光影效果，打造迷幻森林景观小品，增加森林徒步趣味性及游客互动性，增加游览体验效果。日间，雾环在风与光的作用下散发出迷幻的光彩，偶然的彩虹让周围恍如仙境。夜晚，环形装置的自我照明系统，令其成为夜空中最闪耀的存在。</w:t>
      </w:r>
    </w:p>
    <w:p w14:paraId="629A05A6">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13）藏服旅拍</w:t>
      </w:r>
    </w:p>
    <w:p w14:paraId="201628DB">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规划在现状游客中心设置波密藏服旅拍及租赁业务，游客穿着非遗匠人手工缝制藏袍，在成片的青稞田、精致的藏民居、原始生态的田园风光里，在自由的时间里，穿一次藏服，当一次卓玛。</w:t>
      </w:r>
    </w:p>
    <w:p w14:paraId="54809688">
      <w:pPr>
        <w:pStyle w:val="28"/>
        <w:tabs>
          <w:tab w:val="left" w:pos="840"/>
        </w:tabs>
        <w:spacing w:line="360" w:lineRule="auto"/>
        <w:ind w:firstLine="482" w:firstLineChars="200"/>
        <w:rPr>
          <w:rFonts w:hint="default" w:ascii="Times New Roman" w:hAnsi="Times New Roman" w:cs="Times New Roman"/>
          <w:b/>
          <w:bCs/>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2、云杉生态观光区</w:t>
      </w:r>
    </w:p>
    <w:p w14:paraId="43FFE1B9">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（1）综合现状</w:t>
      </w:r>
    </w:p>
    <w:p w14:paraId="54ED5665">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岗云杉林生态旅游景区的核心游览区，现状以初级开发为主，有基础的徒步道路、简易的标识系统，有山神石像、云杉王、草湖等景观。</w:t>
      </w:r>
    </w:p>
    <w:p w14:paraId="6F67C1B5">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（2）规划思路</w:t>
      </w:r>
    </w:p>
    <w:p w14:paraId="295D1BC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①打造思路</w:t>
      </w:r>
    </w:p>
    <w:p w14:paraId="79A95A7A">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以低干扰开发为原则，在保留云杉林原始风貌基础上，完善相应的基础服务设施，增加生态观光、户外运动、科普研学等项目，提升景区的可游性，提高旅游品质，丰富游客体验，实现人与自然和谐相处。</w:t>
      </w:r>
    </w:p>
    <w:p w14:paraId="52FA2F7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②主要功能</w:t>
      </w:r>
    </w:p>
    <w:p w14:paraId="77617C6D">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生态观光、户外运动、科普研学。</w:t>
      </w:r>
    </w:p>
    <w:p w14:paraId="2120B9FA">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（3）项目业态</w:t>
      </w:r>
    </w:p>
    <w:p w14:paraId="64486F19">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岗巴检票口、杉林时光、徒步系统升级、森林抚育小课堂、云杉自然科普馆（植物驿站）、动物驿站、森林驿站、创意景观、云杉秘境酒店（提升）、草湖</w:t>
      </w:r>
      <w:r>
        <w:rPr>
          <w:rFonts w:hint="eastAsia" w:ascii="Times New Roman" w:hAnsi="Times New Roman" w:cs="Times New Roman"/>
          <w:color w:val="auto"/>
          <w:kern w:val="0"/>
          <w:sz w:val="24"/>
          <w:highlight w:val="none"/>
          <w:lang w:val="en-US" w:eastAsia="zh-CN"/>
        </w:rPr>
        <w:t>防火</w:t>
      </w:r>
      <w:r>
        <w:rPr>
          <w:rFonts w:hint="default" w:ascii="Times New Roman" w:hAnsi="Times New Roman" w:cs="Times New Roman"/>
          <w:color w:val="auto"/>
          <w:kern w:val="0"/>
          <w:sz w:val="24"/>
          <w:highlight w:val="none"/>
          <w:lang w:val="en-US" w:eastAsia="zh-CN"/>
        </w:rPr>
        <w:t>栈道、草湖四季、草湖心屿。</w:t>
      </w:r>
    </w:p>
    <w:p w14:paraId="7E4D9C30">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1）岗巴检票口</w:t>
      </w:r>
    </w:p>
    <w:p w14:paraId="2832340A">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对</w:t>
      </w:r>
      <w:r>
        <w:rPr>
          <w:rFonts w:hint="default" w:ascii="Times New Roman" w:hAnsi="Times New Roman" w:cs="Times New Roman"/>
          <w:color w:val="auto"/>
          <w:kern w:val="0"/>
          <w:sz w:val="24"/>
          <w:highlight w:val="none"/>
          <w:lang w:val="en-US" w:eastAsia="zh-CN"/>
        </w:rPr>
        <w:t>现状</w:t>
      </w:r>
      <w:r>
        <w:rPr>
          <w:rFonts w:hint="eastAsia" w:ascii="Times New Roman" w:hAnsi="Times New Roman" w:cs="Times New Roman"/>
          <w:color w:val="auto"/>
          <w:kern w:val="0"/>
          <w:sz w:val="24"/>
          <w:highlight w:val="none"/>
          <w:lang w:val="en-US" w:eastAsia="zh-CN"/>
        </w:rPr>
        <w:t>检票口进行提升改造</w:t>
      </w:r>
      <w:r>
        <w:rPr>
          <w:rFonts w:hint="default" w:ascii="Times New Roman" w:hAnsi="Times New Roman" w:cs="Times New Roman"/>
          <w:color w:val="auto"/>
          <w:kern w:val="0"/>
          <w:sz w:val="24"/>
          <w:highlight w:val="none"/>
          <w:lang w:val="en-US" w:eastAsia="zh-CN"/>
        </w:rPr>
        <w:t>，以森林木屋样式规划打造岗巴检票口，集合景区检票咨询、观光车换乘站等多功能为一体，进入岗云杉林生态旅游核心景区的第一站。</w:t>
      </w:r>
    </w:p>
    <w:p w14:paraId="1095B4C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2）杉林时光</w:t>
      </w:r>
    </w:p>
    <w:p w14:paraId="2636D87C">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依托现状林业用房及场地现状，进行升级改造，打造具有藏式风格云杉咖啡屋，咖啡结合西藏本土食材，配套藏茶、书吧等业态，作为游客身心充电的歇脚休闲场地。</w:t>
      </w:r>
    </w:p>
    <w:p w14:paraId="74E54FFA">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3）徒步系统升级</w:t>
      </w:r>
    </w:p>
    <w:p w14:paraId="2A20F5A9">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利用现有徒步道路，结合森林防火通道，系统打造景区徒步系统，道路大部分保持现状原生态，仅对低洼泥泞、道路陡峭的地方采用防腐木、石子升级道路，打造一条会呼吸的秘境徒步道。沿途设置导视系统、景观小品，科普森林防火知识及云杉林科普，将防火通道与生态旅游相结合，创新森林防火和旅游融合发展模式，利用森林监测站配套休闲驿站、移动生态厕所等配套设施。</w:t>
      </w:r>
    </w:p>
    <w:p w14:paraId="6DFEF513">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绿野拾光·徒步捡兑行动”：打造一个“森林徒步捡垃圾兑换奖励”环保活动，“徒步+捡垃圾+积分兑换”结合，参与者徒步过程中捡所见垃圾，捡拾垃圾后在出口按重量/类型兑换积分，积分可换取奖励（康养民宿住宿、文创产品、波密任一景区门票等实物或虚拟权益）。</w:t>
      </w:r>
    </w:p>
    <w:p w14:paraId="53CD0B5B">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4）森林抚育小课堂</w:t>
      </w:r>
    </w:p>
    <w:p w14:paraId="79FC574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在景区徒步道沿途结合休闲平台，设置科普森林防火及云杉林动植物科普知识，打造西藏第一条自然观察径，游客于游客中心领取自然观察手册，徒步过程打卡手册内容，所有内容都是景区现场可以探寻发现的，打造为西藏首个林业纪录片式自然小径。</w:t>
      </w:r>
    </w:p>
    <w:p w14:paraId="5C9DA2ED">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5）云杉自然科普馆（植物驿站）</w:t>
      </w:r>
    </w:p>
    <w:p w14:paraId="447F254A">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在云杉王徒步道入口结合场地小木屋，以集装箱方式，打造波密首个植物主题的科普馆，展览可分为“印象云杉林”“植物王国”“种子图鉴”“森林课堂”几大板块，展示林芝云杉全球稀缺性，让游客深入了解岗云杉林植物的魅力及科普意义，作为游览岗云杉林科普第一站。</w:t>
      </w:r>
    </w:p>
    <w:p w14:paraId="7F1A8E3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6）动物驿站</w:t>
      </w:r>
    </w:p>
    <w:p w14:paraId="1C03AD80">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采用集装箱或森林木屋形式，打造岗云杉林动物科普驿站，全方位科普展示岗云杉林中的动物，以及救助森林中受伤的动物。动物驿站结合徒步者休息小屋设置。</w:t>
      </w:r>
    </w:p>
    <w:p w14:paraId="23043684">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7）森林驿站</w:t>
      </w:r>
    </w:p>
    <w:p w14:paraId="60AB90C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在植物驿站旁利用现有小木屋，为游客打造休闲补给驿站，对外立面和室内进行改造提升，为游客提供临时休息、紧急避雨、喝酥油茶、能量简餐等服务内容，使其从闲置空间转变为复合空间，成为共享的森林会客厅。</w:t>
      </w:r>
    </w:p>
    <w:p w14:paraId="73E6A8DD">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8）创意景观</w:t>
      </w:r>
    </w:p>
    <w:p w14:paraId="3E1E9D57">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就地取材，利用景区内废弃树桩、木头，打造特色森林微景观。通过废弃树干的利用，实现低成本大效益，让游客“探秘”最野性的生态，“捕捉”最自然的艺术，为单调的徒步路增添小惊喜，为云杉探寻旅锦上添花。</w:t>
      </w:r>
    </w:p>
    <w:p w14:paraId="3F1B8601">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9</w:t>
      </w:r>
      <w:r>
        <w:rPr>
          <w:rFonts w:hint="default" w:ascii="Times New Roman" w:hAnsi="Times New Roman" w:cs="Times New Roman"/>
          <w:color w:val="auto"/>
          <w:kern w:val="0"/>
          <w:sz w:val="24"/>
          <w:highlight w:val="none"/>
          <w:lang w:val="en-US" w:eastAsia="zh-CN"/>
        </w:rPr>
        <w:t>）草湖</w:t>
      </w:r>
      <w:r>
        <w:rPr>
          <w:rFonts w:hint="eastAsia" w:ascii="Times New Roman" w:hAnsi="Times New Roman" w:cs="Times New Roman"/>
          <w:color w:val="auto"/>
          <w:kern w:val="0"/>
          <w:sz w:val="24"/>
          <w:highlight w:val="none"/>
          <w:lang w:val="en-US" w:eastAsia="zh-CN"/>
        </w:rPr>
        <w:t>防火</w:t>
      </w:r>
      <w:r>
        <w:rPr>
          <w:rFonts w:hint="default" w:ascii="Times New Roman" w:hAnsi="Times New Roman" w:cs="Times New Roman"/>
          <w:color w:val="auto"/>
          <w:kern w:val="0"/>
          <w:sz w:val="24"/>
          <w:highlight w:val="none"/>
          <w:lang w:val="en-US" w:eastAsia="zh-CN"/>
        </w:rPr>
        <w:t>栈道</w:t>
      </w:r>
    </w:p>
    <w:p w14:paraId="61AB8726">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bCs/>
          <w:color w:val="auto"/>
          <w:kern w:val="0"/>
          <w:sz w:val="24"/>
          <w:highlight w:val="none"/>
        </w:rPr>
        <w:t>草湖北侧保留现有生态栈道，</w:t>
      </w:r>
      <w:r>
        <w:rPr>
          <w:rFonts w:hint="default" w:ascii="Times New Roman" w:hAnsi="Times New Roman" w:cs="Times New Roman"/>
          <w:color w:val="auto"/>
          <w:kern w:val="0"/>
          <w:sz w:val="24"/>
          <w:highlight w:val="none"/>
          <w:lang w:val="en-US" w:eastAsia="zh-CN"/>
        </w:rPr>
        <w:t>就地取材，</w:t>
      </w:r>
      <w:r>
        <w:rPr>
          <w:rFonts w:hint="eastAsia" w:ascii="Times New Roman" w:hAnsi="Times New Roman" w:cs="Times New Roman"/>
          <w:bCs/>
          <w:color w:val="auto"/>
          <w:kern w:val="0"/>
          <w:sz w:val="24"/>
          <w:highlight w:val="none"/>
          <w:lang w:val="en-US" w:eastAsia="zh-CN"/>
        </w:rPr>
        <w:t>进行提升改造</w:t>
      </w:r>
      <w:r>
        <w:rPr>
          <w:rFonts w:hint="default" w:ascii="Times New Roman" w:hAnsi="Times New Roman" w:cs="Times New Roman"/>
          <w:color w:val="auto"/>
          <w:kern w:val="0"/>
          <w:sz w:val="24"/>
          <w:highlight w:val="none"/>
          <w:lang w:val="en-US" w:eastAsia="zh-CN"/>
        </w:rPr>
        <w:t>，方便游客近距离游览草湖及森林防火需求。</w:t>
      </w:r>
      <w:r>
        <w:rPr>
          <w:rFonts w:hint="eastAsia" w:ascii="Times New Roman" w:hAnsi="Times New Roman" w:cs="Times New Roman"/>
          <w:color w:val="auto"/>
          <w:kern w:val="0"/>
          <w:sz w:val="24"/>
          <w:highlight w:val="none"/>
          <w:lang w:val="en-US" w:eastAsia="zh-CN"/>
        </w:rPr>
        <w:t>栈道不得设置长围栏，不得对动物形成阻隔效应。</w:t>
      </w:r>
    </w:p>
    <w:p w14:paraId="6F099CC1">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w:t>
      </w:r>
      <w:r>
        <w:rPr>
          <w:rFonts w:hint="eastAsia" w:ascii="Times New Roman" w:hAnsi="Times New Roman" w:cs="Times New Roman"/>
          <w:color w:val="auto"/>
          <w:kern w:val="0"/>
          <w:sz w:val="24"/>
          <w:highlight w:val="none"/>
          <w:lang w:val="en-US" w:eastAsia="zh-CN"/>
        </w:rPr>
        <w:t>0</w:t>
      </w:r>
      <w:r>
        <w:rPr>
          <w:rFonts w:hint="default" w:ascii="Times New Roman" w:hAnsi="Times New Roman" w:cs="Times New Roman"/>
          <w:color w:val="auto"/>
          <w:kern w:val="0"/>
          <w:sz w:val="24"/>
          <w:highlight w:val="none"/>
          <w:lang w:val="en-US" w:eastAsia="zh-CN"/>
        </w:rPr>
        <w:t>）云杉秘境酒店（提升）</w:t>
      </w:r>
    </w:p>
    <w:p w14:paraId="2916640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对现状的云杉秘境酒店外立面进行升级改造，采用仿生材质进行“森系”包装，与周边的杉林、湖泊肌理相呼应，让建筑的轮廓和树冠、河岸的线条柔和相融。</w:t>
      </w:r>
    </w:p>
    <w:p w14:paraId="0396B24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w:t>
      </w:r>
      <w:r>
        <w:rPr>
          <w:rFonts w:hint="eastAsia"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val="en-US" w:eastAsia="zh-CN"/>
        </w:rPr>
        <w:t>）草湖四季</w:t>
      </w:r>
    </w:p>
    <w:p w14:paraId="70FC94C4">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依托草湖冬草夏湖的季节性特色，打造四季光影计划，依托现有观景平台，选取最佳摄影点，打造“中国国家地理中国最美十大森林之一”打卡点、“天空之境”“玻璃船”网红拍照点。</w:t>
      </w:r>
    </w:p>
    <w:p w14:paraId="7CA4A6A1">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•春夏：设置皮划艇、水上桨板</w:t>
      </w:r>
      <w:r>
        <w:rPr>
          <w:rFonts w:hint="eastAsia" w:ascii="Times New Roman" w:hAnsi="Times New Roman" w:cs="Times New Roman"/>
          <w:color w:val="auto"/>
          <w:kern w:val="0"/>
          <w:sz w:val="24"/>
          <w:highlight w:val="none"/>
          <w:lang w:val="en-US" w:eastAsia="zh-CN"/>
        </w:rPr>
        <w:t>等进行</w:t>
      </w:r>
      <w:r>
        <w:rPr>
          <w:rFonts w:hint="default" w:ascii="Times New Roman" w:hAnsi="Times New Roman" w:cs="Times New Roman"/>
          <w:color w:val="auto"/>
          <w:kern w:val="0"/>
          <w:sz w:val="24"/>
          <w:highlight w:val="none"/>
          <w:lang w:val="en-US" w:eastAsia="zh-CN"/>
        </w:rPr>
        <w:t>环保垃圾清理、水上清洁，保护草湖水环境。</w:t>
      </w:r>
    </w:p>
    <w:p w14:paraId="07F999B4">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•秋冬：限量无痕露营、藏式下午茶、湿地写生。</w:t>
      </w:r>
    </w:p>
    <w:p w14:paraId="7E0DEBF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val="en-US" w:eastAsia="zh-CN"/>
        </w:rPr>
        <w:t>）草湖心屿</w:t>
      </w:r>
    </w:p>
    <w:p w14:paraId="1649C9EB">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在草湖对岸密林建设森林防火瞭望塔</w:t>
      </w:r>
      <w:r>
        <w:rPr>
          <w:rFonts w:hint="eastAsia" w:ascii="Times New Roman" w:hAnsi="Times New Roman" w:cs="Times New Roman"/>
          <w:color w:val="auto"/>
          <w:kern w:val="0"/>
          <w:sz w:val="24"/>
          <w:highlight w:val="none"/>
          <w:lang w:val="en-US" w:eastAsia="zh-CN"/>
        </w:rPr>
        <w:t>，建设用途为</w:t>
      </w:r>
      <w:r>
        <w:rPr>
          <w:rFonts w:hint="default" w:ascii="Times New Roman" w:hAnsi="Times New Roman" w:cs="Times New Roman"/>
          <w:color w:val="auto"/>
          <w:kern w:val="0"/>
          <w:sz w:val="24"/>
          <w:highlight w:val="none"/>
          <w:lang w:val="en-US" w:eastAsia="zh-CN"/>
        </w:rPr>
        <w:t>森林防火</w:t>
      </w:r>
      <w:r>
        <w:rPr>
          <w:rFonts w:hint="eastAsia" w:ascii="Times New Roman" w:hAnsi="Times New Roman" w:cs="Times New Roman"/>
          <w:color w:val="auto"/>
          <w:kern w:val="0"/>
          <w:sz w:val="24"/>
          <w:highlight w:val="none"/>
          <w:lang w:val="en-US" w:eastAsia="zh-CN"/>
        </w:rPr>
        <w:t>（需与相关主管部门做好对接工作，并取得同意）</w:t>
      </w:r>
      <w:r>
        <w:rPr>
          <w:rFonts w:hint="default" w:ascii="Times New Roman" w:hAnsi="Times New Roman" w:cs="Times New Roman"/>
          <w:color w:val="auto"/>
          <w:kern w:val="0"/>
          <w:sz w:val="24"/>
          <w:highlight w:val="none"/>
          <w:lang w:val="en-US" w:eastAsia="zh-CN"/>
        </w:rPr>
        <w:t>，通过木栈道与草湖相连，与文旅结合，打造集防火瞭望、自然疗愈为一体的核心项目及地标性景观。通过草湖划船空间转移的仪式感——通往塔基的“沉思小径”——登塔寻找自我的森林疗愈，来一场不一样的心灵之旅。</w:t>
      </w:r>
    </w:p>
    <w:p w14:paraId="13A36515">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 极致生态：所有设计、材料、运营以保护原始森林生态为绝对前提。</w:t>
      </w:r>
    </w:p>
    <w:p w14:paraId="7A0AC5AC">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 科学疗愈支撑：森林浴（Shinrin-yoku）、静坐冥想、生态心理学等理论依据。</w:t>
      </w:r>
    </w:p>
    <w:p w14:paraId="55118C73">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 仪式感闭环：划船→登岸→森林过渡→攀塔→顶层静观→书写→归航，形成完整“抽离-沉淀-回归”仪式链条。</w:t>
      </w:r>
    </w:p>
    <w:p w14:paraId="6E0245F4">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 带走的礼物：离塔前赠送一枚岗云杉林松果（经处理可长期保存），附卡片：愿如杉果坚实，静待属于你的春天。</w:t>
      </w:r>
    </w:p>
    <w:p w14:paraId="241D72A5">
      <w:pPr>
        <w:pStyle w:val="28"/>
        <w:tabs>
          <w:tab w:val="left" w:pos="840"/>
        </w:tabs>
        <w:spacing w:line="360" w:lineRule="auto"/>
        <w:ind w:firstLine="482" w:firstLineChars="200"/>
        <w:rPr>
          <w:rFonts w:hint="default" w:ascii="Times New Roman" w:hAnsi="Times New Roman" w:cs="Times New Roman"/>
          <w:b/>
          <w:bCs/>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3、拉卡自然研学区</w:t>
      </w:r>
    </w:p>
    <w:p w14:paraId="382AFB06">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（1）综合现状</w:t>
      </w:r>
    </w:p>
    <w:p w14:paraId="6C7A5F0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现状为巴卡村观光车换乘点，有旅游厕所、低碳研学营</w:t>
      </w: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达美客栈</w:t>
      </w: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，场地平坦，周边疏林景观较好。</w:t>
      </w:r>
    </w:p>
    <w:p w14:paraId="2E2AEA0B">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（2）规划思路</w:t>
      </w:r>
    </w:p>
    <w:p w14:paraId="0BD776B7">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①打造思路</w:t>
      </w:r>
    </w:p>
    <w:p w14:paraId="25F53BA9">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依托低碳研学营</w:t>
      </w: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达美客栈</w:t>
      </w: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场地周边现状条件，以自然研学为核心，打造研学营地，设置研学课程及互动设施，增强游客体验，丰富景区业态项目。</w:t>
      </w:r>
    </w:p>
    <w:p w14:paraId="4393BBF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②主要功能</w:t>
      </w:r>
    </w:p>
    <w:p w14:paraId="39C5252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停车场、旅游厕所、交通换乘点、研学拓展。</w:t>
      </w:r>
    </w:p>
    <w:p w14:paraId="6A6E522C">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（3）项目业态</w:t>
      </w:r>
    </w:p>
    <w:p w14:paraId="3255E930">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低碳研学营、研学系列课程、幻光森林、拉卡人家、动物农场。</w:t>
      </w:r>
    </w:p>
    <w:p w14:paraId="63330344">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1）低碳研学营</w:t>
      </w:r>
    </w:p>
    <w:p w14:paraId="0BB66DBB">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在达美客栈</w:t>
      </w:r>
      <w:r>
        <w:rPr>
          <w:rFonts w:hint="eastAsia" w:ascii="Times New Roman" w:hAnsi="Times New Roman" w:cs="Times New Roman"/>
          <w:color w:val="auto"/>
          <w:kern w:val="0"/>
          <w:sz w:val="24"/>
          <w:highlight w:val="none"/>
          <w:lang w:val="en-US" w:eastAsia="zh-CN"/>
        </w:rPr>
        <w:t>处依托现有场地等</w:t>
      </w:r>
      <w:r>
        <w:rPr>
          <w:rFonts w:hint="default" w:ascii="Times New Roman" w:hAnsi="Times New Roman" w:cs="Times New Roman"/>
          <w:color w:val="auto"/>
          <w:kern w:val="0"/>
          <w:sz w:val="24"/>
          <w:highlight w:val="none"/>
          <w:lang w:val="en-US" w:eastAsia="zh-CN"/>
        </w:rPr>
        <w:t>，根据地形及森林密度，打造低碳研学营，作为一种全新的青少年课外体验式训练营地，充分利用营地周边的户外活动场地，在保证参与者安全的基础上开展适合青少年年龄阶段的初级训练课程。营地布局教学区、活动区、生活区，建筑以集装箱式为主，打造自然生态的研学拓展营地，建设成为林芝首个自然研学教育营地。</w:t>
      </w:r>
    </w:p>
    <w:p w14:paraId="067CDC9D">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2）研学系列课程</w:t>
      </w:r>
    </w:p>
    <w:p w14:paraId="0ECD267A">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青少年研学系列课程结合当下教育环境、理念打造，60项户外生存挑战，以及自然科学、运动挑战、非遗传承、生活技能、领导力决策、爱国主义教育六大课程体系，旨在帮助青少年保持强健的体魄，向他们提供生理、心理和精神上的支持。</w:t>
      </w:r>
    </w:p>
    <w:p w14:paraId="7F28B8E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3）幻光森林</w:t>
      </w:r>
    </w:p>
    <w:p w14:paraId="0CFD83A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在低碳研学营旁，运用灯光互动装置、全息投影装置等多种技术，结合项目地历史传说，营造藏族生产、生活场景、历史故事，丰富游客夜游体验。该项目的投资强度适中，开展的要求较低，是提升景区价值，吸引游客眼球的优质项目。</w:t>
      </w:r>
    </w:p>
    <w:p w14:paraId="148AF0A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4）拉卡人家</w:t>
      </w:r>
    </w:p>
    <w:p w14:paraId="3EA7FFB4">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在拉卡自然村，依托现状村居，进行升级改造，打造为路过徒步游客提供休息、热水、如厕等服务的场地，让游客在这里可以歇脚、静坐、发呆、听风、看景，在这乡村角落，为游客送去一刻温暖，留下美好回忆。</w:t>
      </w:r>
    </w:p>
    <w:p w14:paraId="642CEF07">
      <w:pPr>
        <w:pStyle w:val="28"/>
        <w:tabs>
          <w:tab w:val="left" w:pos="840"/>
        </w:tabs>
        <w:spacing w:line="360" w:lineRule="auto"/>
        <w:ind w:firstLine="482" w:firstLineChars="200"/>
        <w:rPr>
          <w:rFonts w:hint="default" w:ascii="Times New Roman" w:hAnsi="Times New Roman" w:cs="Times New Roman"/>
          <w:b/>
          <w:bCs/>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4、巴卡民俗休闲区</w:t>
      </w:r>
    </w:p>
    <w:p w14:paraId="59C84875">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（1）综合现状</w:t>
      </w:r>
    </w:p>
    <w:p w14:paraId="6FD22BD0">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巴卡村为旅游特色村，基础服务设施相对完善，现状建有检票口、停车场、旅游厕所等设施，村内有家庭旅馆、民宿多家。</w:t>
      </w:r>
    </w:p>
    <w:p w14:paraId="6A3CEB7D">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（2）规划思路</w:t>
      </w:r>
    </w:p>
    <w:p w14:paraId="336A2365">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①打造思路</w:t>
      </w:r>
    </w:p>
    <w:p w14:paraId="41A0A252">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依托巴卡村现状旅游发展基础，以“体验藏族文化，感受藏乡生活”为主题，植入藏式非遗体验业态、民俗歌舞表演等，打造民俗休闲体验区。</w:t>
      </w:r>
    </w:p>
    <w:p w14:paraId="2050DBA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②主要功能</w:t>
      </w:r>
    </w:p>
    <w:p w14:paraId="33DEE826">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形象展示、综合服务、文化体验、民俗休闲。</w:t>
      </w:r>
    </w:p>
    <w:p w14:paraId="640F7D9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（3）项目业态</w:t>
      </w:r>
    </w:p>
    <w:p w14:paraId="2A74CD2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巴卡检票口、星空露营地、巴卡藏乡民宿、巴卡创意工坊、云杉集市、茶韵工坊。</w:t>
      </w:r>
    </w:p>
    <w:p w14:paraId="5354006B">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1）巴卡检票口</w:t>
      </w:r>
    </w:p>
    <w:p w14:paraId="456E2AF0">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对现状巴卡村检票口进行升级改造，打造具有景区特色的游客咨询服务点，完善咨询、检票、车辆换乘等服务功能，为游客提供全面服务。</w:t>
      </w:r>
    </w:p>
    <w:p w14:paraId="2933059E">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2）星空露营地</w:t>
      </w:r>
    </w:p>
    <w:p w14:paraId="14408ADB">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利用巴卡村茶叶加工厂东侧较为平整用地，以星空为幕，帐篷为营，打造星空露营地。前期以露营观星，观雪山为主，后期作为自驾营地，为游客提供综合服务、房车营位、网红酒店住宿等服务。营地紧挨帕隆藏布江，周边农田、村居生态环境优美，非常适合放松露营。</w:t>
      </w:r>
    </w:p>
    <w:p w14:paraId="79152FF6">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3）巴卡藏乡民宿</w:t>
      </w:r>
    </w:p>
    <w:p w14:paraId="543E4341">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采用当地传统的藏式建筑风格，以区域民俗文化为主题，打造巴卡藏乡特色民宿，设置书吧、茶室等，为游客提供烤藏猪、糌粑、酥油茶、青稞酒等地道藏味，提供原汁原味的藏族歌舞表演及民俗活动，让游客沉浸式感受藏族生活的独特氛围。</w:t>
      </w:r>
    </w:p>
    <w:p w14:paraId="7AF652B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4）巴卡创意工坊</w:t>
      </w:r>
    </w:p>
    <w:p w14:paraId="2A378C3B">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在巴卡村星空露营地旁，以波密在地非遗文化为核心，以体验为主要功能，打造巴卡创意工坊，让游客沉浸式感受波密非遗文化魅力，用双手打磨时光，体验创作的过程。</w:t>
      </w:r>
    </w:p>
    <w:p w14:paraId="7161F3FA">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•做一盒岗云藏香：以传统手工藏香制作为核心，感受香泥在指缝间流动。</w:t>
      </w:r>
    </w:p>
    <w:p w14:paraId="4267FABC">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•造一张古法藏纸：以传统手工藏纸体验为核心，用狼毒草根与格桑花瓣，制作一张会开花的藏纸。</w:t>
      </w:r>
    </w:p>
    <w:p w14:paraId="282D9ECD">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•做一个手工木碗：以手工木碗制作体验为核心，游客打造一个自己专属的木碗。</w:t>
      </w:r>
    </w:p>
    <w:p w14:paraId="5F4968A1">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•摹一段藏文书法：以传统藏纸为材，体验藏文书写，自由创作藏文专属纪念。</w:t>
      </w:r>
    </w:p>
    <w:p w14:paraId="4897817F">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•做一件松果手工：以云杉林松果为材料，自由创作，带走岗云杉林的一颗文艺松果。</w:t>
      </w:r>
    </w:p>
    <w:p w14:paraId="5527959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5）云杉集市</w:t>
      </w:r>
    </w:p>
    <w:p w14:paraId="3FFFF6C2">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利用现状村委会门前的广场，以帐篷形式，打造云杉市集，集中售卖波密非遗文创商品及当地特有的松茸、天麻、贝母、灵芝等特色农产品。</w:t>
      </w:r>
    </w:p>
    <w:p w14:paraId="50B786B1">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6）茶韵工坊</w:t>
      </w:r>
    </w:p>
    <w:p w14:paraId="68166868">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巴卡村拥有优质的茶叶种植条件，且种植有西藏特色的高山茶叶，利用茶产业的底蕴加上特色的巴卡文化，开设茶叶加工体验项目，从茶园采茶→制茶→茶道→茶手工一站式茶文化体验。</w:t>
      </w:r>
    </w:p>
    <w:p w14:paraId="50D43FD1">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用地布局规划</w:t>
      </w:r>
    </w:p>
    <w:p w14:paraId="429028B0">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总体规划范围土地利用现状</w:t>
      </w:r>
    </w:p>
    <w:p w14:paraId="474D4200">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rPr>
        <w:t>本次规划以国土变更调查数据、数字正射影像图作为工作底图底数，岗云杉林生态旅游景区控制范围面积为681.30公顷。根据《国土空间调查、规划、用途管制用地用海分类指南》进行现状用地划分。土地利用现状统计表</w:t>
      </w:r>
      <w:r>
        <w:rPr>
          <w:rFonts w:hint="default" w:ascii="Times New Roman" w:hAnsi="Times New Roman" w:eastAsia="宋体" w:cs="Times New Roman"/>
          <w:bCs/>
          <w:color w:val="auto"/>
          <w:kern w:val="0"/>
          <w:sz w:val="24"/>
          <w:highlight w:val="none"/>
          <w:lang w:val="en-US" w:eastAsia="zh-CN"/>
        </w:rPr>
        <w:t>见下表：</w:t>
      </w:r>
    </w:p>
    <w:p w14:paraId="0E3285CE">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表2.1-</w:t>
      </w:r>
      <w:r>
        <w:rPr>
          <w:rFonts w:hint="default" w:ascii="Times New Roman" w:hAnsi="Times New Roman" w:eastAsia="黑体" w:cs="Times New Roman"/>
          <w:bCs/>
          <w:color w:val="auto"/>
          <w:kern w:val="0"/>
          <w:szCs w:val="21"/>
          <w:highlight w:val="none"/>
          <w:lang w:val="en-US" w:eastAsia="zh-CN"/>
        </w:rPr>
        <w:t>4</w:t>
      </w:r>
      <w:r>
        <w:rPr>
          <w:rFonts w:hint="default" w:ascii="Times New Roman" w:hAnsi="Times New Roman" w:eastAsia="黑体" w:cs="Times New Roman"/>
          <w:bCs/>
          <w:color w:val="auto"/>
          <w:kern w:val="0"/>
          <w:szCs w:val="21"/>
          <w:highlight w:val="none"/>
        </w:rPr>
        <w:t xml:space="preserve">  土地利用现状统计表</w:t>
      </w:r>
    </w:p>
    <w:tbl>
      <w:tblPr>
        <w:tblStyle w:val="5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46"/>
        <w:gridCol w:w="2507"/>
        <w:gridCol w:w="2281"/>
        <w:gridCol w:w="922"/>
        <w:gridCol w:w="1282"/>
        <w:gridCol w:w="828"/>
      </w:tblGrid>
      <w:tr w14:paraId="3D08F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 w:hRule="atLeast"/>
        </w:trPr>
        <w:tc>
          <w:tcPr>
            <w:tcW w:w="639" w:type="pct"/>
            <w:vMerge w:val="restart"/>
            <w:tcBorders>
              <w:top w:val="single" w:color="000000" w:sz="4" w:space="0"/>
              <w:left w:val="single" w:color="000000" w:sz="4" w:space="0"/>
              <w:right w:val="single" w:color="000000" w:sz="4" w:space="0"/>
            </w:tcBorders>
            <w:shd w:val="clear" w:color="auto" w:fill="auto"/>
            <w:vAlign w:val="center"/>
          </w:tcPr>
          <w:p w14:paraId="7A983D5C">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土地三大类</w:t>
            </w:r>
          </w:p>
        </w:tc>
        <w:tc>
          <w:tcPr>
            <w:tcW w:w="3184" w:type="pct"/>
            <w:gridSpan w:val="3"/>
            <w:vMerge w:val="restart"/>
            <w:tcBorders>
              <w:top w:val="single" w:color="000000" w:sz="4" w:space="0"/>
              <w:left w:val="single" w:color="000000" w:sz="4" w:space="0"/>
              <w:right w:val="single" w:color="000000" w:sz="4" w:space="0"/>
            </w:tcBorders>
            <w:shd w:val="clear" w:color="auto" w:fill="auto"/>
            <w:vAlign w:val="center"/>
          </w:tcPr>
          <w:p w14:paraId="386FDD44">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名称</w:t>
            </w: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E0BAA">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现状</w:t>
            </w:r>
          </w:p>
        </w:tc>
      </w:tr>
      <w:tr w14:paraId="5437D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639" w:type="pct"/>
            <w:vMerge w:val="continue"/>
            <w:tcBorders>
              <w:left w:val="single" w:color="000000" w:sz="4" w:space="0"/>
              <w:bottom w:val="single" w:color="000000" w:sz="4" w:space="0"/>
              <w:right w:val="single" w:color="000000" w:sz="4" w:space="0"/>
            </w:tcBorders>
            <w:shd w:val="clear" w:color="auto" w:fill="auto"/>
            <w:vAlign w:val="center"/>
          </w:tcPr>
          <w:p w14:paraId="30D62740">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3184" w:type="pct"/>
            <w:gridSpan w:val="3"/>
            <w:vMerge w:val="continue"/>
            <w:tcBorders>
              <w:left w:val="single" w:color="000000" w:sz="4" w:space="0"/>
              <w:bottom w:val="single" w:color="000000" w:sz="4" w:space="0"/>
              <w:right w:val="single" w:color="000000" w:sz="4" w:space="0"/>
            </w:tcBorders>
            <w:shd w:val="clear" w:color="auto" w:fill="auto"/>
            <w:vAlign w:val="center"/>
          </w:tcPr>
          <w:p w14:paraId="44027F74">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5ACFF">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面积（h</w:t>
            </w:r>
            <w:r>
              <w:rPr>
                <w:rFonts w:hint="default" w:ascii="Times New Roman" w:hAnsi="Times New Roman" w:eastAsia="宋体" w:cs="Times New Roman"/>
                <w:color w:val="auto"/>
                <w:kern w:val="0"/>
                <w:szCs w:val="21"/>
                <w:highlight w:val="none"/>
                <w:lang w:val="en-US" w:eastAsia="zh-CN"/>
              </w:rPr>
              <w:t>m</w:t>
            </w:r>
            <w:r>
              <w:rPr>
                <w:rFonts w:hint="default" w:ascii="Times New Roman" w:hAnsi="Times New Roman" w:eastAsia="宋体" w:cs="Times New Roman"/>
                <w:color w:val="auto"/>
                <w:kern w:val="0"/>
                <w:szCs w:val="21"/>
                <w:highlight w:val="none"/>
                <w:vertAlign w:val="superscript"/>
                <w:lang w:val="en-US" w:eastAsia="zh-CN"/>
              </w:rPr>
              <w:t>2</w:t>
            </w:r>
            <w:r>
              <w:rPr>
                <w:rFonts w:hint="default" w:ascii="Times New Roman" w:hAnsi="Times New Roman" w:eastAsia="宋体" w:cs="Times New Roman"/>
                <w:color w:val="auto"/>
                <w:kern w:val="0"/>
                <w:szCs w:val="21"/>
                <w:highlight w:val="none"/>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A50AE">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占比</w:t>
            </w:r>
          </w:p>
        </w:tc>
      </w:tr>
      <w:tr w14:paraId="3D464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8ADF9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农用地</w:t>
            </w:r>
          </w:p>
        </w:tc>
        <w:tc>
          <w:tcPr>
            <w:tcW w:w="13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BE1A1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耕地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6BA6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水浇地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651D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B170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58.46</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8B1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8.58%</w:t>
            </w:r>
          </w:p>
        </w:tc>
      </w:tr>
      <w:tr w14:paraId="3AC52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3E523">
            <w:pPr>
              <w:widowControl/>
              <w:jc w:val="center"/>
              <w:rPr>
                <w:rFonts w:hint="default" w:ascii="Times New Roman" w:hAnsi="Times New Roman" w:eastAsia="宋体" w:cs="Times New Roman"/>
                <w:color w:val="auto"/>
                <w:kern w:val="0"/>
                <w:szCs w:val="21"/>
                <w:highlight w:val="none"/>
              </w:rPr>
            </w:pPr>
          </w:p>
        </w:tc>
        <w:tc>
          <w:tcPr>
            <w:tcW w:w="13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3A2D9">
            <w:pPr>
              <w:widowControl/>
              <w:jc w:val="center"/>
              <w:rPr>
                <w:rFonts w:hint="default" w:ascii="Times New Roman" w:hAnsi="Times New Roman" w:eastAsia="宋体" w:cs="Times New Roman"/>
                <w:color w:val="auto"/>
                <w:kern w:val="0"/>
                <w:szCs w:val="21"/>
                <w:highlight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E509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旱地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9E35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2913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43.34</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61BC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6.36%</w:t>
            </w:r>
          </w:p>
        </w:tc>
      </w:tr>
      <w:tr w14:paraId="04B4E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3BD86">
            <w:pPr>
              <w:widowControl/>
              <w:jc w:val="center"/>
              <w:rPr>
                <w:rFonts w:hint="default" w:ascii="Times New Roman" w:hAnsi="Times New Roman" w:eastAsia="宋体" w:cs="Times New Roman"/>
                <w:color w:val="auto"/>
                <w:kern w:val="0"/>
                <w:szCs w:val="21"/>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1F60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园地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2ECE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果园</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7DD8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61BC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0.66</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A19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0.10%</w:t>
            </w:r>
          </w:p>
        </w:tc>
      </w:tr>
      <w:tr w14:paraId="1EE24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E3F84">
            <w:pPr>
              <w:widowControl/>
              <w:jc w:val="center"/>
              <w:rPr>
                <w:rFonts w:hint="default" w:ascii="Times New Roman" w:hAnsi="Times New Roman" w:eastAsia="宋体" w:cs="Times New Roman"/>
                <w:color w:val="auto"/>
                <w:kern w:val="0"/>
                <w:szCs w:val="21"/>
                <w:highlight w:val="none"/>
              </w:rPr>
            </w:pPr>
          </w:p>
        </w:tc>
        <w:tc>
          <w:tcPr>
            <w:tcW w:w="13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2EF4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林地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608A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乔木林地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B379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30C5A">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485.2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AD89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71.22%</w:t>
            </w:r>
          </w:p>
        </w:tc>
      </w:tr>
      <w:tr w14:paraId="4BD1D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6643A">
            <w:pPr>
              <w:widowControl/>
              <w:jc w:val="center"/>
              <w:rPr>
                <w:rFonts w:hint="default" w:ascii="Times New Roman" w:hAnsi="Times New Roman" w:eastAsia="宋体" w:cs="Times New Roman"/>
                <w:color w:val="auto"/>
                <w:kern w:val="0"/>
                <w:szCs w:val="21"/>
                <w:highlight w:val="none"/>
              </w:rPr>
            </w:pPr>
          </w:p>
        </w:tc>
        <w:tc>
          <w:tcPr>
            <w:tcW w:w="13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5D37D">
            <w:pPr>
              <w:widowControl/>
              <w:jc w:val="center"/>
              <w:rPr>
                <w:rFonts w:hint="default" w:ascii="Times New Roman" w:hAnsi="Times New Roman" w:eastAsia="宋体" w:cs="Times New Roman"/>
                <w:color w:val="auto"/>
                <w:kern w:val="0"/>
                <w:szCs w:val="21"/>
                <w:highlight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6A5C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灌木林地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4057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D059D">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14.59</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FF7C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2.14%</w:t>
            </w:r>
          </w:p>
        </w:tc>
      </w:tr>
      <w:tr w14:paraId="217B2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35000">
            <w:pPr>
              <w:widowControl/>
              <w:jc w:val="center"/>
              <w:rPr>
                <w:rFonts w:hint="default" w:ascii="Times New Roman" w:hAnsi="Times New Roman" w:eastAsia="宋体" w:cs="Times New Roman"/>
                <w:color w:val="auto"/>
                <w:kern w:val="0"/>
                <w:szCs w:val="21"/>
                <w:highlight w:val="none"/>
              </w:rPr>
            </w:pPr>
          </w:p>
        </w:tc>
        <w:tc>
          <w:tcPr>
            <w:tcW w:w="13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8DE28">
            <w:pPr>
              <w:widowControl/>
              <w:jc w:val="center"/>
              <w:rPr>
                <w:rFonts w:hint="default" w:ascii="Times New Roman" w:hAnsi="Times New Roman" w:eastAsia="宋体" w:cs="Times New Roman"/>
                <w:color w:val="auto"/>
                <w:kern w:val="0"/>
                <w:szCs w:val="21"/>
                <w:highlight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58ED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其他林地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F0BA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DF7B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0.63</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4D87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0.09%</w:t>
            </w:r>
          </w:p>
        </w:tc>
      </w:tr>
      <w:tr w14:paraId="43C01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D0DDF">
            <w:pPr>
              <w:widowControl/>
              <w:jc w:val="center"/>
              <w:rPr>
                <w:rFonts w:hint="default" w:ascii="Times New Roman" w:hAnsi="Times New Roman" w:eastAsia="宋体" w:cs="Times New Roman"/>
                <w:color w:val="auto"/>
                <w:kern w:val="0"/>
                <w:szCs w:val="21"/>
                <w:highlight w:val="none"/>
              </w:rPr>
            </w:pPr>
          </w:p>
        </w:tc>
        <w:tc>
          <w:tcPr>
            <w:tcW w:w="13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310A8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草地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0937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天然牧草地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44BC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B79B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42.78</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0733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6.28%</w:t>
            </w:r>
          </w:p>
        </w:tc>
      </w:tr>
      <w:tr w14:paraId="3B6D2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5B6AD">
            <w:pPr>
              <w:widowControl/>
              <w:jc w:val="center"/>
              <w:rPr>
                <w:rFonts w:hint="default" w:ascii="Times New Roman" w:hAnsi="Times New Roman" w:eastAsia="宋体" w:cs="Times New Roman"/>
                <w:color w:val="auto"/>
                <w:kern w:val="0"/>
                <w:szCs w:val="21"/>
                <w:highlight w:val="none"/>
              </w:rPr>
            </w:pPr>
          </w:p>
        </w:tc>
        <w:tc>
          <w:tcPr>
            <w:tcW w:w="13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B6A31">
            <w:pPr>
              <w:widowControl/>
              <w:jc w:val="center"/>
              <w:rPr>
                <w:rFonts w:hint="default" w:ascii="Times New Roman" w:hAnsi="Times New Roman" w:eastAsia="宋体" w:cs="Times New Roman"/>
                <w:color w:val="auto"/>
                <w:kern w:val="0"/>
                <w:szCs w:val="21"/>
                <w:highlight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FFE8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其他草地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56E3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EB77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0.23</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2EFA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r>
      <w:tr w14:paraId="54D09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F14D6">
            <w:pPr>
              <w:widowControl/>
              <w:jc w:val="center"/>
              <w:rPr>
                <w:rFonts w:hint="default" w:ascii="Times New Roman" w:hAnsi="Times New Roman" w:eastAsia="宋体" w:cs="Times New Roman"/>
                <w:color w:val="auto"/>
                <w:kern w:val="0"/>
                <w:szCs w:val="21"/>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AD86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湿地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9C16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内陆滩涂</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29DF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EE21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6.31</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7DD2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0.93%</w:t>
            </w:r>
          </w:p>
        </w:tc>
      </w:tr>
      <w:tr w14:paraId="25829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D6830">
            <w:pPr>
              <w:widowControl/>
              <w:jc w:val="center"/>
              <w:rPr>
                <w:rFonts w:hint="default" w:ascii="Times New Roman" w:hAnsi="Times New Roman" w:eastAsia="宋体" w:cs="Times New Roman"/>
                <w:color w:val="auto"/>
                <w:kern w:val="0"/>
                <w:szCs w:val="21"/>
                <w:highlight w:val="none"/>
              </w:rPr>
            </w:pPr>
          </w:p>
        </w:tc>
        <w:tc>
          <w:tcPr>
            <w:tcW w:w="13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6691C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农业设施建设用地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FFA8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农村道路</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923E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村道用地</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976D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3.44</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F244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0.50%</w:t>
            </w:r>
          </w:p>
        </w:tc>
      </w:tr>
      <w:tr w14:paraId="68FB7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92523">
            <w:pPr>
              <w:widowControl/>
              <w:jc w:val="center"/>
              <w:rPr>
                <w:rFonts w:hint="default" w:ascii="Times New Roman" w:hAnsi="Times New Roman" w:eastAsia="宋体" w:cs="Times New Roman"/>
                <w:color w:val="auto"/>
                <w:kern w:val="0"/>
                <w:szCs w:val="21"/>
                <w:highlight w:val="none"/>
              </w:rPr>
            </w:pPr>
          </w:p>
        </w:tc>
        <w:tc>
          <w:tcPr>
            <w:tcW w:w="13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ADC23">
            <w:pPr>
              <w:widowControl/>
              <w:jc w:val="center"/>
              <w:rPr>
                <w:rFonts w:hint="default" w:ascii="Times New Roman" w:hAnsi="Times New Roman" w:eastAsia="宋体" w:cs="Times New Roman"/>
                <w:color w:val="auto"/>
                <w:kern w:val="0"/>
                <w:szCs w:val="21"/>
                <w:highlight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186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设施农用地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64E4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34F3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0.18</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B593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r>
      <w:tr w14:paraId="6888B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C673B">
            <w:pPr>
              <w:widowControl/>
              <w:jc w:val="center"/>
              <w:rPr>
                <w:rFonts w:hint="default" w:ascii="Times New Roman" w:hAnsi="Times New Roman" w:eastAsia="宋体" w:cs="Times New Roman"/>
                <w:color w:val="auto"/>
                <w:kern w:val="0"/>
                <w:szCs w:val="21"/>
                <w:highlight w:val="none"/>
              </w:rPr>
            </w:pPr>
          </w:p>
        </w:tc>
        <w:tc>
          <w:tcPr>
            <w:tcW w:w="31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2986B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农用地合计</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D926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655.82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E9DF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96.26%</w:t>
            </w:r>
          </w:p>
        </w:tc>
      </w:tr>
      <w:tr w14:paraId="470DF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8F0D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建设用地</w:t>
            </w:r>
          </w:p>
        </w:tc>
        <w:tc>
          <w:tcPr>
            <w:tcW w:w="13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A930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居住用地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9699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农村宅基地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E76D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0B43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4.82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2250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0.71%</w:t>
            </w:r>
          </w:p>
        </w:tc>
      </w:tr>
      <w:tr w14:paraId="4694C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BBF3F">
            <w:pPr>
              <w:widowControl/>
              <w:jc w:val="center"/>
              <w:rPr>
                <w:rFonts w:hint="default" w:ascii="Times New Roman" w:hAnsi="Times New Roman" w:eastAsia="宋体" w:cs="Times New Roman"/>
                <w:color w:val="auto"/>
                <w:kern w:val="0"/>
                <w:szCs w:val="21"/>
                <w:highlight w:val="none"/>
              </w:rPr>
            </w:pPr>
          </w:p>
        </w:tc>
        <w:tc>
          <w:tcPr>
            <w:tcW w:w="13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13120">
            <w:pPr>
              <w:widowControl/>
              <w:jc w:val="center"/>
              <w:rPr>
                <w:rFonts w:hint="default" w:ascii="Times New Roman" w:hAnsi="Times New Roman" w:eastAsia="宋体" w:cs="Times New Roman"/>
                <w:color w:val="auto"/>
                <w:kern w:val="0"/>
                <w:szCs w:val="21"/>
                <w:highlight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CD3A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农村社区服务设施用地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F6D5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9EB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0.22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F6C3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r>
      <w:tr w14:paraId="21B4F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1DFD8">
            <w:pPr>
              <w:widowControl/>
              <w:jc w:val="center"/>
              <w:rPr>
                <w:rFonts w:hint="default" w:ascii="Times New Roman" w:hAnsi="Times New Roman" w:eastAsia="宋体" w:cs="Times New Roman"/>
                <w:color w:val="auto"/>
                <w:kern w:val="0"/>
                <w:szCs w:val="21"/>
                <w:highlight w:val="none"/>
              </w:rPr>
            </w:pPr>
          </w:p>
        </w:tc>
        <w:tc>
          <w:tcPr>
            <w:tcW w:w="13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EA9A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公共管理与公共服务用地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22A0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文化用地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56AD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E237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9554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0.00%</w:t>
            </w:r>
          </w:p>
        </w:tc>
      </w:tr>
      <w:tr w14:paraId="12D07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01A66">
            <w:pPr>
              <w:widowControl/>
              <w:jc w:val="center"/>
              <w:rPr>
                <w:rFonts w:hint="default" w:ascii="Times New Roman" w:hAnsi="Times New Roman" w:eastAsia="宋体" w:cs="Times New Roman"/>
                <w:color w:val="auto"/>
                <w:kern w:val="0"/>
                <w:szCs w:val="21"/>
                <w:highlight w:val="none"/>
              </w:rPr>
            </w:pPr>
          </w:p>
        </w:tc>
        <w:tc>
          <w:tcPr>
            <w:tcW w:w="13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E9793">
            <w:pPr>
              <w:widowControl/>
              <w:jc w:val="center"/>
              <w:rPr>
                <w:rFonts w:hint="default" w:ascii="Times New Roman" w:hAnsi="Times New Roman" w:eastAsia="宋体" w:cs="Times New Roman"/>
                <w:color w:val="auto"/>
                <w:kern w:val="0"/>
                <w:szCs w:val="21"/>
                <w:highlight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3BC6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体育用地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6A07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D770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0.07</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FD4C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0.01%</w:t>
            </w:r>
          </w:p>
        </w:tc>
      </w:tr>
      <w:tr w14:paraId="5F7D2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28FAC">
            <w:pPr>
              <w:widowControl/>
              <w:jc w:val="center"/>
              <w:rPr>
                <w:rFonts w:hint="default" w:ascii="Times New Roman" w:hAnsi="Times New Roman" w:eastAsia="宋体" w:cs="Times New Roman"/>
                <w:color w:val="auto"/>
                <w:kern w:val="0"/>
                <w:szCs w:val="21"/>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B932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商业服务业用地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459B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商业用地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E4F1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2272A">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4.58</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A72B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0.67%</w:t>
            </w:r>
          </w:p>
        </w:tc>
      </w:tr>
      <w:tr w14:paraId="2C2FC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1EBAD">
            <w:pPr>
              <w:widowControl/>
              <w:jc w:val="center"/>
              <w:rPr>
                <w:rFonts w:hint="default" w:ascii="Times New Roman" w:hAnsi="Times New Roman" w:eastAsia="宋体" w:cs="Times New Roman"/>
                <w:color w:val="auto"/>
                <w:kern w:val="0"/>
                <w:szCs w:val="21"/>
                <w:highlight w:val="none"/>
              </w:rPr>
            </w:pPr>
          </w:p>
        </w:tc>
        <w:tc>
          <w:tcPr>
            <w:tcW w:w="1398" w:type="pct"/>
            <w:vMerge w:val="restart"/>
            <w:tcBorders>
              <w:top w:val="single" w:color="000000" w:sz="4" w:space="0"/>
              <w:left w:val="single" w:color="000000" w:sz="4" w:space="0"/>
              <w:right w:val="single" w:color="000000" w:sz="4" w:space="0"/>
            </w:tcBorders>
            <w:shd w:val="clear" w:color="auto" w:fill="auto"/>
            <w:vAlign w:val="center"/>
          </w:tcPr>
          <w:p w14:paraId="1052B69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交通运输用地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B054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公路用地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ECD2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AB68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3.84</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FC8A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0.56%</w:t>
            </w:r>
          </w:p>
        </w:tc>
      </w:tr>
      <w:tr w14:paraId="174D4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40F5A">
            <w:pPr>
              <w:widowControl/>
              <w:jc w:val="center"/>
              <w:rPr>
                <w:rFonts w:hint="default" w:ascii="Times New Roman" w:hAnsi="Times New Roman" w:eastAsia="宋体" w:cs="Times New Roman"/>
                <w:color w:val="auto"/>
                <w:kern w:val="0"/>
                <w:szCs w:val="21"/>
                <w:highlight w:val="none"/>
              </w:rPr>
            </w:pPr>
          </w:p>
        </w:tc>
        <w:tc>
          <w:tcPr>
            <w:tcW w:w="1398" w:type="pct"/>
            <w:vMerge w:val="continue"/>
            <w:tcBorders>
              <w:left w:val="single" w:color="000000" w:sz="4" w:space="0"/>
              <w:right w:val="single" w:color="000000" w:sz="4" w:space="0"/>
            </w:tcBorders>
            <w:shd w:val="clear" w:color="auto" w:fill="auto"/>
            <w:vAlign w:val="center"/>
          </w:tcPr>
          <w:p w14:paraId="182D1035">
            <w:pPr>
              <w:widowControl/>
              <w:jc w:val="center"/>
              <w:rPr>
                <w:rFonts w:hint="default" w:ascii="Times New Roman" w:hAnsi="Times New Roman" w:eastAsia="宋体" w:cs="Times New Roman"/>
                <w:color w:val="auto"/>
                <w:kern w:val="0"/>
                <w:szCs w:val="21"/>
                <w:highlight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DDA9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城镇村道路用地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5A7E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C2D1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0.07</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8D2A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0.01%</w:t>
            </w:r>
          </w:p>
        </w:tc>
      </w:tr>
      <w:tr w14:paraId="4D2B0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0E1AB">
            <w:pPr>
              <w:widowControl/>
              <w:jc w:val="center"/>
              <w:rPr>
                <w:rFonts w:hint="default" w:ascii="Times New Roman" w:hAnsi="Times New Roman" w:eastAsia="宋体" w:cs="Times New Roman"/>
                <w:color w:val="auto"/>
                <w:kern w:val="0"/>
                <w:szCs w:val="21"/>
                <w:highlight w:val="none"/>
              </w:rPr>
            </w:pPr>
          </w:p>
        </w:tc>
        <w:tc>
          <w:tcPr>
            <w:tcW w:w="1398" w:type="pct"/>
            <w:vMerge w:val="continue"/>
            <w:tcBorders>
              <w:left w:val="single" w:color="000000" w:sz="4" w:space="0"/>
              <w:bottom w:val="single" w:color="000000" w:sz="4" w:space="0"/>
              <w:right w:val="single" w:color="000000" w:sz="4" w:space="0"/>
            </w:tcBorders>
            <w:shd w:val="clear" w:color="auto" w:fill="auto"/>
            <w:vAlign w:val="center"/>
          </w:tcPr>
          <w:p w14:paraId="044E4263">
            <w:pPr>
              <w:widowControl/>
              <w:jc w:val="center"/>
              <w:rPr>
                <w:rFonts w:hint="default" w:ascii="Times New Roman" w:hAnsi="Times New Roman" w:eastAsia="宋体" w:cs="Times New Roman"/>
                <w:color w:val="auto"/>
                <w:kern w:val="0"/>
                <w:szCs w:val="21"/>
                <w:highlight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6506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交通场站用地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4EA7D">
            <w:pPr>
              <w:widowControl/>
              <w:jc w:val="center"/>
              <w:rPr>
                <w:rFonts w:hint="default" w:ascii="Times New Roman" w:hAnsi="Times New Roman" w:eastAsia="宋体" w:cs="Times New Roman"/>
                <w:color w:val="auto"/>
                <w:kern w:val="0"/>
                <w:szCs w:val="21"/>
                <w:highlight w:val="none"/>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1F528">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0.29</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9125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0.04%</w:t>
            </w:r>
          </w:p>
        </w:tc>
      </w:tr>
      <w:tr w14:paraId="7E682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62718">
            <w:pPr>
              <w:widowControl/>
              <w:jc w:val="center"/>
              <w:rPr>
                <w:rFonts w:hint="default" w:ascii="Times New Roman" w:hAnsi="Times New Roman" w:eastAsia="宋体" w:cs="Times New Roman"/>
                <w:color w:val="auto"/>
                <w:kern w:val="0"/>
                <w:szCs w:val="21"/>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3578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公用设施用地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1C44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环卫用地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6553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DBD5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0.19</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95CE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r>
      <w:tr w14:paraId="1A3EE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016C0">
            <w:pPr>
              <w:widowControl/>
              <w:jc w:val="center"/>
              <w:rPr>
                <w:rFonts w:hint="default" w:ascii="Times New Roman" w:hAnsi="Times New Roman" w:eastAsia="宋体" w:cs="Times New Roman"/>
                <w:color w:val="auto"/>
                <w:kern w:val="0"/>
                <w:szCs w:val="21"/>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AC19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绿地与开敞空间用地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AABE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防护绿地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13C5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B434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A58D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0.00%</w:t>
            </w:r>
          </w:p>
        </w:tc>
      </w:tr>
      <w:tr w14:paraId="66D85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BFF9A">
            <w:pPr>
              <w:widowControl/>
              <w:jc w:val="center"/>
              <w:rPr>
                <w:rFonts w:hint="default" w:ascii="Times New Roman" w:hAnsi="Times New Roman" w:eastAsia="宋体" w:cs="Times New Roman"/>
                <w:color w:val="auto"/>
                <w:kern w:val="0"/>
                <w:szCs w:val="21"/>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EE36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特殊用地</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D74A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F57E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D949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2.18</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A125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0.32%</w:t>
            </w:r>
          </w:p>
        </w:tc>
      </w:tr>
      <w:tr w14:paraId="54D1D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FFFDB">
            <w:pPr>
              <w:widowControl/>
              <w:jc w:val="center"/>
              <w:rPr>
                <w:rFonts w:hint="default" w:ascii="Times New Roman" w:hAnsi="Times New Roman" w:eastAsia="宋体" w:cs="Times New Roman"/>
                <w:color w:val="auto"/>
                <w:kern w:val="0"/>
                <w:szCs w:val="21"/>
                <w:highlight w:val="none"/>
              </w:rPr>
            </w:pPr>
          </w:p>
        </w:tc>
        <w:tc>
          <w:tcPr>
            <w:tcW w:w="31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9086E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建设用地合计</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B216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16.28</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5819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2.39%</w:t>
            </w:r>
          </w:p>
        </w:tc>
      </w:tr>
      <w:tr w14:paraId="2E544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2FA87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未利用地</w:t>
            </w:r>
          </w:p>
        </w:tc>
        <w:tc>
          <w:tcPr>
            <w:tcW w:w="13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D92FC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陆地水域</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B3ED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河流水面</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C911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C7E9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8.52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D235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1.25%</w:t>
            </w:r>
          </w:p>
        </w:tc>
      </w:tr>
      <w:tr w14:paraId="28FED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F3123">
            <w:pPr>
              <w:widowControl/>
              <w:jc w:val="center"/>
              <w:rPr>
                <w:rFonts w:hint="default" w:ascii="Times New Roman" w:hAnsi="Times New Roman" w:eastAsia="宋体" w:cs="Times New Roman"/>
                <w:color w:val="auto"/>
                <w:kern w:val="0"/>
                <w:szCs w:val="21"/>
                <w:highlight w:val="none"/>
              </w:rPr>
            </w:pPr>
          </w:p>
        </w:tc>
        <w:tc>
          <w:tcPr>
            <w:tcW w:w="13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00257">
            <w:pPr>
              <w:widowControl/>
              <w:jc w:val="center"/>
              <w:rPr>
                <w:rFonts w:hint="default" w:ascii="Times New Roman" w:hAnsi="Times New Roman" w:eastAsia="宋体" w:cs="Times New Roman"/>
                <w:color w:val="auto"/>
                <w:kern w:val="0"/>
                <w:szCs w:val="21"/>
                <w:highlight w:val="none"/>
              </w:rPr>
            </w:pP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9FDB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坑塘水面</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0DBE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8307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0.68</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F850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0.10%</w:t>
            </w:r>
          </w:p>
        </w:tc>
      </w:tr>
      <w:tr w14:paraId="6B251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9589F">
            <w:pPr>
              <w:widowControl/>
              <w:jc w:val="center"/>
              <w:rPr>
                <w:rFonts w:hint="default" w:ascii="Times New Roman" w:hAnsi="Times New Roman" w:eastAsia="宋体" w:cs="Times New Roman"/>
                <w:color w:val="auto"/>
                <w:kern w:val="0"/>
                <w:szCs w:val="21"/>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8E08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未利用地合计</w:t>
            </w:r>
          </w:p>
        </w:tc>
        <w:tc>
          <w:tcPr>
            <w:tcW w:w="1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A06BE">
            <w:pPr>
              <w:widowControl/>
              <w:jc w:val="center"/>
              <w:rPr>
                <w:rFonts w:hint="default" w:ascii="Times New Roman" w:hAnsi="Times New Roman" w:eastAsia="宋体" w:cs="Times New Roman"/>
                <w:color w:val="auto"/>
                <w:kern w:val="0"/>
                <w:szCs w:val="21"/>
                <w:highlight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CBA46">
            <w:pPr>
              <w:widowControl/>
              <w:jc w:val="center"/>
              <w:rPr>
                <w:rFonts w:hint="default" w:ascii="Times New Roman" w:hAnsi="Times New Roman" w:eastAsia="宋体" w:cs="Times New Roman"/>
                <w:color w:val="auto"/>
                <w:kern w:val="0"/>
                <w:szCs w:val="21"/>
                <w:highlight w:val="none"/>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62FA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 xml:space="preserve">9.20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9F7A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1.35%</w:t>
            </w:r>
          </w:p>
        </w:tc>
      </w:tr>
      <w:tr w14:paraId="337F3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82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4445C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总计</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B93D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681.3</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291C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100.00%</w:t>
            </w:r>
          </w:p>
        </w:tc>
      </w:tr>
    </w:tbl>
    <w:p w14:paraId="42D2BA27">
      <w:pPr>
        <w:pStyle w:val="29"/>
        <w:rPr>
          <w:rFonts w:hint="default" w:ascii="Times New Roman" w:hAnsi="Times New Roman" w:eastAsia="黑体" w:cs="Times New Roman"/>
          <w:bCs/>
          <w:color w:val="auto"/>
          <w:kern w:val="0"/>
          <w:szCs w:val="21"/>
          <w:highlight w:val="none"/>
        </w:rPr>
      </w:pPr>
    </w:p>
    <w:p w14:paraId="66B65904">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重点片区</w:t>
      </w:r>
      <w:r>
        <w:rPr>
          <w:rFonts w:hint="default" w:ascii="Times New Roman" w:hAnsi="Times New Roman" w:cs="Times New Roman"/>
          <w:color w:val="auto"/>
          <w:highlight w:val="none"/>
        </w:rPr>
        <w:t>控规范围</w:t>
      </w:r>
      <w:r>
        <w:rPr>
          <w:rFonts w:hint="default" w:ascii="Times New Roman" w:hAnsi="Times New Roman" w:cs="Times New Roman"/>
          <w:color w:val="auto"/>
          <w:highlight w:val="none"/>
          <w:lang w:val="en-US" w:eastAsia="zh-CN"/>
        </w:rPr>
        <w:t>土地利用规划</w:t>
      </w:r>
    </w:p>
    <w:p w14:paraId="31552282">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1、景区总体规划</w:t>
      </w:r>
    </w:p>
    <w:p w14:paraId="20C996C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岗云杉林生态旅游景区总面积：681.30公顷，其中农用地654.70公顷（减少1.12公顷），建设用地17.40公顷（增加1.12公顷），未利用地9.20公顷。</w:t>
      </w:r>
    </w:p>
    <w:p w14:paraId="48DE7341">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2、重要节点控制性详细规划</w:t>
      </w:r>
    </w:p>
    <w:p w14:paraId="1ED3B35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（1）新建游客服务中心节点</w:t>
      </w:r>
    </w:p>
    <w:p w14:paraId="26FDE22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规划用地面积1.31公顷，其中商业服务业用地0.26公顷，交通运输用地0.81公顷，绿地与开敞空间用地0.24公顷。</w:t>
      </w:r>
    </w:p>
    <w:p w14:paraId="0A21FEED">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表2.1-5  土地利用规划统计表</w:t>
      </w:r>
    </w:p>
    <w:tbl>
      <w:tblPr>
        <w:tblStyle w:val="5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2"/>
        <w:gridCol w:w="2598"/>
        <w:gridCol w:w="753"/>
        <w:gridCol w:w="1492"/>
        <w:gridCol w:w="1121"/>
        <w:gridCol w:w="1495"/>
        <w:gridCol w:w="753"/>
      </w:tblGrid>
      <w:tr w14:paraId="0C153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86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C45037">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一级类</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675D9">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二级类</w:t>
            </w:r>
          </w:p>
        </w:tc>
        <w:tc>
          <w:tcPr>
            <w:tcW w:w="14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AF9B06">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三级类</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99E49">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面积</w:t>
            </w:r>
          </w:p>
        </w:tc>
      </w:tr>
      <w:tr w14:paraId="7212C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29671">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代码</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9958F">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名称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A328E">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代码</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F4C8">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名称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2F4CC">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代码</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FB22E">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名称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0300C">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公顷</w:t>
            </w:r>
          </w:p>
        </w:tc>
      </w:tr>
      <w:tr w14:paraId="7CBEA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F1735">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09</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10F33">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商业服务业用地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78C31">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0901</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56DF">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商业用地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BE7AA">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0EE3C">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34126">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0.26</w:t>
            </w:r>
          </w:p>
        </w:tc>
      </w:tr>
      <w:tr w14:paraId="13FA0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CF09B">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12</w:t>
            </w:r>
          </w:p>
        </w:tc>
        <w:tc>
          <w:tcPr>
            <w:tcW w:w="1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4B1387">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交通运输用地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7E7B4">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1202</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B52CF">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公路用地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FDC01">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5CBF0">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F39D2">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0.19</w:t>
            </w:r>
          </w:p>
        </w:tc>
      </w:tr>
      <w:tr w14:paraId="578E0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A5FE1">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EA2E2">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8EA82">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1208</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98D95">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交通场站用地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7B3EB">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120803</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1949A">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社会停车场用地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53999">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0.62</w:t>
            </w:r>
          </w:p>
        </w:tc>
      </w:tr>
      <w:tr w14:paraId="64520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59AFB">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14</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4082B">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绿地与开敞空间用地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6CDC3">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1402</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8C33C">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防护绿地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76133">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B866A">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5A393">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0.24</w:t>
            </w:r>
          </w:p>
        </w:tc>
      </w:tr>
      <w:tr w14:paraId="5446A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457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49DBFD">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合计</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C191E">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1.31</w:t>
            </w:r>
          </w:p>
        </w:tc>
      </w:tr>
    </w:tbl>
    <w:p w14:paraId="7C201576">
      <w:pPr>
        <w:pStyle w:val="28"/>
        <w:tabs>
          <w:tab w:val="left" w:pos="840"/>
        </w:tabs>
        <w:spacing w:line="360" w:lineRule="auto"/>
        <w:jc w:val="center"/>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color w:val="auto"/>
          <w:highlight w:val="none"/>
        </w:rPr>
        <w:drawing>
          <wp:inline distT="0" distB="0" distL="114300" distR="114300">
            <wp:extent cx="4975225" cy="4227195"/>
            <wp:effectExtent l="0" t="0" r="8255" b="9525"/>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 name="picture 2660"/>
                    <pic:cNvPicPr>
                      <a:picLocks noChangeAspect="1"/>
                    </pic:cNvPicPr>
                  </pic:nvPicPr>
                  <pic:blipFill>
                    <a:blip r:embed="rId27"/>
                    <a:stretch>
                      <a:fillRect/>
                    </a:stretch>
                  </pic:blipFill>
                  <pic:spPr>
                    <a:xfrm rot="21600000">
                      <a:off x="0" y="0"/>
                      <a:ext cx="4975225" cy="4227195"/>
                    </a:xfrm>
                    <a:prstGeom prst="rect">
                      <a:avLst/>
                    </a:prstGeom>
                  </pic:spPr>
                </pic:pic>
              </a:graphicData>
            </a:graphic>
          </wp:inline>
        </w:drawing>
      </w:r>
    </w:p>
    <w:p w14:paraId="4D9E89FD">
      <w:pPr>
        <w:pStyle w:val="28"/>
        <w:tabs>
          <w:tab w:val="left" w:pos="840"/>
        </w:tabs>
        <w:spacing w:line="360" w:lineRule="auto"/>
        <w:jc w:val="center"/>
        <w:rPr>
          <w:rFonts w:hint="default" w:ascii="Times New Roman" w:hAnsi="Times New Roman" w:cs="Times New Roman"/>
          <w:bCs/>
          <w:color w:val="auto"/>
          <w:kern w:val="0"/>
          <w:sz w:val="24"/>
          <w:highlight w:val="none"/>
          <w:lang w:val="en-US" w:eastAsia="zh-CN"/>
        </w:rPr>
      </w:pPr>
      <w:r>
        <w:rPr>
          <w:rFonts w:hint="default" w:ascii="Times New Roman" w:hAnsi="Times New Roman" w:eastAsia="黑体" w:cs="Times New Roman"/>
          <w:bCs/>
          <w:color w:val="auto"/>
          <w:kern w:val="0"/>
          <w:szCs w:val="21"/>
          <w:highlight w:val="none"/>
          <w:lang w:val="en-US" w:eastAsia="zh-CN"/>
        </w:rPr>
        <w:t>图2.1-4  游客服务中心土地利用规划图</w:t>
      </w:r>
    </w:p>
    <w:p w14:paraId="677305A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（2）岗巴检票口节点</w:t>
      </w:r>
    </w:p>
    <w:p w14:paraId="5035F55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规划用地面积0.26公顷，其中林地（兼作林下停车）0.16公顷，商业服务业用地0.07公顷，公用设施用地0.03公顷。</w:t>
      </w:r>
    </w:p>
    <w:p w14:paraId="587911B5">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表2.1-6  土地利用规划统计表</w:t>
      </w:r>
    </w:p>
    <w:tbl>
      <w:tblPr>
        <w:tblStyle w:val="58"/>
        <w:tblW w:w="50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2"/>
        <w:gridCol w:w="2601"/>
        <w:gridCol w:w="754"/>
        <w:gridCol w:w="1493"/>
        <w:gridCol w:w="1122"/>
        <w:gridCol w:w="1497"/>
        <w:gridCol w:w="754"/>
      </w:tblGrid>
      <w:tr w14:paraId="50108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459A9">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一级类</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09957E">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二级类</w:t>
            </w:r>
          </w:p>
        </w:tc>
        <w:tc>
          <w:tcPr>
            <w:tcW w:w="14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A709DD">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三级类</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41800">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面积</w:t>
            </w:r>
          </w:p>
        </w:tc>
      </w:tr>
      <w:tr w14:paraId="36A16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D7855">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代码</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81BEE">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名称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21DAA">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代码</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E48EC">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名称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58333">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代码</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0E3A0">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名称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9E2B5">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公顷</w:t>
            </w:r>
          </w:p>
        </w:tc>
      </w:tr>
      <w:tr w14:paraId="0DBF3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31048">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03</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9165C">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林地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7F990">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0301</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4EF73">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乔木林地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67E5E">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80019">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6DC2D">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w:t>
            </w:r>
            <w:r>
              <w:rPr>
                <w:rFonts w:hint="default" w:ascii="Times New Roman" w:hAnsi="Times New Roman" w:cs="Times New Roman"/>
                <w:bCs/>
                <w:color w:val="auto"/>
                <w:kern w:val="0"/>
                <w:szCs w:val="21"/>
                <w:highlight w:val="none"/>
                <w:lang w:val="en-US" w:eastAsia="zh-CN"/>
              </w:rPr>
              <w:t>1</w:t>
            </w:r>
            <w:r>
              <w:rPr>
                <w:rFonts w:hint="default" w:ascii="Times New Roman" w:hAnsi="Times New Roman" w:eastAsia="宋体" w:cs="Times New Roman"/>
                <w:bCs/>
                <w:color w:val="auto"/>
                <w:kern w:val="0"/>
                <w:szCs w:val="21"/>
                <w:highlight w:val="none"/>
                <w:lang w:val="en-US" w:eastAsia="zh-CN"/>
              </w:rPr>
              <w:t>6</w:t>
            </w:r>
          </w:p>
        </w:tc>
      </w:tr>
      <w:tr w14:paraId="06C06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E4665">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09</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8CE05">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商业服务业用地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37304">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0901</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80BC5">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商业用地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736D9">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F35BC">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3D418">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w:t>
            </w:r>
            <w:r>
              <w:rPr>
                <w:rFonts w:hint="default" w:ascii="Times New Roman" w:hAnsi="Times New Roman" w:cs="Times New Roman"/>
                <w:bCs/>
                <w:color w:val="auto"/>
                <w:kern w:val="0"/>
                <w:szCs w:val="21"/>
                <w:highlight w:val="none"/>
                <w:lang w:val="en-US" w:eastAsia="zh-CN"/>
              </w:rPr>
              <w:t>07</w:t>
            </w:r>
          </w:p>
        </w:tc>
      </w:tr>
      <w:tr w14:paraId="707A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CA2B2">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r>
              <w:rPr>
                <w:rFonts w:hint="default" w:ascii="Times New Roman" w:hAnsi="Times New Roman" w:cs="Times New Roman"/>
                <w:bCs/>
                <w:color w:val="auto"/>
                <w:kern w:val="0"/>
                <w:szCs w:val="21"/>
                <w:highlight w:val="none"/>
                <w:lang w:val="en-US" w:eastAsia="zh-CN"/>
              </w:rPr>
              <w:t>3</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637DB">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公用设施用地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00072">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r>
              <w:rPr>
                <w:rFonts w:hint="default" w:ascii="Times New Roman" w:hAnsi="Times New Roman" w:cs="Times New Roman"/>
                <w:bCs/>
                <w:color w:val="auto"/>
                <w:kern w:val="0"/>
                <w:szCs w:val="21"/>
                <w:highlight w:val="none"/>
                <w:lang w:val="en-US" w:eastAsia="zh-CN"/>
              </w:rPr>
              <w:t>309</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AA080">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环卫用地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A3554">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3E374">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18838">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w:t>
            </w:r>
            <w:r>
              <w:rPr>
                <w:rFonts w:hint="default" w:ascii="Times New Roman" w:hAnsi="Times New Roman" w:cs="Times New Roman"/>
                <w:bCs/>
                <w:color w:val="auto"/>
                <w:kern w:val="0"/>
                <w:szCs w:val="21"/>
                <w:highlight w:val="none"/>
                <w:lang w:val="en-US" w:eastAsia="zh-CN"/>
              </w:rPr>
              <w:t>03</w:t>
            </w:r>
          </w:p>
        </w:tc>
      </w:tr>
      <w:tr w14:paraId="18C3F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57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DBDCC0">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合计</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631B6">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0.26</w:t>
            </w:r>
          </w:p>
        </w:tc>
      </w:tr>
    </w:tbl>
    <w:p w14:paraId="5F98DBD0">
      <w:pPr>
        <w:pStyle w:val="28"/>
        <w:tabs>
          <w:tab w:val="left" w:pos="840"/>
        </w:tabs>
        <w:spacing w:line="360" w:lineRule="auto"/>
        <w:jc w:val="center"/>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color w:val="auto"/>
          <w:highlight w:val="none"/>
        </w:rPr>
        <w:drawing>
          <wp:inline distT="0" distB="0" distL="114300" distR="114300">
            <wp:extent cx="5552440" cy="4561840"/>
            <wp:effectExtent l="0" t="0" r="10160" b="1016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 name="picture 2680"/>
                    <pic:cNvPicPr>
                      <a:picLocks noChangeAspect="1"/>
                    </pic:cNvPicPr>
                  </pic:nvPicPr>
                  <pic:blipFill>
                    <a:blip r:embed="rId28"/>
                    <a:stretch>
                      <a:fillRect/>
                    </a:stretch>
                  </pic:blipFill>
                  <pic:spPr>
                    <a:xfrm rot="21600000">
                      <a:off x="0" y="0"/>
                      <a:ext cx="5552440" cy="4561840"/>
                    </a:xfrm>
                    <a:prstGeom prst="rect">
                      <a:avLst/>
                    </a:prstGeom>
                  </pic:spPr>
                </pic:pic>
              </a:graphicData>
            </a:graphic>
          </wp:inline>
        </w:drawing>
      </w:r>
    </w:p>
    <w:p w14:paraId="0C4C3D1F">
      <w:pPr>
        <w:pStyle w:val="28"/>
        <w:tabs>
          <w:tab w:val="left" w:pos="840"/>
        </w:tabs>
        <w:spacing w:line="360" w:lineRule="auto"/>
        <w:jc w:val="center"/>
        <w:rPr>
          <w:rFonts w:hint="default" w:ascii="Times New Roman" w:hAnsi="Times New Roman" w:cs="Times New Roman"/>
          <w:bCs/>
          <w:color w:val="auto"/>
          <w:kern w:val="0"/>
          <w:sz w:val="24"/>
          <w:highlight w:val="none"/>
          <w:lang w:val="en-US" w:eastAsia="zh-CN"/>
        </w:rPr>
      </w:pPr>
      <w:r>
        <w:rPr>
          <w:rFonts w:hint="default" w:ascii="Times New Roman" w:hAnsi="Times New Roman" w:eastAsia="黑体" w:cs="Times New Roman"/>
          <w:bCs/>
          <w:color w:val="auto"/>
          <w:kern w:val="0"/>
          <w:szCs w:val="21"/>
          <w:highlight w:val="none"/>
          <w:lang w:val="en-US" w:eastAsia="zh-CN"/>
        </w:rPr>
        <w:t>图2.1-5  岗巴检票口土地利用规划图</w:t>
      </w:r>
    </w:p>
    <w:p w14:paraId="0A97241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（3）低碳研学营节点</w:t>
      </w:r>
    </w:p>
    <w:p w14:paraId="79EFA9B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规划用地面积1.17公顷，其中商业服务业用地0.81公顷，交通运输用地0.29公顷，公用设施用地0.07公顷。</w:t>
      </w:r>
    </w:p>
    <w:p w14:paraId="398B7258">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表2.1-7  土地利用规划统计表</w:t>
      </w:r>
    </w:p>
    <w:tbl>
      <w:tblPr>
        <w:tblStyle w:val="58"/>
        <w:tblW w:w="50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2"/>
        <w:gridCol w:w="2601"/>
        <w:gridCol w:w="754"/>
        <w:gridCol w:w="1493"/>
        <w:gridCol w:w="1122"/>
        <w:gridCol w:w="1497"/>
        <w:gridCol w:w="754"/>
      </w:tblGrid>
      <w:tr w14:paraId="5FDCA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1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ABA48">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一级类</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59F5C">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二级类</w:t>
            </w:r>
          </w:p>
        </w:tc>
        <w:tc>
          <w:tcPr>
            <w:tcW w:w="14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B50E4C">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三级类</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91577">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面积</w:t>
            </w:r>
          </w:p>
        </w:tc>
      </w:tr>
      <w:tr w14:paraId="169E6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FA68D">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代码</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0C2C5">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名称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78176">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代码</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DC526">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名称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7CE90">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代码</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C5DA8">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名称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E949B">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公顷</w:t>
            </w:r>
          </w:p>
        </w:tc>
      </w:tr>
      <w:tr w14:paraId="5C403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9172">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09</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75BD">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商业服务业用地</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0686">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0901</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397D">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商业用地</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E852">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590F">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D671">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w:t>
            </w:r>
            <w:r>
              <w:rPr>
                <w:rFonts w:hint="default" w:ascii="Times New Roman" w:hAnsi="Times New Roman" w:cs="Times New Roman"/>
                <w:bCs/>
                <w:color w:val="auto"/>
                <w:kern w:val="0"/>
                <w:szCs w:val="21"/>
                <w:highlight w:val="none"/>
                <w:lang w:val="en-US" w:eastAsia="zh-CN"/>
              </w:rPr>
              <w:t>81</w:t>
            </w:r>
          </w:p>
        </w:tc>
      </w:tr>
      <w:tr w14:paraId="5104F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0CEA1">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12</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E4FFE">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交通运输用地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B75C0">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1208</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2038E">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交通场站</w:t>
            </w:r>
            <w:r>
              <w:rPr>
                <w:rFonts w:hint="default" w:ascii="Times New Roman" w:hAnsi="Times New Roman" w:eastAsia="宋体" w:cs="Times New Roman"/>
                <w:bCs/>
                <w:color w:val="auto"/>
                <w:kern w:val="0"/>
                <w:szCs w:val="21"/>
                <w:highlight w:val="none"/>
                <w:lang w:val="en-US" w:eastAsia="zh-CN"/>
              </w:rPr>
              <w:t>用地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CD4CA">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120803</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9336D">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社会停车场用地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D59BB">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w:t>
            </w:r>
            <w:r>
              <w:rPr>
                <w:rFonts w:hint="default" w:ascii="Times New Roman" w:hAnsi="Times New Roman" w:cs="Times New Roman"/>
                <w:bCs/>
                <w:color w:val="auto"/>
                <w:kern w:val="0"/>
                <w:szCs w:val="21"/>
                <w:highlight w:val="none"/>
                <w:lang w:val="en-US" w:eastAsia="zh-CN"/>
              </w:rPr>
              <w:t>29</w:t>
            </w:r>
          </w:p>
        </w:tc>
      </w:tr>
      <w:tr w14:paraId="300EB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E035">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r>
              <w:rPr>
                <w:rFonts w:hint="default" w:ascii="Times New Roman" w:hAnsi="Times New Roman" w:cs="Times New Roman"/>
                <w:bCs/>
                <w:color w:val="auto"/>
                <w:kern w:val="0"/>
                <w:szCs w:val="21"/>
                <w:highlight w:val="none"/>
                <w:lang w:val="en-US" w:eastAsia="zh-CN"/>
              </w:rPr>
              <w:t>3</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24A3A">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公用设施用地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14660">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r>
              <w:rPr>
                <w:rFonts w:hint="default" w:ascii="Times New Roman" w:hAnsi="Times New Roman" w:cs="Times New Roman"/>
                <w:bCs/>
                <w:color w:val="auto"/>
                <w:kern w:val="0"/>
                <w:szCs w:val="21"/>
                <w:highlight w:val="none"/>
                <w:lang w:val="en-US" w:eastAsia="zh-CN"/>
              </w:rPr>
              <w:t>309</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9CC68">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环卫用地</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9A173">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2B7AB">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ED7BC">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w:t>
            </w:r>
            <w:r>
              <w:rPr>
                <w:rFonts w:hint="default" w:ascii="Times New Roman" w:hAnsi="Times New Roman" w:cs="Times New Roman"/>
                <w:bCs/>
                <w:color w:val="auto"/>
                <w:kern w:val="0"/>
                <w:szCs w:val="21"/>
                <w:highlight w:val="none"/>
                <w:lang w:val="en-US" w:eastAsia="zh-CN"/>
              </w:rPr>
              <w:t>07</w:t>
            </w:r>
          </w:p>
        </w:tc>
      </w:tr>
      <w:tr w14:paraId="69AB3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457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90CB7F">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合计</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0D823">
            <w:pPr>
              <w:pStyle w:val="28"/>
              <w:keepNext w:val="0"/>
              <w:keepLines w:val="0"/>
              <w:pageBreakBefore w:val="0"/>
              <w:widowControl w:val="0"/>
              <w:tabs>
                <w:tab w:val="left" w:pos="8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1.17</w:t>
            </w:r>
          </w:p>
        </w:tc>
      </w:tr>
    </w:tbl>
    <w:p w14:paraId="1847AB38">
      <w:pPr>
        <w:pStyle w:val="28"/>
        <w:tabs>
          <w:tab w:val="left" w:pos="840"/>
        </w:tabs>
        <w:spacing w:line="360" w:lineRule="auto"/>
        <w:jc w:val="center"/>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color w:val="auto"/>
          <w:highlight w:val="none"/>
        </w:rPr>
        <w:drawing>
          <wp:inline distT="0" distB="0" distL="114300" distR="114300">
            <wp:extent cx="5682615" cy="4056380"/>
            <wp:effectExtent l="0" t="0" r="1905" b="1270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29"/>
                    <a:stretch>
                      <a:fillRect/>
                    </a:stretch>
                  </pic:blipFill>
                  <pic:spPr>
                    <a:xfrm>
                      <a:off x="0" y="0"/>
                      <a:ext cx="5682615" cy="4056380"/>
                    </a:xfrm>
                    <a:prstGeom prst="rect">
                      <a:avLst/>
                    </a:prstGeom>
                    <a:noFill/>
                    <a:ln>
                      <a:noFill/>
                    </a:ln>
                  </pic:spPr>
                </pic:pic>
              </a:graphicData>
            </a:graphic>
          </wp:inline>
        </w:drawing>
      </w:r>
    </w:p>
    <w:p w14:paraId="12E35CE3">
      <w:pPr>
        <w:pStyle w:val="28"/>
        <w:tabs>
          <w:tab w:val="left" w:pos="840"/>
        </w:tabs>
        <w:spacing w:line="360" w:lineRule="auto"/>
        <w:jc w:val="center"/>
        <w:rPr>
          <w:rFonts w:hint="default" w:ascii="Times New Roman" w:hAnsi="Times New Roman" w:cs="Times New Roman"/>
          <w:bCs/>
          <w:color w:val="auto"/>
          <w:kern w:val="0"/>
          <w:sz w:val="24"/>
          <w:highlight w:val="none"/>
          <w:lang w:val="en-US" w:eastAsia="zh-CN"/>
        </w:rPr>
      </w:pPr>
      <w:r>
        <w:rPr>
          <w:rFonts w:hint="default" w:ascii="Times New Roman" w:hAnsi="Times New Roman" w:eastAsia="黑体" w:cs="Times New Roman"/>
          <w:bCs/>
          <w:color w:val="auto"/>
          <w:kern w:val="0"/>
          <w:szCs w:val="21"/>
          <w:highlight w:val="none"/>
          <w:lang w:val="en-US" w:eastAsia="zh-CN"/>
        </w:rPr>
        <w:t>图2.1-6  低碳研学营节点土地利用规划图</w:t>
      </w:r>
    </w:p>
    <w:p w14:paraId="2461A6B4">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规划控制指标体系</w:t>
      </w:r>
    </w:p>
    <w:p w14:paraId="5359AC86">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管理单元划分及地块编码</w:t>
      </w:r>
    </w:p>
    <w:p w14:paraId="4CA43D38">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1、管理单元划分</w:t>
      </w:r>
    </w:p>
    <w:p w14:paraId="7D5A720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管理单元划分原则</w:t>
      </w:r>
    </w:p>
    <w:p w14:paraId="4176536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为便于景区开发建设和管理，按照空间顺序划分管理单元；按照用地主导功能类似的原则划定管理单元；以道路、山体、河流等明显的地物为界划定管理单元；尽量保证建设项目的完整。</w:t>
      </w:r>
    </w:p>
    <w:p w14:paraId="7DA0262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管理单元划分</w:t>
      </w:r>
    </w:p>
    <w:p w14:paraId="5289928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管理单元划分结合道路、水体和开发建设集中度，将景区重点划分为2个管理单元，即A管理单元和B管理单元。各管理单元编号名称以字母大写为一级编号，景区的管理单元按顺序依次编号，A对应岗云杉林景区A管理单元，B对应岗云杉林景区B管理单元。</w:t>
      </w:r>
    </w:p>
    <w:p w14:paraId="7FCB817C">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2、地块编码</w:t>
      </w:r>
    </w:p>
    <w:p w14:paraId="7AEF1B6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根据管理单元内部功能结构，以英文小写字母为二级编码确定管理单元内部的功能组团划分，根据规划用地性质的差异性、用地权属、规划道路和自然地物形成的界限以阿拉伯数字为三级编码确定组团内部的具体地块划分，如“A-a-01”代表岗云杉林景区A管理单元a组团01号地块。</w:t>
      </w:r>
    </w:p>
    <w:p w14:paraId="61BA2DD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地块控制指标体系</w:t>
      </w:r>
    </w:p>
    <w:p w14:paraId="4E1EC17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地块控制指标的确定，既要注重与景区实际情况和特征相结合，又要符合景区整体建设的需要，便于管理部门有效统一管理。</w:t>
      </w:r>
    </w:p>
    <w:p w14:paraId="06DC07E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本次规划地块控制指标分为规定性指标和指导性指标两类，前者是进行修建性详细规划或规划管理时必须遵循执行的指标，后者是供设计者和管理者参照执行的指标。</w:t>
      </w:r>
    </w:p>
    <w:p w14:paraId="32FBE20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本次规划的地块控制指标体系包括土地使用、设施配套、景观环境三方面，主要采用规定性指标进行控制，指导性指标进行引导。本次规划中的规定性指标包括用地性质、用地面积、容积率、建筑密度、建筑限高、绿地率、后退红线、出入口方位、配建车位等，未列出的控制要求依照相关技术管理规定执行。</w:t>
      </w:r>
    </w:p>
    <w:p w14:paraId="59A034F7">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表2.1-8 建设用地控制指标表</w:t>
      </w:r>
    </w:p>
    <w:tbl>
      <w:tblPr>
        <w:tblStyle w:val="58"/>
        <w:tblW w:w="500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23"/>
        <w:gridCol w:w="609"/>
        <w:gridCol w:w="1821"/>
        <w:gridCol w:w="4300"/>
        <w:gridCol w:w="1822"/>
      </w:tblGrid>
      <w:tr w14:paraId="3CC61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58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84AF52">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指标体系分类</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1A4D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控制指标名称</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5322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建设用地指标使用</w:t>
            </w:r>
          </w:p>
        </w:tc>
      </w:tr>
      <w:tr w14:paraId="74B7B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AB202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2401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土地使用</w:t>
            </w:r>
          </w:p>
        </w:tc>
        <w:tc>
          <w:tcPr>
            <w:tcW w:w="10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09A23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基本内容控制</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AD5D5">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用地面积</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96E87">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EEC4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BAA0D">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51C1F">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EBADB">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888E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用地性质</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B5BC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46A7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E735E">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1FA66">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E6466">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F27D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后退红线</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FCC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E12A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91253">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9245E">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0B5E7">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30FB7">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出入口方位</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1312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A85D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1DBEA">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5A0DA">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235EB">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AF16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配建车位</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A2C52">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6439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B2D64">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A1547">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33CF6">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522F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用地使用兼容</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D97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F280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DE5AE">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99C66">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D260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建设强度控制</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F838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建筑密度</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9F622">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57B7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AB748">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5106E">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4C338">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DB0EF">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容积率</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60D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D009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2CDF1">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0595B">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9D07A">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D03F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建筑总量</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223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E552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4EDE5">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AE7DC">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674DD">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84F1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绿地率</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0EEC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AE3B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7AA49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3AF6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设施配套</w:t>
            </w:r>
          </w:p>
        </w:tc>
        <w:tc>
          <w:tcPr>
            <w:tcW w:w="10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B828F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管理服务设施控制</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1F6FF">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管理办公设施</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50CD5">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D7C2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DF66B">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D4177">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1847D">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AD052">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安全设施</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6BE45">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C07C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FDBC7">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1C272">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1C17C">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1C6F7">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医药卫生设施</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AB88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342A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EF2CE">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EE470">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13616">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基础工程设施控制</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0166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基础工程设施</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5B539">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95DA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78162">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3D159">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FCF5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保护设施控制</w:t>
            </w:r>
          </w:p>
        </w:tc>
        <w:tc>
          <w:tcPr>
            <w:tcW w:w="2395" w:type="pct"/>
            <w:tcBorders>
              <w:top w:val="single" w:color="000000" w:sz="4" w:space="0"/>
              <w:left w:val="single" w:color="000000" w:sz="4" w:space="0"/>
              <w:bottom w:val="single" w:color="000000" w:sz="4" w:space="0"/>
              <w:right w:val="single" w:color="000000" w:sz="4" w:space="0"/>
            </w:tcBorders>
            <w:shd w:val="clear" w:color="auto" w:fill="auto"/>
            <w:tcMar>
              <w:top w:w="1" w:type="dxa"/>
            </w:tcMar>
            <w:vAlign w:val="center"/>
          </w:tcPr>
          <w:p w14:paraId="136A1FB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保护设施（监测站、瞭望塔、防火设施等）</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D5F6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0FA8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B4192">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35457">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229C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交通设施控制</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B42E5">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交通设施（换乘枢纽、停靠站）</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60235">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AAA8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5AE0CF">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32BCE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景观环境</w:t>
            </w:r>
          </w:p>
        </w:tc>
        <w:tc>
          <w:tcPr>
            <w:tcW w:w="10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E8828">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建筑景观控制</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6310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建筑限高</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51CB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A262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B6AA6">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B04F8">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FFA84">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6317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建筑体量</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4983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48A8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634E4">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D59DE">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0595A">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6A5B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建筑形式</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1763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30CF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FF4E1">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D950A">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3F277">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E2917">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建筑色彩</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64D4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72E6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ADA56">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4CA85">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BDBFB">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71D0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建筑材料</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DAA4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3A9B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73BCE">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7919B">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9885E">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249E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建筑屋顶</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2873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EE4A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E7DE1">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0F405">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8093F">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自然景观控制</w:t>
            </w: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16DA9">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植被覆盖率</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3825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F7C8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8A598">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F70C1">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0B928">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7BA18">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古树名木保护</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24F1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866B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82F95">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E383C">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0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09716">
            <w:pPr>
              <w:keepNext w:val="0"/>
              <w:keepLines w:val="0"/>
              <w:pageBreakBefore w:val="0"/>
              <w:widowControl/>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2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CAE22">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驳岸景观</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E9529">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1DE69EA3">
      <w:pPr>
        <w:pStyle w:val="28"/>
        <w:tabs>
          <w:tab w:val="left" w:pos="840"/>
        </w:tabs>
        <w:spacing w:line="360" w:lineRule="auto"/>
        <w:ind w:firstLine="482" w:firstLineChars="200"/>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1、规定性指标</w:t>
      </w:r>
    </w:p>
    <w:p w14:paraId="61A80F4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（1）容积率</w:t>
      </w:r>
    </w:p>
    <w:p w14:paraId="02238F2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农村社区服务设施用地：地块容积率宜为0.6-1.0。</w:t>
      </w:r>
    </w:p>
    <w:p w14:paraId="1B77496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文化用地：地块容积率宜为0.6-1.0。</w:t>
      </w:r>
    </w:p>
    <w:p w14:paraId="74DE5ED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商业用地：新建游客中心和旅馆用地等商业用地，容积率不超过2.0。</w:t>
      </w:r>
    </w:p>
    <w:p w14:paraId="6C1875B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其他建设用地：依据“多规合一”实用性村庄规划进行控制。</w:t>
      </w:r>
    </w:p>
    <w:p w14:paraId="66592E6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（2）建筑密度</w:t>
      </w:r>
    </w:p>
    <w:p w14:paraId="6F5461B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农村宅基地：主体建筑密度不超过宅基地面积的60%。</w:t>
      </w:r>
    </w:p>
    <w:p w14:paraId="7F2CF3B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农村社区服务设施用地：建筑密度不超过40%。</w:t>
      </w:r>
    </w:p>
    <w:p w14:paraId="4AE5F58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文化用地：建筑密度不超过40%。</w:t>
      </w:r>
    </w:p>
    <w:p w14:paraId="45C5D15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商业用地：建筑密度不超过60%。</w:t>
      </w:r>
    </w:p>
    <w:p w14:paraId="316CF46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其他建设用地：依据“多规合一”实用性村庄规划进行控制。</w:t>
      </w:r>
    </w:p>
    <w:p w14:paraId="1707B4F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（3）建筑限高</w:t>
      </w:r>
    </w:p>
    <w:p w14:paraId="48DA662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农村宅基地：建筑层数原则为1-3层，建筑高度不超过12米。</w:t>
      </w:r>
    </w:p>
    <w:p w14:paraId="396650C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农村社区服务设施用地：建筑层数不超过3层，建筑高度不超过15米。</w:t>
      </w:r>
    </w:p>
    <w:p w14:paraId="5738C6E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文化用地：建筑层数不超过3层，建筑高度不超过15米。</w:t>
      </w:r>
    </w:p>
    <w:p w14:paraId="7A0B3E9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商业用地：建筑高度不超过18米。</w:t>
      </w:r>
    </w:p>
    <w:p w14:paraId="7C7016E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其他建设用地：依据“多规合一”实用性村庄规划进行控制。</w:t>
      </w:r>
    </w:p>
    <w:p w14:paraId="6AEC023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（4）绿地率</w:t>
      </w:r>
    </w:p>
    <w:p w14:paraId="39D76D1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商业用地：新建游客中心及旅馆用地等商业用地绿地率不低于20%。</w:t>
      </w:r>
    </w:p>
    <w:p w14:paraId="672B16E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其他建设用地：依据“多规合一”实用性村庄规划进行控制。</w:t>
      </w:r>
    </w:p>
    <w:p w14:paraId="659EB93A">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5</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建筑后退红线</w:t>
      </w:r>
    </w:p>
    <w:p w14:paraId="6CE50285">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rPr>
        <w:t>建筑后退规划道路红线的最小距离</w:t>
      </w:r>
      <w:r>
        <w:rPr>
          <w:rFonts w:hint="default" w:ascii="Times New Roman" w:hAnsi="Times New Roman" w:cs="Times New Roman"/>
          <w:bCs/>
          <w:color w:val="auto"/>
          <w:kern w:val="0"/>
          <w:sz w:val="24"/>
          <w:highlight w:val="none"/>
          <w:lang w:val="en-US" w:eastAsia="zh-CN"/>
        </w:rPr>
        <w:t>如下表所示：</w:t>
      </w:r>
    </w:p>
    <w:p w14:paraId="54459C06">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表2.1-9  建筑后退规划道路红线的最小距离</w:t>
      </w:r>
    </w:p>
    <w:tbl>
      <w:tblPr>
        <w:tblStyle w:val="5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5"/>
        <w:gridCol w:w="1917"/>
        <w:gridCol w:w="1215"/>
        <w:gridCol w:w="1215"/>
      </w:tblGrid>
      <w:tr w14:paraId="51B0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0" w:type="pct"/>
            <w:vAlign w:val="center"/>
          </w:tcPr>
          <w:p w14:paraId="4FC50899">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道路等级</w:t>
            </w:r>
          </w:p>
        </w:tc>
        <w:tc>
          <w:tcPr>
            <w:tcW w:w="1045" w:type="pct"/>
            <w:vAlign w:val="center"/>
          </w:tcPr>
          <w:p w14:paraId="134FF3C9">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国道318</w:t>
            </w:r>
          </w:p>
        </w:tc>
        <w:tc>
          <w:tcPr>
            <w:tcW w:w="662" w:type="pct"/>
            <w:vAlign w:val="center"/>
          </w:tcPr>
          <w:p w14:paraId="052990A3">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干路</w:t>
            </w:r>
          </w:p>
        </w:tc>
        <w:tc>
          <w:tcPr>
            <w:tcW w:w="662" w:type="pct"/>
            <w:vAlign w:val="center"/>
          </w:tcPr>
          <w:p w14:paraId="519B26C6">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支路</w:t>
            </w:r>
          </w:p>
        </w:tc>
      </w:tr>
      <w:tr w14:paraId="05DA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0" w:type="pct"/>
            <w:vAlign w:val="center"/>
          </w:tcPr>
          <w:p w14:paraId="4E59A52C">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建筑后退道路红线的距离</w:t>
            </w:r>
          </w:p>
        </w:tc>
        <w:tc>
          <w:tcPr>
            <w:tcW w:w="1045" w:type="pct"/>
            <w:vAlign w:val="center"/>
          </w:tcPr>
          <w:p w14:paraId="18105740">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5m</w:t>
            </w:r>
          </w:p>
        </w:tc>
        <w:tc>
          <w:tcPr>
            <w:tcW w:w="662" w:type="pct"/>
            <w:vAlign w:val="center"/>
          </w:tcPr>
          <w:p w14:paraId="5BB5C626">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3m</w:t>
            </w:r>
          </w:p>
        </w:tc>
        <w:tc>
          <w:tcPr>
            <w:tcW w:w="662" w:type="pct"/>
            <w:vAlign w:val="center"/>
          </w:tcPr>
          <w:p w14:paraId="233D0025">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2m</w:t>
            </w:r>
          </w:p>
        </w:tc>
      </w:tr>
    </w:tbl>
    <w:p w14:paraId="2A53531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6</w:t>
      </w:r>
      <w:r>
        <w:rPr>
          <w:rFonts w:hint="default" w:ascii="Times New Roman" w:hAnsi="Times New Roman" w:cs="Times New Roman"/>
          <w:bCs/>
          <w:color w:val="auto"/>
          <w:kern w:val="0"/>
          <w:sz w:val="24"/>
          <w:highlight w:val="none"/>
          <w:lang w:eastAsia="zh-CN"/>
        </w:rPr>
        <w:t>）出入口位置</w:t>
      </w:r>
    </w:p>
    <w:p w14:paraId="77BF6D5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出入口位置是指地块内机动车道与外围道路相交的出入口方位和位置的控制，其确定主要考虑减少对外围交通干道的干扰，并合理组织引导地块的内部交通。规划出入口位置至道路交叉口距离必须保证：</w:t>
      </w:r>
    </w:p>
    <w:p w14:paraId="313E6FD0">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道路交叉口≥15米。</w:t>
      </w:r>
    </w:p>
    <w:p w14:paraId="20A5219E">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7</w:t>
      </w:r>
      <w:r>
        <w:rPr>
          <w:rFonts w:hint="default" w:ascii="Times New Roman" w:hAnsi="Times New Roman" w:cs="Times New Roman"/>
          <w:bCs/>
          <w:color w:val="auto"/>
          <w:kern w:val="0"/>
          <w:sz w:val="24"/>
          <w:highlight w:val="none"/>
          <w:lang w:eastAsia="zh-CN"/>
        </w:rPr>
        <w:t>）配建车位</w:t>
      </w:r>
    </w:p>
    <w:p w14:paraId="02E307CB">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rPr>
        <w:t>地块内机动车与非机动车配套建设表</w:t>
      </w:r>
      <w:r>
        <w:rPr>
          <w:rFonts w:hint="default" w:ascii="Times New Roman" w:hAnsi="Times New Roman" w:cs="Times New Roman"/>
          <w:bCs/>
          <w:color w:val="auto"/>
          <w:kern w:val="0"/>
          <w:sz w:val="24"/>
          <w:highlight w:val="none"/>
          <w:lang w:val="en-US" w:eastAsia="zh-CN"/>
        </w:rPr>
        <w:t>见下表。</w:t>
      </w:r>
    </w:p>
    <w:p w14:paraId="2235217D">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表2.1-10  地块内机动车与非机动车配套建设表</w:t>
      </w:r>
    </w:p>
    <w:tbl>
      <w:tblPr>
        <w:tblStyle w:val="5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4047"/>
        <w:gridCol w:w="3775"/>
      </w:tblGrid>
      <w:tr w14:paraId="29CB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Align w:val="center"/>
          </w:tcPr>
          <w:p w14:paraId="2AE848BB">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cs="Times New Roman"/>
                <w:b w:val="0"/>
                <w:bCs/>
                <w:color w:val="auto"/>
                <w:kern w:val="0"/>
                <w:szCs w:val="21"/>
                <w:highlight w:val="none"/>
                <w:vertAlign w:val="baseline"/>
                <w:lang w:val="en-US" w:eastAsia="zh-CN"/>
              </w:rPr>
              <w:t>类别</w:t>
            </w:r>
          </w:p>
        </w:tc>
        <w:tc>
          <w:tcPr>
            <w:tcW w:w="2206" w:type="pct"/>
            <w:vAlign w:val="center"/>
          </w:tcPr>
          <w:p w14:paraId="7E0F6F56">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机动车（车位/100</w:t>
            </w:r>
            <w:r>
              <w:rPr>
                <w:rFonts w:hint="default" w:ascii="Times New Roman" w:hAnsi="Times New Roman" w:cs="Times New Roman"/>
                <w:b w:val="0"/>
                <w:bCs/>
                <w:color w:val="auto"/>
                <w:kern w:val="0"/>
                <w:szCs w:val="21"/>
                <w:highlight w:val="none"/>
                <w:vertAlign w:val="baseline"/>
                <w:lang w:val="en-US" w:eastAsia="zh-CN"/>
              </w:rPr>
              <w:t>m</w:t>
            </w:r>
            <w:r>
              <w:rPr>
                <w:rFonts w:hint="default" w:ascii="Times New Roman" w:hAnsi="Times New Roman" w:cs="Times New Roman"/>
                <w:b w:val="0"/>
                <w:bCs/>
                <w:color w:val="auto"/>
                <w:kern w:val="0"/>
                <w:szCs w:val="21"/>
                <w:highlight w:val="none"/>
                <w:vertAlign w:val="superscript"/>
                <w:lang w:val="en-US" w:eastAsia="zh-CN"/>
              </w:rPr>
              <w:t>2</w:t>
            </w:r>
            <w:r>
              <w:rPr>
                <w:rFonts w:hint="default" w:ascii="Times New Roman" w:hAnsi="Times New Roman" w:eastAsia="宋体" w:cs="Times New Roman"/>
                <w:b w:val="0"/>
                <w:bCs/>
                <w:color w:val="auto"/>
                <w:kern w:val="0"/>
                <w:szCs w:val="21"/>
                <w:highlight w:val="none"/>
                <w:vertAlign w:val="baseline"/>
                <w:lang w:val="en-US" w:eastAsia="zh-CN"/>
              </w:rPr>
              <w:t>建筑面积）</w:t>
            </w:r>
          </w:p>
        </w:tc>
        <w:tc>
          <w:tcPr>
            <w:tcW w:w="2057" w:type="pct"/>
            <w:vAlign w:val="center"/>
          </w:tcPr>
          <w:p w14:paraId="06637543">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自行车（辆/100</w:t>
            </w:r>
            <w:r>
              <w:rPr>
                <w:rFonts w:hint="default" w:ascii="Times New Roman" w:hAnsi="Times New Roman" w:cs="Times New Roman"/>
                <w:b w:val="0"/>
                <w:bCs/>
                <w:color w:val="auto"/>
                <w:kern w:val="0"/>
                <w:szCs w:val="21"/>
                <w:highlight w:val="none"/>
                <w:vertAlign w:val="baseline"/>
                <w:lang w:val="en-US" w:eastAsia="zh-CN"/>
              </w:rPr>
              <w:t>m</w:t>
            </w:r>
            <w:r>
              <w:rPr>
                <w:rFonts w:hint="default" w:ascii="Times New Roman" w:hAnsi="Times New Roman" w:cs="Times New Roman"/>
                <w:b w:val="0"/>
                <w:bCs/>
                <w:color w:val="auto"/>
                <w:kern w:val="0"/>
                <w:szCs w:val="21"/>
                <w:highlight w:val="none"/>
                <w:vertAlign w:val="superscript"/>
                <w:lang w:val="en-US" w:eastAsia="zh-CN"/>
              </w:rPr>
              <w:t>2</w:t>
            </w:r>
            <w:r>
              <w:rPr>
                <w:rFonts w:hint="default" w:ascii="Times New Roman" w:hAnsi="Times New Roman" w:eastAsia="宋体" w:cs="Times New Roman"/>
                <w:b w:val="0"/>
                <w:bCs/>
                <w:color w:val="auto"/>
                <w:kern w:val="0"/>
                <w:szCs w:val="21"/>
                <w:highlight w:val="none"/>
                <w:vertAlign w:val="baseline"/>
                <w:lang w:val="en-US" w:eastAsia="zh-CN"/>
              </w:rPr>
              <w:t>建筑面积）</w:t>
            </w:r>
          </w:p>
        </w:tc>
      </w:tr>
      <w:tr w14:paraId="7AC0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Align w:val="center"/>
          </w:tcPr>
          <w:p w14:paraId="0129D7DD">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普通住宅</w:t>
            </w:r>
          </w:p>
        </w:tc>
        <w:tc>
          <w:tcPr>
            <w:tcW w:w="2206" w:type="pct"/>
            <w:vAlign w:val="center"/>
          </w:tcPr>
          <w:p w14:paraId="72285AE8">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cs="Times New Roman"/>
                <w:b w:val="0"/>
                <w:bCs/>
                <w:color w:val="auto"/>
                <w:kern w:val="0"/>
                <w:szCs w:val="21"/>
                <w:highlight w:val="none"/>
                <w:vertAlign w:val="baseline"/>
                <w:lang w:val="en-US" w:eastAsia="zh-CN"/>
              </w:rPr>
              <w:t>1.2</w:t>
            </w:r>
          </w:p>
        </w:tc>
        <w:tc>
          <w:tcPr>
            <w:tcW w:w="2057" w:type="pct"/>
            <w:vAlign w:val="center"/>
          </w:tcPr>
          <w:p w14:paraId="6FA143B1">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cs="Times New Roman"/>
                <w:b w:val="0"/>
                <w:bCs/>
                <w:color w:val="auto"/>
                <w:kern w:val="0"/>
                <w:szCs w:val="21"/>
                <w:highlight w:val="none"/>
                <w:vertAlign w:val="baseline"/>
                <w:lang w:val="en-US" w:eastAsia="zh-CN"/>
              </w:rPr>
              <w:t>0.6</w:t>
            </w:r>
          </w:p>
        </w:tc>
      </w:tr>
      <w:tr w14:paraId="7033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Align w:val="center"/>
          </w:tcPr>
          <w:p w14:paraId="0AADBBFB">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cs="Times New Roman"/>
                <w:b w:val="0"/>
                <w:bCs/>
                <w:color w:val="auto"/>
                <w:kern w:val="0"/>
                <w:szCs w:val="21"/>
                <w:highlight w:val="none"/>
                <w:vertAlign w:val="baseline"/>
                <w:lang w:val="en-US" w:eastAsia="zh-CN"/>
              </w:rPr>
              <w:t>酒店</w:t>
            </w:r>
          </w:p>
        </w:tc>
        <w:tc>
          <w:tcPr>
            <w:tcW w:w="2206" w:type="pct"/>
            <w:vAlign w:val="center"/>
          </w:tcPr>
          <w:p w14:paraId="6C0B84A4">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cs="Times New Roman"/>
                <w:b w:val="0"/>
                <w:bCs/>
                <w:color w:val="auto"/>
                <w:kern w:val="0"/>
                <w:szCs w:val="21"/>
                <w:highlight w:val="none"/>
                <w:vertAlign w:val="baseline"/>
                <w:lang w:val="en-US" w:eastAsia="zh-CN"/>
              </w:rPr>
              <w:t>1.0</w:t>
            </w:r>
          </w:p>
        </w:tc>
        <w:tc>
          <w:tcPr>
            <w:tcW w:w="2057" w:type="pct"/>
            <w:vAlign w:val="center"/>
          </w:tcPr>
          <w:p w14:paraId="54469D38">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cs="Times New Roman"/>
                <w:b w:val="0"/>
                <w:bCs/>
                <w:color w:val="auto"/>
                <w:kern w:val="0"/>
                <w:szCs w:val="21"/>
                <w:highlight w:val="none"/>
                <w:vertAlign w:val="baseline"/>
                <w:lang w:val="en-US" w:eastAsia="zh-CN"/>
              </w:rPr>
              <w:t>1.0</w:t>
            </w:r>
          </w:p>
        </w:tc>
      </w:tr>
      <w:tr w14:paraId="082D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Align w:val="center"/>
          </w:tcPr>
          <w:p w14:paraId="700228FB">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cs="Times New Roman"/>
                <w:b w:val="0"/>
                <w:bCs/>
                <w:color w:val="auto"/>
                <w:kern w:val="0"/>
                <w:szCs w:val="21"/>
                <w:highlight w:val="none"/>
                <w:vertAlign w:val="baseline"/>
                <w:lang w:val="en-US" w:eastAsia="zh-CN"/>
              </w:rPr>
              <w:t>商业场所</w:t>
            </w:r>
          </w:p>
        </w:tc>
        <w:tc>
          <w:tcPr>
            <w:tcW w:w="2206" w:type="pct"/>
            <w:vAlign w:val="center"/>
          </w:tcPr>
          <w:p w14:paraId="04224CA4">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cs="Times New Roman"/>
                <w:b w:val="0"/>
                <w:bCs/>
                <w:color w:val="auto"/>
                <w:kern w:val="0"/>
                <w:szCs w:val="21"/>
                <w:highlight w:val="none"/>
                <w:vertAlign w:val="baseline"/>
                <w:lang w:val="en-US" w:eastAsia="zh-CN"/>
              </w:rPr>
              <w:t>1.0</w:t>
            </w:r>
          </w:p>
        </w:tc>
        <w:tc>
          <w:tcPr>
            <w:tcW w:w="2057" w:type="pct"/>
            <w:vAlign w:val="center"/>
          </w:tcPr>
          <w:p w14:paraId="2CA7AD37">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cs="Times New Roman"/>
                <w:b w:val="0"/>
                <w:bCs/>
                <w:color w:val="auto"/>
                <w:kern w:val="0"/>
                <w:szCs w:val="21"/>
                <w:highlight w:val="none"/>
                <w:vertAlign w:val="baseline"/>
                <w:lang w:val="en-US" w:eastAsia="zh-CN"/>
              </w:rPr>
              <w:t>1.0</w:t>
            </w:r>
          </w:p>
        </w:tc>
      </w:tr>
      <w:tr w14:paraId="5DED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Align w:val="center"/>
          </w:tcPr>
          <w:p w14:paraId="60335EB4">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cs="Times New Roman"/>
                <w:b w:val="0"/>
                <w:bCs/>
                <w:color w:val="auto"/>
                <w:kern w:val="0"/>
                <w:szCs w:val="21"/>
                <w:highlight w:val="none"/>
                <w:vertAlign w:val="baseline"/>
                <w:lang w:val="en-US" w:eastAsia="zh-CN"/>
              </w:rPr>
              <w:t>备注</w:t>
            </w:r>
          </w:p>
        </w:tc>
        <w:tc>
          <w:tcPr>
            <w:tcW w:w="4264" w:type="pct"/>
            <w:gridSpan w:val="2"/>
            <w:vAlign w:val="center"/>
          </w:tcPr>
          <w:p w14:paraId="761F039C">
            <w:pPr>
              <w:pStyle w:val="28"/>
              <w:tabs>
                <w:tab w:val="left" w:pos="840"/>
              </w:tabs>
              <w:spacing w:line="240" w:lineRule="auto"/>
              <w:jc w:val="center"/>
              <w:rPr>
                <w:rFonts w:hint="default" w:ascii="Times New Roman" w:hAnsi="Times New Roman" w:eastAsia="宋体" w:cs="Times New Roman"/>
                <w:b w:val="0"/>
                <w:bCs/>
                <w:color w:val="auto"/>
                <w:kern w:val="0"/>
                <w:szCs w:val="21"/>
                <w:highlight w:val="none"/>
                <w:vertAlign w:val="baseline"/>
                <w:lang w:val="en-US" w:eastAsia="zh-CN"/>
              </w:rPr>
            </w:pPr>
            <w:r>
              <w:rPr>
                <w:rFonts w:hint="default" w:ascii="Times New Roman" w:hAnsi="Times New Roman" w:eastAsia="宋体" w:cs="Times New Roman"/>
                <w:b w:val="0"/>
                <w:bCs/>
                <w:color w:val="auto"/>
                <w:kern w:val="0"/>
                <w:szCs w:val="21"/>
                <w:highlight w:val="none"/>
                <w:vertAlign w:val="baseline"/>
                <w:lang w:val="en-US" w:eastAsia="zh-CN"/>
              </w:rPr>
              <w:t>注：本表机动车停车车位以小型汽车为标准当量表示。</w:t>
            </w:r>
          </w:p>
        </w:tc>
      </w:tr>
    </w:tbl>
    <w:p w14:paraId="670FFD20">
      <w:pPr>
        <w:pStyle w:val="28"/>
        <w:tabs>
          <w:tab w:val="left" w:pos="840"/>
        </w:tabs>
        <w:spacing w:line="360" w:lineRule="auto"/>
        <w:ind w:firstLine="482" w:firstLineChars="200"/>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2、指导性指标</w:t>
      </w:r>
    </w:p>
    <w:p w14:paraId="24B5A91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景区地块建设的指导性指标主要包括建筑风格、建筑色彩、建筑形式、建筑体量、建筑环境等。</w:t>
      </w:r>
    </w:p>
    <w:p w14:paraId="182CB6DB">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重点地块指标控制及效果图</w:t>
      </w:r>
    </w:p>
    <w:p w14:paraId="1D1C7E0B">
      <w:pPr>
        <w:pStyle w:val="28"/>
        <w:tabs>
          <w:tab w:val="left" w:pos="840"/>
        </w:tabs>
        <w:spacing w:line="360" w:lineRule="auto"/>
        <w:ind w:firstLine="482" w:firstLineChars="200"/>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1、新建游客中心</w:t>
      </w:r>
    </w:p>
    <w:p w14:paraId="0D5617C1">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）地块编码及指标控制</w:t>
      </w:r>
    </w:p>
    <w:p w14:paraId="4B97DE68">
      <w:pPr>
        <w:pStyle w:val="28"/>
        <w:tabs>
          <w:tab w:val="left" w:pos="840"/>
        </w:tabs>
        <w:spacing w:line="360" w:lineRule="auto"/>
        <w:jc w:val="center"/>
        <w:rPr>
          <w:rFonts w:hint="default" w:ascii="Times New Roman" w:hAnsi="Times New Roman" w:cs="Times New Roman"/>
          <w:bCs/>
          <w:color w:val="auto"/>
          <w:kern w:val="0"/>
          <w:sz w:val="24"/>
          <w:highlight w:val="none"/>
        </w:rPr>
      </w:pPr>
      <w:r>
        <w:rPr>
          <w:rFonts w:hint="default" w:ascii="Times New Roman" w:hAnsi="Times New Roman" w:cs="Times New Roman"/>
          <w:color w:val="auto"/>
          <w:highlight w:val="none"/>
        </w:rPr>
        <w:drawing>
          <wp:inline distT="0" distB="0" distL="114300" distR="114300">
            <wp:extent cx="4553585" cy="3659505"/>
            <wp:effectExtent l="0" t="0" r="3175" b="13335"/>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picture 2790"/>
                    <pic:cNvPicPr>
                      <a:picLocks noChangeAspect="1"/>
                    </pic:cNvPicPr>
                  </pic:nvPicPr>
                  <pic:blipFill>
                    <a:blip r:embed="rId30"/>
                    <a:stretch>
                      <a:fillRect/>
                    </a:stretch>
                  </pic:blipFill>
                  <pic:spPr>
                    <a:xfrm rot="43200000">
                      <a:off x="0" y="0"/>
                      <a:ext cx="4553585" cy="3659505"/>
                    </a:xfrm>
                    <a:prstGeom prst="rect">
                      <a:avLst/>
                    </a:prstGeom>
                  </pic:spPr>
                </pic:pic>
              </a:graphicData>
            </a:graphic>
          </wp:inline>
        </w:drawing>
      </w:r>
    </w:p>
    <w:p w14:paraId="4C95E101">
      <w:pPr>
        <w:pStyle w:val="28"/>
        <w:tabs>
          <w:tab w:val="left" w:pos="840"/>
        </w:tabs>
        <w:spacing w:line="360" w:lineRule="auto"/>
        <w:jc w:val="center"/>
        <w:rPr>
          <w:rFonts w:hint="default" w:ascii="Times New Roman" w:hAnsi="Times New Roman" w:cs="Times New Roman"/>
          <w:bCs/>
          <w:color w:val="auto"/>
          <w:kern w:val="0"/>
          <w:sz w:val="24"/>
          <w:highlight w:val="none"/>
        </w:rPr>
      </w:pPr>
      <w:r>
        <w:rPr>
          <w:rFonts w:hint="default" w:ascii="Times New Roman" w:hAnsi="Times New Roman" w:eastAsia="黑体" w:cs="Times New Roman"/>
          <w:bCs/>
          <w:color w:val="auto"/>
          <w:kern w:val="0"/>
          <w:szCs w:val="21"/>
          <w:highlight w:val="none"/>
          <w:lang w:val="en-US" w:eastAsia="zh-CN"/>
        </w:rPr>
        <w:t>图2.1-7  新建游客中心地块编码图</w:t>
      </w:r>
    </w:p>
    <w:p w14:paraId="2F03495E">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表2.1-11  新建游客中心地块建设用地控制指标一览表</w:t>
      </w:r>
    </w:p>
    <w:tbl>
      <w:tblPr>
        <w:tblStyle w:val="5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58"/>
        <w:gridCol w:w="959"/>
        <w:gridCol w:w="1537"/>
        <w:gridCol w:w="1171"/>
        <w:gridCol w:w="730"/>
        <w:gridCol w:w="959"/>
        <w:gridCol w:w="959"/>
        <w:gridCol w:w="730"/>
        <w:gridCol w:w="960"/>
      </w:tblGrid>
      <w:tr w14:paraId="72358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F026">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地块编码</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DB575">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用地代码</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EC2D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用地名称</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0E33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用地面积 （平方米）</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E8D3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容积率</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0166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建筑密度（%）</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B5C7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建筑高度（米）</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B37B2">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绿地率（%）</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4DC8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配套设施</w:t>
            </w:r>
          </w:p>
        </w:tc>
      </w:tr>
      <w:tr w14:paraId="2006B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6246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B-a-01</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0A01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0901</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5F2A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商业用地</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278D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1740.24</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70FD7">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≤2.0</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2878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≤60</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7EF0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 18</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9A692">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≥20</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71F08">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公共厕所</w:t>
            </w:r>
          </w:p>
        </w:tc>
      </w:tr>
      <w:tr w14:paraId="338F0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B322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B-a-02</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7B0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1402</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77A85">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防护绿地</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D1E8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1004.93</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4ABC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8D127">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F69E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F27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≥80</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ABD6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r>
      <w:tr w14:paraId="1770B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1AFD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B-a-03</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BAB9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1402</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C3CD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防护绿地</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1F6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1371.22</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C0A9">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32FF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945D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88356">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≥80</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9BFC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r>
      <w:tr w14:paraId="61107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B4A7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B-a-04</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6202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0901</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6447">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商业用地</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D062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869.58</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57A96">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≤2.0</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B9EE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≤60</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6ED89">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 18</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1A6B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≥20</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6168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r>
      <w:tr w14:paraId="1505C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DB91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B-a-05</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9256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120803</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59919">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社会停车场用地</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513E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6173.89</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BF992">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F3DD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20788">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B6A45">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072B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r>
    </w:tbl>
    <w:p w14:paraId="307C5CFE">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平面布局</w:t>
      </w:r>
    </w:p>
    <w:p w14:paraId="474E3945">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设置广场、游客服务中心、商店、观光车停车区、小汽车停车区、现状旅游公路等</w:t>
      </w:r>
      <w:r>
        <w:rPr>
          <w:rFonts w:hint="eastAsia" w:ascii="Times New Roman" w:hAnsi="Times New Roman" w:cs="Times New Roman"/>
          <w:bCs/>
          <w:color w:val="auto"/>
          <w:kern w:val="0"/>
          <w:sz w:val="24"/>
          <w:highlight w:val="none"/>
          <w:lang w:val="en-US" w:eastAsia="zh-CN"/>
        </w:rPr>
        <w:t>，详见附图</w:t>
      </w:r>
      <w:r>
        <w:rPr>
          <w:rFonts w:hint="default" w:ascii="Times New Roman" w:hAnsi="Times New Roman" w:cs="Times New Roman"/>
          <w:bCs/>
          <w:color w:val="auto"/>
          <w:kern w:val="0"/>
          <w:sz w:val="24"/>
          <w:highlight w:val="none"/>
          <w:lang w:val="en-US" w:eastAsia="zh-CN"/>
        </w:rPr>
        <w:t>。</w:t>
      </w:r>
    </w:p>
    <w:p w14:paraId="6CD4ADD3">
      <w:pPr>
        <w:pStyle w:val="28"/>
        <w:tabs>
          <w:tab w:val="left" w:pos="840"/>
        </w:tabs>
        <w:spacing w:line="360" w:lineRule="auto"/>
        <w:ind w:firstLine="482" w:firstLineChars="200"/>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2、岗巴检票口</w:t>
      </w:r>
    </w:p>
    <w:p w14:paraId="7498EF36">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）地块编码及指标控制</w:t>
      </w:r>
    </w:p>
    <w:p w14:paraId="5D6C5218">
      <w:pPr>
        <w:pStyle w:val="28"/>
        <w:tabs>
          <w:tab w:val="left" w:pos="840"/>
        </w:tabs>
        <w:spacing w:line="360" w:lineRule="auto"/>
        <w:jc w:val="center"/>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drawing>
          <wp:inline distT="0" distB="0" distL="114300" distR="114300">
            <wp:extent cx="4133215" cy="3474085"/>
            <wp:effectExtent l="0" t="0" r="12065" b="635"/>
            <wp:docPr id="2" name="图片 2" descr="3f5d64de-9119-424d-ad93-81a839443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f5d64de-9119-424d-ad93-81a839443be0"/>
                    <pic:cNvPicPr>
                      <a:picLocks noChangeAspect="1"/>
                    </pic:cNvPicPr>
                  </pic:nvPicPr>
                  <pic:blipFill>
                    <a:blip r:embed="rId31"/>
                    <a:stretch>
                      <a:fillRect/>
                    </a:stretch>
                  </pic:blipFill>
                  <pic:spPr>
                    <a:xfrm>
                      <a:off x="0" y="0"/>
                      <a:ext cx="4133215" cy="3474085"/>
                    </a:xfrm>
                    <a:prstGeom prst="rect">
                      <a:avLst/>
                    </a:prstGeom>
                  </pic:spPr>
                </pic:pic>
              </a:graphicData>
            </a:graphic>
          </wp:inline>
        </w:drawing>
      </w:r>
    </w:p>
    <w:p w14:paraId="3C13508E">
      <w:pPr>
        <w:pStyle w:val="28"/>
        <w:tabs>
          <w:tab w:val="left" w:pos="840"/>
        </w:tabs>
        <w:spacing w:line="360" w:lineRule="auto"/>
        <w:jc w:val="center"/>
        <w:rPr>
          <w:rFonts w:hint="default" w:ascii="Times New Roman" w:hAnsi="Times New Roman" w:cs="Times New Roman"/>
          <w:bCs/>
          <w:color w:val="auto"/>
          <w:kern w:val="0"/>
          <w:sz w:val="24"/>
          <w:highlight w:val="none"/>
        </w:rPr>
      </w:pPr>
      <w:r>
        <w:rPr>
          <w:rFonts w:hint="default" w:ascii="Times New Roman" w:hAnsi="Times New Roman" w:eastAsia="黑体" w:cs="Times New Roman"/>
          <w:bCs/>
          <w:color w:val="auto"/>
          <w:kern w:val="0"/>
          <w:szCs w:val="21"/>
          <w:highlight w:val="none"/>
          <w:lang w:val="en-US" w:eastAsia="zh-CN"/>
        </w:rPr>
        <w:t>图2.1-8 岗巴检票口地块编码图</w:t>
      </w:r>
    </w:p>
    <w:p w14:paraId="431B50AA">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表2.1-12  岗巴检票口建设用地控制指标一览表</w:t>
      </w:r>
    </w:p>
    <w:tbl>
      <w:tblPr>
        <w:tblStyle w:val="58"/>
        <w:tblW w:w="500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59"/>
        <w:gridCol w:w="959"/>
        <w:gridCol w:w="1539"/>
        <w:gridCol w:w="1173"/>
        <w:gridCol w:w="731"/>
        <w:gridCol w:w="959"/>
        <w:gridCol w:w="959"/>
        <w:gridCol w:w="731"/>
        <w:gridCol w:w="962"/>
      </w:tblGrid>
      <w:tr w14:paraId="61058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2613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地块编码</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01CBF">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用地代码</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8D24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用地名称</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F683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用地面积 （平方米）</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E0F19">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容积率</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2498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建筑密度（%）</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639D7">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建筑高度（米）</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4C9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绿地率（%）</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72B09">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配套设施</w:t>
            </w:r>
          </w:p>
        </w:tc>
      </w:tr>
      <w:tr w14:paraId="40C88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5B66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B-b-01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F785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0901</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8484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商业用地</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5A386">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651.58</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42237">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 1.0</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5EE0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≤40</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1DFC7">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≤9</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23BC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 30</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E7DB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r>
      <w:tr w14:paraId="7D19E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28A48">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B-b-02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3F36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1309</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1D442">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环卫用地</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C123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301.21</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E9C12">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3470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762D8">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0B1E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≥80</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C26B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保留现状厕所</w:t>
            </w:r>
          </w:p>
        </w:tc>
      </w:tr>
      <w:tr w14:paraId="47AEC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90C65">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B-b-03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6AB4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0301</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BE4A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乔木林地</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6C62F">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1657.82</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43EF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24F2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087C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C351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C0E4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生态停车位</w:t>
            </w:r>
          </w:p>
        </w:tc>
      </w:tr>
    </w:tbl>
    <w:p w14:paraId="435C4EAE">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平面布局</w:t>
      </w:r>
    </w:p>
    <w:p w14:paraId="55055F18">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现状公路、卫生间、商店、检票口、观光车停车区、小车停车区、徒步道路等</w:t>
      </w:r>
      <w:r>
        <w:rPr>
          <w:rFonts w:hint="eastAsia" w:ascii="Times New Roman" w:hAnsi="Times New Roman" w:cs="Times New Roman"/>
          <w:bCs/>
          <w:color w:val="auto"/>
          <w:kern w:val="0"/>
          <w:sz w:val="24"/>
          <w:highlight w:val="none"/>
          <w:lang w:val="en-US" w:eastAsia="zh-CN"/>
        </w:rPr>
        <w:t>，详见附图</w:t>
      </w:r>
      <w:r>
        <w:rPr>
          <w:rFonts w:hint="default" w:ascii="Times New Roman" w:hAnsi="Times New Roman" w:cs="Times New Roman"/>
          <w:bCs/>
          <w:color w:val="auto"/>
          <w:kern w:val="0"/>
          <w:sz w:val="24"/>
          <w:highlight w:val="none"/>
          <w:lang w:val="en-US" w:eastAsia="zh-CN"/>
        </w:rPr>
        <w:t>。</w:t>
      </w:r>
    </w:p>
    <w:p w14:paraId="2F18BA85">
      <w:pPr>
        <w:pStyle w:val="28"/>
        <w:tabs>
          <w:tab w:val="left" w:pos="840"/>
        </w:tabs>
        <w:spacing w:line="360" w:lineRule="auto"/>
        <w:ind w:firstLine="482" w:firstLineChars="200"/>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3、低碳研学营地</w:t>
      </w:r>
    </w:p>
    <w:p w14:paraId="32693618">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）地块编码及指标控制</w:t>
      </w:r>
    </w:p>
    <w:p w14:paraId="7887D047">
      <w:pPr>
        <w:pStyle w:val="28"/>
        <w:tabs>
          <w:tab w:val="left" w:pos="840"/>
        </w:tabs>
        <w:spacing w:line="360" w:lineRule="auto"/>
        <w:jc w:val="center"/>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drawing>
          <wp:inline distT="0" distB="0" distL="114300" distR="114300">
            <wp:extent cx="4303395" cy="3541395"/>
            <wp:effectExtent l="0" t="0" r="9525" b="9525"/>
            <wp:docPr id="1" name="图片 1" descr="04643e44-01ab-4c47-bc1b-fc6edf00f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4643e44-01ab-4c47-bc1b-fc6edf00f6cd"/>
                    <pic:cNvPicPr>
                      <a:picLocks noChangeAspect="1"/>
                    </pic:cNvPicPr>
                  </pic:nvPicPr>
                  <pic:blipFill>
                    <a:blip r:embed="rId32"/>
                    <a:stretch>
                      <a:fillRect/>
                    </a:stretch>
                  </pic:blipFill>
                  <pic:spPr>
                    <a:xfrm>
                      <a:off x="0" y="0"/>
                      <a:ext cx="4303395" cy="3541395"/>
                    </a:xfrm>
                    <a:prstGeom prst="rect">
                      <a:avLst/>
                    </a:prstGeom>
                  </pic:spPr>
                </pic:pic>
              </a:graphicData>
            </a:graphic>
          </wp:inline>
        </w:drawing>
      </w:r>
    </w:p>
    <w:p w14:paraId="2C132C83">
      <w:pPr>
        <w:pStyle w:val="28"/>
        <w:tabs>
          <w:tab w:val="left" w:pos="840"/>
        </w:tabs>
        <w:spacing w:line="360" w:lineRule="auto"/>
        <w:jc w:val="center"/>
        <w:rPr>
          <w:rFonts w:hint="default" w:ascii="Times New Roman" w:hAnsi="Times New Roman" w:cs="Times New Roman"/>
          <w:bCs/>
          <w:color w:val="auto"/>
          <w:kern w:val="0"/>
          <w:sz w:val="24"/>
          <w:highlight w:val="none"/>
        </w:rPr>
      </w:pPr>
      <w:r>
        <w:rPr>
          <w:rFonts w:hint="default" w:ascii="Times New Roman" w:hAnsi="Times New Roman" w:eastAsia="黑体" w:cs="Times New Roman"/>
          <w:bCs/>
          <w:color w:val="auto"/>
          <w:kern w:val="0"/>
          <w:szCs w:val="21"/>
          <w:highlight w:val="none"/>
          <w:lang w:val="en-US" w:eastAsia="zh-CN"/>
        </w:rPr>
        <w:t>图2.1-9 低碳研学营地地块编码图</w:t>
      </w:r>
    </w:p>
    <w:p w14:paraId="0B976542">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表2.1-13  低碳研学营地建设用地控制指标一览表</w:t>
      </w:r>
    </w:p>
    <w:tbl>
      <w:tblPr>
        <w:tblStyle w:val="5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64"/>
        <w:gridCol w:w="777"/>
        <w:gridCol w:w="1046"/>
        <w:gridCol w:w="1520"/>
        <w:gridCol w:w="513"/>
        <w:gridCol w:w="1155"/>
        <w:gridCol w:w="1191"/>
        <w:gridCol w:w="1017"/>
        <w:gridCol w:w="980"/>
      </w:tblGrid>
      <w:tr w14:paraId="66C24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C16A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地块编码</w:t>
            </w: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E16C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用地代码</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AC6F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用地名称</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E816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用地面积 （平方米）</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55B8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容积率</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6DB3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建筑密度（%）</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1A2A9">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建筑高度（米）</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48F7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绿地率（%）</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DABE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配套设施</w:t>
            </w:r>
          </w:p>
        </w:tc>
      </w:tr>
      <w:tr w14:paraId="530DA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19F7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A-a-01</w:t>
            </w: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C770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0901</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75AA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商业用地</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B7C2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8079.01</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E301B">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≤1.5</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F28C3">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≤40</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0477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≤15</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3023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≥30</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D257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餐饮、住宿</w:t>
            </w:r>
          </w:p>
        </w:tc>
      </w:tr>
      <w:tr w14:paraId="0657B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BEC61">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A-a-02</w:t>
            </w: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6FBF5">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120803</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05300">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社会停车场用地</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1851D">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2943.44</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0014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44D1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C25C">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22B18">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9E35A">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r>
      <w:tr w14:paraId="3B171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1D8B6">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A-a-03</w:t>
            </w: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D7BB8">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1309</w:t>
            </w:r>
          </w:p>
        </w:tc>
        <w:tc>
          <w:tcPr>
            <w:tcW w:w="5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EF706">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环卫用地</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4F22F">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679.46</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BE24F">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D29CF">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067F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3D904">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6B55E">
            <w:pPr>
              <w:pStyle w:val="53"/>
              <w:keepNext w:val="0"/>
              <w:keepLines w:val="0"/>
              <w:pageBreakBefore w:val="0"/>
              <w:widowControl/>
              <w:suppressLineNumbers w:val="0"/>
              <w:kinsoku w:val="0"/>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保留现状厕所</w:t>
            </w:r>
          </w:p>
        </w:tc>
      </w:tr>
    </w:tbl>
    <w:p w14:paraId="63236F4F">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平面布局</w:t>
      </w:r>
    </w:p>
    <w:p w14:paraId="5B3944E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val="en-US" w:eastAsia="zh-CN"/>
        </w:rPr>
        <w:t>现状旅游公路、公共厕所、生态停车场、低碳研学多功能活动室、小广场、达美客栈、生态餐厅、拓展训练室、徒步道等</w:t>
      </w:r>
      <w:r>
        <w:rPr>
          <w:rFonts w:hint="eastAsia" w:ascii="Times New Roman" w:hAnsi="Times New Roman" w:cs="Times New Roman"/>
          <w:bCs/>
          <w:color w:val="auto"/>
          <w:kern w:val="0"/>
          <w:sz w:val="24"/>
          <w:highlight w:val="none"/>
          <w:lang w:val="en-US" w:eastAsia="zh-CN"/>
        </w:rPr>
        <w:t>，详见附图</w:t>
      </w:r>
      <w:r>
        <w:rPr>
          <w:rFonts w:hint="default" w:ascii="Times New Roman" w:hAnsi="Times New Roman" w:cs="Times New Roman"/>
          <w:bCs/>
          <w:color w:val="auto"/>
          <w:kern w:val="0"/>
          <w:sz w:val="24"/>
          <w:highlight w:val="none"/>
          <w:lang w:val="en-US" w:eastAsia="zh-CN"/>
        </w:rPr>
        <w:t>。</w:t>
      </w:r>
    </w:p>
    <w:p w14:paraId="3A0E5D36">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四线</w:t>
      </w:r>
      <w:r>
        <w:rPr>
          <w:rFonts w:hint="default" w:ascii="Times New Roman" w:hAnsi="Times New Roman" w:cs="Times New Roman"/>
          <w:color w:val="auto"/>
          <w:highlight w:val="none"/>
        </w:rPr>
        <w:t>控制</w:t>
      </w:r>
    </w:p>
    <w:p w14:paraId="24AD6CF7">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1、绿线控制</w:t>
      </w:r>
    </w:p>
    <w:p w14:paraId="04A0937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绿线指景区各类绿地范围的规划控制线。景区绿线范围内的各类绿地参照《公园设计规范》等标准，进行绿地建设。规划绿线范围内的公共绿地，必须按照相关标准进行绿地建设、控制、管理。任何个人和单位不得在景区绿线范围内进行建设，因特殊情况确需临时占用绿线内用地的，必须依法办理相关审批手续。帕隆藏布两侧绿化带宽度按不低于10米控制。</w:t>
      </w:r>
    </w:p>
    <w:p w14:paraId="33BE11AF">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2、蓝线控制</w:t>
      </w:r>
    </w:p>
    <w:p w14:paraId="6B98262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蓝线为景区规划确定的河、湖等地表水体保护和控制的地域界线。景区内主要有草湖、帕隆藏布，规划以校核洪水水位线为准，退距不得小于5米。在景区蓝线内禁止进行下列活动：</w:t>
      </w:r>
    </w:p>
    <w:p w14:paraId="3DE2897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（1）违反蓝线保护和控制要求的建设活动；</w:t>
      </w:r>
    </w:p>
    <w:p w14:paraId="4E87911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（2）擅自填埋、占用景区蓝线内水域；</w:t>
      </w:r>
    </w:p>
    <w:p w14:paraId="19F2E76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（3）影响水系安全的爆破、采石、取土；</w:t>
      </w:r>
    </w:p>
    <w:p w14:paraId="1274832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（4）擅自建设各类排污设施；</w:t>
      </w:r>
    </w:p>
    <w:p w14:paraId="64BECDF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（5）其他对景区水系保护构成破坏的活动。</w:t>
      </w:r>
    </w:p>
    <w:p w14:paraId="4067478A">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3、黄线控制</w:t>
      </w:r>
    </w:p>
    <w:p w14:paraId="511A69C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黄线指对景区发展全局有影响的、规划中确定的、必须控制的基础设施用地的控制界线。本次规划涉及的黄线主要是各功能区块的基础设施用地范围，主要涉及观光车首末站、停车场、污水处理设施、排洪沟等。在景区黄线范围内禁止进行下列活动：</w:t>
      </w:r>
    </w:p>
    <w:p w14:paraId="6F9BFF3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（1）违反规划要求，进行建筑物、构筑物及其他设施的建设；</w:t>
      </w:r>
    </w:p>
    <w:p w14:paraId="64B4674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（2）违反国家有关技术标准和规范进行建设；</w:t>
      </w:r>
    </w:p>
    <w:p w14:paraId="05546B7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（3）未经批准，改装、迁移或拆毁原有景区基础设施；</w:t>
      </w:r>
    </w:p>
    <w:p w14:paraId="3E358F3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（4）其他损坏景区基础设施或影响景区基础设施安全和正常运转的行为。</w:t>
      </w:r>
    </w:p>
    <w:p w14:paraId="38CC5005">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4、紫线控制</w:t>
      </w:r>
    </w:p>
    <w:p w14:paraId="2399757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紫线范围内的建设活动必须符合相关法规规范的管理规定。对紫线保护区范围内的历史建筑、文物古迹应保持文物原貌、整旧如旧，严禁一切与文物保护无关的建设。紫线内不得修建形式、高度、体量、色调与文物保护单位或传统风貌街区环境风貌不协调的建（构）筑物，应维护传统风貌街区的传统格局和历史风貌，改善基础设施、提高环境质量。本次规划岗云杉林生态旅游景区内不涉及紫线。</w:t>
      </w:r>
    </w:p>
    <w:p w14:paraId="42475445">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产品体系与游线规划</w:t>
      </w:r>
    </w:p>
    <w:p w14:paraId="7B582394">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产品体系</w:t>
      </w:r>
    </w:p>
    <w:p w14:paraId="70AA5852">
      <w:pPr>
        <w:pStyle w:val="28"/>
        <w:tabs>
          <w:tab w:val="left" w:pos="840"/>
        </w:tabs>
        <w:spacing w:line="360" w:lineRule="auto"/>
        <w:ind w:firstLine="482" w:firstLineChars="200"/>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1、旅游产品开发原则</w:t>
      </w:r>
    </w:p>
    <w:p w14:paraId="15D7066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）市场导向原则</w:t>
      </w:r>
    </w:p>
    <w:p w14:paraId="79DF029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项目地在旅游产品开发时必须结合当地的社会经济发展情况和旅游市场的需求现状，把握目标市场的需求内容、规模档次、水平，并在充分考虑未来需求变化的基础上，开发适合旅游市场需求的产品。</w:t>
      </w:r>
    </w:p>
    <w:p w14:paraId="37C003F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）特色突出原则</w:t>
      </w:r>
    </w:p>
    <w:p w14:paraId="297447E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由于人类求新求异的心理，单一的观光功能景区和游线难以吸引游客重游。因此，在产品设计上应尽量突出自己的特色，唯此才能创造吸引游客的魅力。各种旅游产品只有具备了与众不同的特色，方可在激烈的市场竞争中取得优势地位。旅游产品特色的外在表现反映在旅游地整体形象是否鲜明，内在表现则体现</w:t>
      </w:r>
      <w:r>
        <w:rPr>
          <w:rFonts w:hint="eastAsia" w:ascii="Times New Roman" w:hAnsi="Times New Roman" w:cs="Times New Roman"/>
          <w:bCs/>
          <w:color w:val="auto"/>
          <w:kern w:val="0"/>
          <w:sz w:val="24"/>
          <w:highlight w:val="none"/>
          <w:lang w:eastAsia="zh-CN"/>
        </w:rPr>
        <w:t>在本</w:t>
      </w:r>
      <w:r>
        <w:rPr>
          <w:rFonts w:hint="default" w:ascii="Times New Roman" w:hAnsi="Times New Roman" w:cs="Times New Roman"/>
          <w:bCs/>
          <w:color w:val="auto"/>
          <w:kern w:val="0"/>
          <w:sz w:val="24"/>
          <w:highlight w:val="none"/>
          <w:lang w:eastAsia="zh-CN"/>
        </w:rPr>
        <w:t>地文化是否挖掘充分并创新发展。</w:t>
      </w:r>
    </w:p>
    <w:p w14:paraId="2031FD5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3</w:t>
      </w:r>
      <w:r>
        <w:rPr>
          <w:rFonts w:hint="default" w:ascii="Times New Roman" w:hAnsi="Times New Roman" w:cs="Times New Roman"/>
          <w:bCs/>
          <w:color w:val="auto"/>
          <w:kern w:val="0"/>
          <w:sz w:val="24"/>
          <w:highlight w:val="none"/>
          <w:lang w:eastAsia="zh-CN"/>
        </w:rPr>
        <w:t>）可持续性原则</w:t>
      </w:r>
    </w:p>
    <w:p w14:paraId="32F6852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旅游产品的开</w:t>
      </w:r>
      <w:r>
        <w:rPr>
          <w:rFonts w:hint="eastAsia" w:ascii="Times New Roman" w:hAnsi="Times New Roman" w:cs="Times New Roman"/>
          <w:bCs/>
          <w:color w:val="auto"/>
          <w:kern w:val="0"/>
          <w:sz w:val="24"/>
          <w:highlight w:val="none"/>
          <w:lang w:eastAsia="zh-CN"/>
        </w:rPr>
        <w:t>发</w:t>
      </w:r>
      <w:r>
        <w:rPr>
          <w:rFonts w:hint="default" w:ascii="Times New Roman" w:hAnsi="Times New Roman" w:cs="Times New Roman"/>
          <w:bCs/>
          <w:color w:val="auto"/>
          <w:kern w:val="0"/>
          <w:sz w:val="24"/>
          <w:highlight w:val="none"/>
          <w:lang w:eastAsia="zh-CN"/>
        </w:rPr>
        <w:t>须本着“开发——保护——开发”的原则，实现旅游生态环境的良性循环，保障旅游资源的永续性利用。另一方面，考虑到旅游产品存在市场生命周期，为保证以旅游资源为依托的产品更新换代及重组的可行性，所以实现规划区的可持续发展非常必要。</w:t>
      </w:r>
    </w:p>
    <w:p w14:paraId="44926F0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4</w:t>
      </w:r>
      <w:r>
        <w:rPr>
          <w:rFonts w:hint="default" w:ascii="Times New Roman" w:hAnsi="Times New Roman" w:cs="Times New Roman"/>
          <w:bCs/>
          <w:color w:val="auto"/>
          <w:kern w:val="0"/>
          <w:sz w:val="24"/>
          <w:highlight w:val="none"/>
          <w:lang w:eastAsia="zh-CN"/>
        </w:rPr>
        <w:t>）多样化与参与性原则</w:t>
      </w:r>
    </w:p>
    <w:p w14:paraId="2CD9646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旅游产品的多样性是由市场需求的多样化决定的，考虑到旅游者兴趣爱好各异，支付能力不同，除了提供的单项产品要丰富外，各单项产品还要有不同的档次和价位，以吸引不同层次的旅游者。同时，参与性强的旅游产品给予旅游者更多的感官刺激，因而能获得较深的印象和生动</w:t>
      </w:r>
      <w:r>
        <w:rPr>
          <w:rFonts w:hint="eastAsia" w:ascii="Times New Roman" w:hAnsi="Times New Roman" w:cs="Times New Roman"/>
          <w:bCs/>
          <w:color w:val="auto"/>
          <w:kern w:val="0"/>
          <w:sz w:val="24"/>
          <w:highlight w:val="none"/>
          <w:lang w:eastAsia="zh-CN"/>
        </w:rPr>
        <w:t>的</w:t>
      </w:r>
      <w:r>
        <w:rPr>
          <w:rFonts w:hint="default" w:ascii="Times New Roman" w:hAnsi="Times New Roman" w:cs="Times New Roman"/>
          <w:bCs/>
          <w:color w:val="auto"/>
          <w:kern w:val="0"/>
          <w:sz w:val="24"/>
          <w:highlight w:val="none"/>
          <w:lang w:eastAsia="zh-CN"/>
        </w:rPr>
        <w:t>体验。旅游产品的参与性越强，带来的体验就越生动。因此，在旅游产品的开发中，要多设计一些参与性强、体验娱乐性的项目，以满足现代游客自主性强、兴趣多样、选择个性等要求。</w:t>
      </w:r>
    </w:p>
    <w:p w14:paraId="61A5C7BC">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2、旅游产品体系</w:t>
      </w:r>
    </w:p>
    <w:p w14:paraId="3A0FAB6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依托岗云杉林生态旅游景区资源品位以及分布特征，基于“深挖、品牌、整合、联动、提升”的产品开发思路，打造生态旅游、森林康养、自然研学、户外运动、民俗休闲等品牌产品，完善以观光、康养、研学、运动为重点，辅以购物、美食、娱乐等多系列、多层次的旅游产品体系构建。</w:t>
      </w:r>
    </w:p>
    <w:p w14:paraId="20C4FCE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围绕一个核心•四大主题，构建“1+4”旅游产品体系。形成岗云杉林全龄段适宜、可持续迭代的“四位一体”生态康养业态集群。</w:t>
      </w:r>
    </w:p>
    <w:p w14:paraId="287231A1">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eastAsia" w:ascii="Times New Roman" w:hAnsi="Times New Roman" w:cs="Times New Roman"/>
          <w:b/>
          <w:bCs w:val="0"/>
          <w:color w:val="auto"/>
          <w:kern w:val="0"/>
          <w:sz w:val="24"/>
          <w:highlight w:val="none"/>
          <w:lang w:val="en-US" w:eastAsia="zh-CN"/>
        </w:rPr>
        <w:t>3、旅游资源</w:t>
      </w:r>
    </w:p>
    <w:p w14:paraId="4149771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五级旅游资源（2个）：岗云杉林、草湖。</w:t>
      </w:r>
    </w:p>
    <w:p w14:paraId="2DA04F1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四级旅游资源（5个）：非物质文化遗产（波卓、曲艺说白、波央、竹编制作技艺等）、岗巴村、巴卡村、巴卡村民宿群、帕隆藏布。</w:t>
      </w:r>
    </w:p>
    <w:p w14:paraId="7D5FC94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三级旅游资源单体（9个）：云杉王、山神石像、青冈林、喜德林卡、天象景观（草湖云雾、彩虹、星辰等）、岗云杉林徒步道、非遗体验馆、灵溪山居、云杉居。</w:t>
      </w:r>
    </w:p>
    <w:p w14:paraId="30961AB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一、二级资源若干，此处不予单列。</w:t>
      </w:r>
    </w:p>
    <w:p w14:paraId="6456FB5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eastAsia" w:ascii="Times New Roman" w:hAnsi="Times New Roman" w:cs="Times New Roman"/>
          <w:bCs/>
          <w:color w:val="auto"/>
          <w:kern w:val="0"/>
          <w:sz w:val="24"/>
          <w:highlight w:val="none"/>
          <w:lang w:val="en-US" w:eastAsia="zh-CN"/>
        </w:rPr>
        <w:t>资源分布图详见附图。</w:t>
      </w:r>
    </w:p>
    <w:p w14:paraId="7CD9C93B">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游线规划</w:t>
      </w:r>
    </w:p>
    <w:p w14:paraId="01EC28E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eastAsia="zh-CN"/>
        </w:rPr>
        <w:t>旅游线路设计主要考虑交通连接和项目连接，根据岗云杉林生态旅游景区的实际情况，按照线路主题分为生态观光游线、森林康养游线、自然研学游线、户外运动游线、民俗休闲游线5大主题，以满足不同客群的游览体验需求。</w:t>
      </w:r>
      <w:r>
        <w:rPr>
          <w:rFonts w:hint="default" w:ascii="Times New Roman" w:hAnsi="Times New Roman" w:cs="Times New Roman"/>
          <w:bCs/>
          <w:color w:val="auto"/>
          <w:kern w:val="0"/>
          <w:sz w:val="24"/>
          <w:highlight w:val="none"/>
          <w:lang w:val="en-US" w:eastAsia="zh-CN"/>
        </w:rPr>
        <w:t>详见附图。</w:t>
      </w:r>
    </w:p>
    <w:p w14:paraId="2146A350">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景观设计引导</w:t>
      </w:r>
    </w:p>
    <w:p w14:paraId="36384416">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目标与原则</w:t>
      </w:r>
    </w:p>
    <w:p w14:paraId="05A23725">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val="en-US" w:eastAsia="zh-CN"/>
        </w:rPr>
        <w:t>1、</w:t>
      </w:r>
      <w:r>
        <w:rPr>
          <w:rFonts w:hint="default" w:ascii="Times New Roman" w:hAnsi="Times New Roman" w:cs="Times New Roman"/>
          <w:b/>
          <w:bCs w:val="0"/>
          <w:color w:val="auto"/>
          <w:kern w:val="0"/>
          <w:sz w:val="24"/>
          <w:highlight w:val="none"/>
          <w:lang w:eastAsia="zh-CN"/>
        </w:rPr>
        <w:t>景观环境设计目标</w:t>
      </w:r>
    </w:p>
    <w:p w14:paraId="3667230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空间环境的规划设计应强调整体性和序列感，注重各个功能空间的整体和谐和景观结构的有机构成，充分利用现状的自然条件，结合用地布局形成景观轴线，通过对景区建筑、景观的有序布置，体现森林徒步游憩型景区特有的风貌，通过公共绿化活动空间的景观塑造，形成景区标志和地域场所感。</w:t>
      </w:r>
    </w:p>
    <w:p w14:paraId="23F78BA3">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val="en-US" w:eastAsia="zh-CN"/>
        </w:rPr>
        <w:t>2、</w:t>
      </w:r>
      <w:r>
        <w:rPr>
          <w:rFonts w:hint="default" w:ascii="Times New Roman" w:hAnsi="Times New Roman" w:cs="Times New Roman"/>
          <w:b/>
          <w:bCs w:val="0"/>
          <w:color w:val="auto"/>
          <w:kern w:val="0"/>
          <w:sz w:val="24"/>
          <w:highlight w:val="none"/>
          <w:lang w:eastAsia="zh-CN"/>
        </w:rPr>
        <w:t>景观环境设计原则</w:t>
      </w:r>
    </w:p>
    <w:p w14:paraId="07EFDB7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（1）整体性和独创性相结合的原则，创造独具特色的生态旅游环境；</w:t>
      </w:r>
    </w:p>
    <w:p w14:paraId="0E6A071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（2）充分重视开敞空间和道路作为空间构图骨架的作用，注重道路和开敞空间界面设计；</w:t>
      </w:r>
    </w:p>
    <w:p w14:paraId="1F4789F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（3）生态环境与人工环境相结合，充分尊重自然生态环境。</w:t>
      </w:r>
    </w:p>
    <w:p w14:paraId="77E569A5">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建筑设计引导</w:t>
      </w:r>
    </w:p>
    <w:p w14:paraId="49D91A5A">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1、建筑风格</w:t>
      </w:r>
    </w:p>
    <w:p w14:paraId="29F96EA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景区整体建筑风格建议采取传统藏式民居风格与现代藏式建筑风格相结合。</w:t>
      </w:r>
    </w:p>
    <w:p w14:paraId="503B1B8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）传统藏式风格</w:t>
      </w:r>
    </w:p>
    <w:p w14:paraId="3CEF9F4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主要针对岗巴村和巴卡村的民居建筑、家庭民宿，应突出原汁原味的地域建筑风格，采用本土材料及技艺，主体建筑统一采用坡屋顶灰色树脂瓦，门、窗、屋檐设计宜采用当地藏式元素，整体建筑风貌与所在村庄风貌相协调，体现景区当地古风古韵特色。</w:t>
      </w:r>
    </w:p>
    <w:p w14:paraId="0667831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）现代藏式风格</w:t>
      </w:r>
    </w:p>
    <w:p w14:paraId="7CFDC3A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主要针对景区形象入口、游客服务中心、检票口、特色酒店等建筑，以现代藏式风格为主，建造方式和材料以新型建造技术和新型材料为主。提取传统藏式风格的典型元素，门、窗户色彩以白、蓝、红、黄、绿等单色为主，并搭配当地传统手绘图案。檐口色彩以红、黄、蓝、玫红等单色为主，并搭配当地传统手绘图案。屋顶样式结合传统做法，设计成歇山式屋顶、复式屋顶等样式。在规模、尺度、空间关系上与景区整体风貌协调统一。</w:t>
      </w:r>
    </w:p>
    <w:p w14:paraId="3CDB66D8">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2、建筑高度</w:t>
      </w:r>
    </w:p>
    <w:p w14:paraId="24F4EFD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为景区服务的公共建筑从建筑性质、土地经济性以及景观角度综合考虑，建筑高度原则上按不超过18米控制，对于民居建筑，建筑层数原则为1-3层，不超过12米。根据地块所在的高度分区要求，各建筑不得突破高度控制上限。</w:t>
      </w:r>
    </w:p>
    <w:p w14:paraId="5CCE5762">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3、建筑色彩</w:t>
      </w:r>
    </w:p>
    <w:p w14:paraId="5A1EC3B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鼓励景区的建筑色彩应该尽可能地协调统一。基本色为建筑色彩的主色调，以生态石材墙面、仿树皮屋顶、仿木纹不锈钢为主，主要色彩淡雅、生态。辅助色主要应用于建筑的屋檐、基座、门斗和窗框等位置，以藏式绿色和黑色为主。点缀色主要用于建筑斗拱、窗棂格栅等小面积装饰构件，色彩可以采用比较鲜艳的黄色、蓝色、绿色和红色等。</w:t>
      </w:r>
    </w:p>
    <w:p w14:paraId="679E870B">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景观环境设计</w:t>
      </w:r>
    </w:p>
    <w:p w14:paraId="1B404DC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以景区功能布置和路网组织为基础，结合景观设计要求，重点打造沿旅游公路、徒步线路两侧及重要节点的空间和景观序列。各功能用地形成各自特色和标志性，同时注重景区整体的协调统一。</w:t>
      </w:r>
    </w:p>
    <w:p w14:paraId="3BD71272">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1、景观设计导则</w:t>
      </w:r>
    </w:p>
    <w:p w14:paraId="6C4756A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临近山体、绿地、河流湖泊水体等开敞空间的建筑布局与设计应体现与自然相结合的原则，形成有机协调的整体景观环境。</w:t>
      </w:r>
    </w:p>
    <w:p w14:paraId="6833682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景区内各地块的围墙、围栏在视觉上应通透，避免对内外景观造成割裂。</w:t>
      </w:r>
    </w:p>
    <w:p w14:paraId="328F5BD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道路绿地应以规整、简洁的块状绿地为主，局部点缀雕塑等景观小品，形成有韵律的连续景观界面。</w:t>
      </w:r>
    </w:p>
    <w:p w14:paraId="10E58B4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滨水生态绿地应设置适量小品、休憩设施，形成一定数量的驻足、交流空间。进村道路两侧分段采用当地树形优美、树色多彩的主导树种，塑造色、香、形统一协调的绿化景观环境。</w:t>
      </w:r>
    </w:p>
    <w:p w14:paraId="1910E191">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2、重要节点景观控制</w:t>
      </w:r>
    </w:p>
    <w:p w14:paraId="3EAD42C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）景区入口</w:t>
      </w:r>
    </w:p>
    <w:p w14:paraId="48BA209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作为岗云杉林生态旅游景区门户的标志性构筑物，将景区入口标识牌进行重点设计，以云杉树形为造型，辅以雪山、湖泊、动植物等核心元素，突出景区生态杉林主题。在设计上通过简单的形体组合方式，注重尺度、色彩和比例，采用生态仿木材料，配以其他装饰色彩，造型简单大方，主题鲜明，以表达岗云杉林森林游憩型景区的鲜明主题。</w:t>
      </w:r>
    </w:p>
    <w:p w14:paraId="00C907D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）游客服务中心</w:t>
      </w:r>
    </w:p>
    <w:p w14:paraId="49904E6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位于G318与岗巴大桥中间，作为景区游客接待的标志性建筑，在游客服务中心前配套建设集散广场，以引导游客集散和展示景区形象为主要功能，并建有藏式主题小品和灯具，营造景区主题氛围。</w:t>
      </w:r>
    </w:p>
    <w:p w14:paraId="3EFEB7A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游客服务中心主体建筑在设计上坚持“生态第一、合理布局、轻量化建设”的原则，并体现人文关怀。</w:t>
      </w:r>
    </w:p>
    <w:p w14:paraId="2E078CD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建筑外观与周边生态环境和原生人文风光相协调，选择绿色环保建筑材质。总体设计提取景区现有民居建筑材质和装饰元素，融合传统藏式元素，营造“森林徒步天堂”的环境氛围。</w:t>
      </w:r>
    </w:p>
    <w:p w14:paraId="59CBBC1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3</w:t>
      </w:r>
      <w:r>
        <w:rPr>
          <w:rFonts w:hint="default" w:ascii="Times New Roman" w:hAnsi="Times New Roman" w:cs="Times New Roman"/>
          <w:bCs/>
          <w:color w:val="auto"/>
          <w:kern w:val="0"/>
          <w:sz w:val="24"/>
          <w:highlight w:val="none"/>
          <w:lang w:eastAsia="zh-CN"/>
        </w:rPr>
        <w:t>）滨水景观界面</w:t>
      </w:r>
    </w:p>
    <w:p w14:paraId="159DEE8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符合滨水地区的建筑尺度和高度叠落要求，保持良好的滨水步行空间尺度，同时注重界面的通透性，鼓励沿草湖布置开敞空间和观景设施，提高滨水空间的公共性和活力。</w:t>
      </w:r>
    </w:p>
    <w:p w14:paraId="2629A364">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3、户外广告及标识物设计</w:t>
      </w:r>
    </w:p>
    <w:p w14:paraId="4D03ABE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户外广告及标识物指利用道路、交通设施、广场等空间和建筑物设置的路牌、招牌、电子显示屏、橱窗、灯箱、招贴画等广告。</w:t>
      </w:r>
    </w:p>
    <w:p w14:paraId="4182542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（1）主要应设置在商业及娱乐类公共设施的范围内。</w:t>
      </w:r>
    </w:p>
    <w:p w14:paraId="4EFB77B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（2）不得在交通安全设施、安全标志、景区绿化、电线杆和路灯杆上设置广告，不应在窗户张贴或喷涂广告，广告安置不应破坏原有的建筑空间感觉和建筑立面。</w:t>
      </w:r>
    </w:p>
    <w:p w14:paraId="7B3A18E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（3）在公共性开敞空间，包括公共绿地、防护绿地、绿化廊道、公共步道、集散广场等场所设置广告应以公益性内容为主，尺度宜人，位置、色彩与环境融洽。</w:t>
      </w:r>
    </w:p>
    <w:p w14:paraId="746CAC3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（4）同一特征地段内的广告应统一规格及样式，整齐美观。</w:t>
      </w:r>
    </w:p>
    <w:p w14:paraId="5FE5A24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（5）霓虹灯广告应同时兼顾白天的视觉效果。</w:t>
      </w:r>
    </w:p>
    <w:p w14:paraId="576ED15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（6）色彩、尺度、内容应与所处地段环境相协调，除另有规定以外，不得遮挡公共开敞绿化和较好的建筑形象，不得设立面积超过30平方米的大型广告。</w:t>
      </w:r>
    </w:p>
    <w:p w14:paraId="10A0F1E6">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4、环境小品设计</w:t>
      </w:r>
    </w:p>
    <w:p w14:paraId="788719B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结合各景观节点，根据不同的空间功能设置相应的景观小品，主要分为建筑小品、道路设施小品和生活设施小品三类。景观小品在设计过程中所遵循的设计原则，主要从功能满足、地域特色、情感归宿三方面进行设计。</w:t>
      </w:r>
    </w:p>
    <w:p w14:paraId="671776F9">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5、灯光夜景</w:t>
      </w:r>
    </w:p>
    <w:p w14:paraId="4BB6D11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街道照明应选用具有自然色彩的光源，人行道、游步道和公共绿地的照明宜选用色彩相对柔和的光源；公共场所的照明不应对环境的舒适性产生影响；不同场所的灯具，其造型和高度应满足相关的规定。</w:t>
      </w:r>
    </w:p>
    <w:p w14:paraId="14EC5797">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6、街道家具及地面铺装</w:t>
      </w:r>
    </w:p>
    <w:p w14:paraId="66C677E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）街道家具</w:t>
      </w:r>
    </w:p>
    <w:p w14:paraId="36A8973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街道家具泛指在道路上为各种不同使用需求而设置的设施。这些设施的设置通常会对交通安全、公共安全、公共空间中公众生活的便利方面有一定程度的影响。街道家具包含无障碍设施、导盲交通标志、交通安全与交通管理、车阻柱、车阻墩、栏杆、行人安全岛、自行车架、公共车站、座椅、板凳、公共电话亭、路灯、公共垃圾桶、公共安全设施等。</w:t>
      </w:r>
    </w:p>
    <w:p w14:paraId="1308BBE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街道家具是存在于街道这一特殊线性空间内的细部设计，它不仅服务于街道和在其间活动的人，而且能够提升景区形象和活力。所以在设计中需要以“人、街道环境和街道家具之间的关系”为前提来研究街道家具，整理其概念、分类和发展历程，以相关的规范为理论和设计依据；同时需以大量调查原有街道家具的实际状况和设计改造为基础，充分采用当地材料，并体现地域特色及文化内涵。</w:t>
      </w:r>
    </w:p>
    <w:p w14:paraId="643B623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）街道地面铺装</w:t>
      </w:r>
    </w:p>
    <w:p w14:paraId="254A568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街道地面铺装的整体要求是：安全、舒适、亲切，具有方位感、方向感、文化感和特色感。</w:t>
      </w:r>
    </w:p>
    <w:p w14:paraId="1AA0610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道路地面铺装推荐以石板路面为主，其间点缀卵石铺地和彩色混凝土铺地，铺装色彩要与周边街道界面相协调。地面铺装要求平坦，尽量减少高差的变化，地面有高差变化时，需设置明显的标志，如铺装色彩、材质的变化。地面铺装材料的选择应考虑雨、雪季防滑的问题，采用表面质感粗糙、透水性好、耐污染性强、清扫方便的材料。易于施工、维护的砌块类材料是较好的选择。</w:t>
      </w:r>
    </w:p>
    <w:p w14:paraId="0765C4E0">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绿地景观系统规划</w:t>
      </w:r>
    </w:p>
    <w:p w14:paraId="26F60B17">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规划原则</w:t>
      </w:r>
    </w:p>
    <w:p w14:paraId="312257EE">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1、尊重自然，保护利用原则</w:t>
      </w:r>
    </w:p>
    <w:p w14:paraId="01263B6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根据当地地形地貌、气候条件、现状绿地的特点和生态环境保护的有关要求，结合用地布局，统一安排各类绿地，融入周边的自然山水之中，形成绿地系统。</w:t>
      </w:r>
    </w:p>
    <w:p w14:paraId="1DFBFB0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尊重物种多样性，在减少对资源的剥夺、保持营养和水循环、保护植物生态环境和动物栖息地的基础上，合理开发、利用土地和自然资源，共创优美和谐景观系统。</w:t>
      </w:r>
    </w:p>
    <w:p w14:paraId="7B04965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应当以“体现田园风光和地方特色”为指导思想，以绿化、美化和生态优化为出发点，以改善景区生态环境和人居环境为目标，为游客与居民营造一个环境优美、生活舒适、生态良好的绿色环境。</w:t>
      </w:r>
    </w:p>
    <w:p w14:paraId="4492D7D2">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2、合理布局，满足功能原则</w:t>
      </w:r>
    </w:p>
    <w:p w14:paraId="0152691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从空间性质和功能出发，对不同类型的植物景观进行合理布局，满足功能要求。种植设计兼顾四季景色，应用较多的植物种类，使得各季都有代表性或特色景观。</w:t>
      </w:r>
    </w:p>
    <w:p w14:paraId="155C7AF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确定各功能组团环境容量，防止无节制地开发，严格控制各组团的用地规模，严格控制作为组团分隔的公共绿化用地。</w:t>
      </w:r>
    </w:p>
    <w:p w14:paraId="0622A10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重点控制绿点和绿线的建设空间，结合外围山水环境形成绿面空间，形成完善的景区绿地系统。</w:t>
      </w:r>
    </w:p>
    <w:p w14:paraId="60033D22">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3、远近结合，经济实用原则</w:t>
      </w:r>
    </w:p>
    <w:p w14:paraId="0CB7933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充分利用山体、河道等自然地形，作为背景的外部生态环境楔入景区各建设组团之间，形成自然生态环境与人工环境建设的相互渗透与景观互补。</w:t>
      </w:r>
    </w:p>
    <w:p w14:paraId="0E04A8A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根据景区开发的轻重缓急，结合植物生长周期，发掘更多乡土树种，包括原生树种或长期栽培适生树种，提高绿化植物的丰富度。</w:t>
      </w:r>
    </w:p>
    <w:p w14:paraId="51581F3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绿地系统规划</w:t>
      </w:r>
    </w:p>
    <w:p w14:paraId="439357D5">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1、山体绿地</w:t>
      </w:r>
    </w:p>
    <w:p w14:paraId="56E6565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充分利用景区现状山体所形成的森林和绿地，构成岗云杉林生态旅游景区的绿环。在保持现状景观环境的基础上，通过景观节点、生态步道、防火栈道等建设，将山林景观引入景区，与景区内人文景观相结合，提供丰富的视觉景观观赏空间和郊野游憩空间。</w:t>
      </w:r>
    </w:p>
    <w:p w14:paraId="5E3727FD">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2、村落绿地</w:t>
      </w:r>
    </w:p>
    <w:p w14:paraId="67D3695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从“村外亮化、村落绿化、庭院美化”三个层面对巴卡村、岗巴村村落景观进行绿化营造。对于村落外部，建议以高大乔木为主，适当配置中高乔木和灌木，形成村落与周边自然环境的生态过渡带；对于村落内部，结合高原优势种植产业，在房前屋后、公共场所等位置开展以当地经济林木果蔬为主，彩色植物为辅的绿化景观营造；对于庭院内部，建议村民种植部分经济果蔬，打造具有农家气息的果园、菜园、花园。</w:t>
      </w:r>
    </w:p>
    <w:p w14:paraId="1229410D">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3、河流岸线绿地</w:t>
      </w:r>
    </w:p>
    <w:p w14:paraId="68673B0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以“生态保护”为前提，对帕隆藏布、草湖等水域河岸绿地进行规划。结合河流水系功能特点、周边地形和区域气候，提升优化原有植被景观，改善水土流失的同时增加观赏效果；根据现场条件，结合景区游赏线路和观景节点，配合各类高原植被，打造自然野趣的河岸景观，丰富观光游赏视觉内容。</w:t>
      </w:r>
    </w:p>
    <w:p w14:paraId="710F9DA9">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4、道路绿地</w:t>
      </w:r>
    </w:p>
    <w:p w14:paraId="736EAAF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根据路两侧的绿地性质和周边用地的现状特点，依托原有的自然植被基础，对景区入口、村落入口、休憩景点等不同地段进行差异性的打造，以纵向分段、横向延伸、立体错落等手法，构建各具主题的绿化景观系统。按适地适树原则，通过种植、补植的办法，培育多层次的植物群落。在强化现有绿色生态资源的基础上，引入观赏性强、景观效果明显的本土植物品种进行景观打造，充分考虑色彩的变换和景观季相特征，提升场地景观系统的丰富性，并强化道路的带状轴线特征。</w:t>
      </w:r>
    </w:p>
    <w:p w14:paraId="5A502A37">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景观系统规划</w:t>
      </w:r>
    </w:p>
    <w:p w14:paraId="0D60E43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规划形成“一轴三区一核多节点”的景观结构；</w:t>
      </w:r>
    </w:p>
    <w:p w14:paraId="3C225BF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一轴：依托景区内部主路形成的徒步研学景观轴。</w:t>
      </w:r>
    </w:p>
    <w:p w14:paraId="0D4011D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三区：巴卡民俗景观绿化区、云杉生态景观绿化区、岗巴康旅景观绿化区。</w:t>
      </w:r>
    </w:p>
    <w:p w14:paraId="0EE9804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一核：自然景观绿化核。</w:t>
      </w:r>
    </w:p>
    <w:p w14:paraId="057C897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多节点：岗云杉林、草湖、非物质文化遗产（波卓、曲艺说白、波央、竹编制作技艺等）、岗巴村、巴卡村、巴卡村民宿群、帕隆藏布、云杉王、山神石像、青冈林、喜德林卡、天象景观（草湖云雾、彩虹、星辰等）、岗云杉林徒步道、非遗体验馆、云杉秘境酒店、灵溪山居、云杉居。</w:t>
      </w:r>
    </w:p>
    <w:p w14:paraId="2E08CB7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绿化植物配置</w:t>
      </w:r>
    </w:p>
    <w:p w14:paraId="6560BD62">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1、巴卡民宿景观绿化区</w:t>
      </w:r>
    </w:p>
    <w:p w14:paraId="164D8C0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以常绿乔木搭配地被种植为主，点缀花叶树种，丰富整体色彩。</w:t>
      </w:r>
    </w:p>
    <w:p w14:paraId="784CF43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乔木：桃花、红豆杉、旱柳、桦木。</w:t>
      </w:r>
    </w:p>
    <w:p w14:paraId="1CE041B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地被：格桑花、油菜花、西藏草药。</w:t>
      </w:r>
    </w:p>
    <w:p w14:paraId="368A2C67">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2、岗巴康旅景观绿化区</w:t>
      </w:r>
    </w:p>
    <w:p w14:paraId="5DB0BFE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以常绿乔木、灌木搭配地被种植为主，点缀花叶树种，丰富整体色彩。</w:t>
      </w:r>
    </w:p>
    <w:p w14:paraId="1D0558E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乔木：桃花、西藏长叶松、冷杉、巨柏。</w:t>
      </w:r>
    </w:p>
    <w:p w14:paraId="40560FB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灌木：樱花、高山杜鹃、山核桃。</w:t>
      </w:r>
    </w:p>
    <w:p w14:paraId="282A59F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地被：油菜花、西藏草药。</w:t>
      </w:r>
    </w:p>
    <w:p w14:paraId="19FCD910">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3、云杉生态景观绿化区</w:t>
      </w:r>
    </w:p>
    <w:p w14:paraId="6BDA9B6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将养木、灌木、地被等进行合理搭配，首先达到一个缓慢过渡的效果，</w:t>
      </w:r>
      <w:r>
        <w:rPr>
          <w:rFonts w:hint="eastAsia" w:ascii="Times New Roman" w:hAnsi="Times New Roman" w:cs="Times New Roman"/>
          <w:bCs/>
          <w:color w:val="auto"/>
          <w:kern w:val="0"/>
          <w:sz w:val="24"/>
          <w:highlight w:val="none"/>
          <w:lang w:eastAsia="zh-CN"/>
        </w:rPr>
        <w:t>其次</w:t>
      </w:r>
      <w:r>
        <w:rPr>
          <w:rFonts w:hint="default" w:ascii="Times New Roman" w:hAnsi="Times New Roman" w:cs="Times New Roman"/>
          <w:bCs/>
          <w:color w:val="auto"/>
          <w:kern w:val="0"/>
          <w:sz w:val="24"/>
          <w:highlight w:val="none"/>
          <w:lang w:eastAsia="zh-CN"/>
        </w:rPr>
        <w:t>相互间形成一定的对比，有利</w:t>
      </w:r>
      <w:r>
        <w:rPr>
          <w:rFonts w:hint="eastAsia" w:ascii="Times New Roman" w:hAnsi="Times New Roman" w:cs="Times New Roman"/>
          <w:bCs/>
          <w:color w:val="auto"/>
          <w:kern w:val="0"/>
          <w:sz w:val="24"/>
          <w:highlight w:val="none"/>
          <w:lang w:eastAsia="zh-CN"/>
        </w:rPr>
        <w:t>休闲</w:t>
      </w:r>
      <w:r>
        <w:rPr>
          <w:rFonts w:hint="default" w:ascii="Times New Roman" w:hAnsi="Times New Roman" w:cs="Times New Roman"/>
          <w:bCs/>
          <w:color w:val="auto"/>
          <w:kern w:val="0"/>
          <w:sz w:val="24"/>
          <w:highlight w:val="none"/>
          <w:lang w:eastAsia="zh-CN"/>
        </w:rPr>
        <w:t>观贵，创造复层绿化。</w:t>
      </w:r>
    </w:p>
    <w:p w14:paraId="2933596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乔木：冷杉、云杉、高山栎、圆柏。</w:t>
      </w:r>
    </w:p>
    <w:p w14:paraId="6151C55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灌木：沙棘、蔷薇、高山杜鹃。</w:t>
      </w:r>
    </w:p>
    <w:p w14:paraId="0A4FCDE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地被：格桑花、西藏鸢尾。</w:t>
      </w:r>
    </w:p>
    <w:p w14:paraId="0F52C89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植被绿化时严禁引入外来入侵物种。</w:t>
      </w:r>
    </w:p>
    <w:p w14:paraId="49B5FD02">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生态修复</w:t>
      </w:r>
    </w:p>
    <w:p w14:paraId="26C31D6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岗云杉林生态修复，核心是针对原始云杉林因旅游开发、人为干扰出现的生态破坏，开展拆除违建设施、自然恢复、人工辅助修复、管护提升的系统性工程，以恢复其原始森林生态系统结构与功能。</w:t>
      </w:r>
    </w:p>
    <w:p w14:paraId="2DB5AB8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（1）主要受损因素</w:t>
      </w:r>
    </w:p>
    <w:p w14:paraId="461BB0B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1）旅游开发违规：核心区/缓冲区违建（</w:t>
      </w:r>
      <w:r>
        <w:rPr>
          <w:rFonts w:hint="eastAsia" w:ascii="Times New Roman" w:hAnsi="Times New Roman" w:cs="Times New Roman"/>
          <w:bCs/>
          <w:color w:val="auto"/>
          <w:kern w:val="0"/>
          <w:sz w:val="24"/>
          <w:highlight w:val="none"/>
          <w:lang w:val="en-US" w:eastAsia="zh-CN"/>
        </w:rPr>
        <w:t>验票处、</w:t>
      </w:r>
      <w:r>
        <w:rPr>
          <w:rFonts w:hint="default" w:ascii="Times New Roman" w:hAnsi="Times New Roman" w:cs="Times New Roman"/>
          <w:bCs/>
          <w:color w:val="auto"/>
          <w:kern w:val="0"/>
          <w:sz w:val="24"/>
          <w:highlight w:val="none"/>
          <w:lang w:val="en-US" w:eastAsia="zh-CN"/>
        </w:rPr>
        <w:t>停车场、栈道、商铺、厕所等），破坏地表、土壤、植被与动物栖息地。</w:t>
      </w:r>
    </w:p>
    <w:p w14:paraId="1DF9409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2）人为干扰：游客踩踏、垃圾污染、栈道切割生境、盗采林下资源（菌类、药材）。</w:t>
      </w:r>
    </w:p>
    <w:p w14:paraId="37D597A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3）次生影响：局部水土流失、林窗退化、外来物种入侵风险、野生动物活动范围被压缩。</w:t>
      </w:r>
    </w:p>
    <w:p w14:paraId="6CA0061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（2）生态修复措施</w:t>
      </w:r>
    </w:p>
    <w:p w14:paraId="62BA31D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1）违规设施拆除与清场（核心修复）</w:t>
      </w:r>
    </w:p>
    <w:p w14:paraId="776AFDA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①全面拆除核心区违建设施：</w:t>
      </w:r>
      <w:r>
        <w:rPr>
          <w:rFonts w:hint="eastAsia" w:ascii="Times New Roman" w:hAnsi="Times New Roman" w:cs="Times New Roman"/>
          <w:bCs/>
          <w:color w:val="auto"/>
          <w:kern w:val="0"/>
          <w:sz w:val="24"/>
          <w:highlight w:val="none"/>
          <w:lang w:val="en-US" w:eastAsia="zh-CN"/>
        </w:rPr>
        <w:t>验票处、</w:t>
      </w:r>
      <w:r>
        <w:rPr>
          <w:rFonts w:hint="default" w:ascii="Times New Roman" w:hAnsi="Times New Roman" w:cs="Times New Roman"/>
          <w:bCs/>
          <w:color w:val="auto"/>
          <w:kern w:val="0"/>
          <w:sz w:val="24"/>
          <w:highlight w:val="none"/>
          <w:lang w:val="en-US" w:eastAsia="zh-CN"/>
        </w:rPr>
        <w:t>销售长廊、片石停车场、11处标识标牌等。</w:t>
      </w:r>
    </w:p>
    <w:p w14:paraId="2025018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②清理建筑垃圾、硬化路面、人工铺装，恢复地表自然形态。</w:t>
      </w:r>
    </w:p>
    <w:p w14:paraId="36C8085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③调整实验区合规设施（厕所、栈道、防洪堤）转为管护、生态宣教用途，不再用于商业旅游。</w:t>
      </w:r>
    </w:p>
    <w:p w14:paraId="1E03B52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2）自然恢复和人工辅助修复</w:t>
      </w:r>
    </w:p>
    <w:p w14:paraId="4011436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①自然封育：核心区、缓冲区全面禁入、禁游、禁采，依靠森林自我修复能力恢复植被与群落。</w:t>
      </w:r>
    </w:p>
    <w:p w14:paraId="1E0E06E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②人工补植：</w:t>
      </w:r>
    </w:p>
    <w:p w14:paraId="4DDDDE8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A、选用本土云杉（西藏云杉、林芝云杉）、冷杉、高山松等原生树种。</w:t>
      </w:r>
    </w:p>
    <w:p w14:paraId="5C50AC7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B、采用原生境育苗、带土球移栽，避免外来种，模拟自然林结构。</w:t>
      </w:r>
    </w:p>
    <w:p w14:paraId="148C4FA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③土壤与微生境修复：</w:t>
      </w:r>
    </w:p>
    <w:p w14:paraId="6626F9B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A、回填腐殖土、保护苔藓层、减少地表压实。</w:t>
      </w:r>
    </w:p>
    <w:p w14:paraId="202D44D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B、修复林下枯落层，促进养分循环与保水。</w:t>
      </w:r>
    </w:p>
    <w:p w14:paraId="242F5C9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④水土流失治理：</w:t>
      </w:r>
    </w:p>
    <w:p w14:paraId="266EFC9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A、坡地设置生态拦挡、原生草皮覆盖、自然排水沟恢复。</w:t>
      </w:r>
    </w:p>
    <w:p w14:paraId="28008F4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B、沿帕隆藏布江岸修复护岸植被，减少冲刷。</w:t>
      </w:r>
    </w:p>
    <w:p w14:paraId="66695D4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3）生物多样性保护与监测</w:t>
      </w:r>
    </w:p>
    <w:p w14:paraId="41158C8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①栖息地连通：拆除隔离栈道围栏，打通野生动物迁徙廊道。</w:t>
      </w:r>
    </w:p>
    <w:p w14:paraId="12CA0B5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②禁猎禁采：强化巡护，打击盗采、盗猎、非法采集林下资源。</w:t>
      </w:r>
    </w:p>
    <w:p w14:paraId="1497414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③科研监测：建立森林健康、水文、物种、土壤长期监测体系，评估修复成效。</w:t>
      </w:r>
    </w:p>
    <w:p w14:paraId="032C9A4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4）管理与管护机制升级</w:t>
      </w:r>
    </w:p>
    <w:p w14:paraId="1CDF524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①功能分区严格执行：核心区封闭保护、缓冲区限制活动、实验区生态旅游严控。</w:t>
      </w:r>
    </w:p>
    <w:p w14:paraId="6E20F4E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②智慧管护：监控、红外相机、无人机巡护、护林员网格化值守。</w:t>
      </w:r>
    </w:p>
    <w:p w14:paraId="0B38817B">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服务设施</w:t>
      </w:r>
      <w:r>
        <w:rPr>
          <w:rFonts w:hint="default" w:ascii="Times New Roman" w:hAnsi="Times New Roman" w:cs="Times New Roman"/>
          <w:color w:val="auto"/>
          <w:highlight w:val="none"/>
        </w:rPr>
        <w:t>规划</w:t>
      </w:r>
    </w:p>
    <w:p w14:paraId="047A7DF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游客服务中心</w:t>
      </w:r>
    </w:p>
    <w:p w14:paraId="1CD74FE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根据岗云杉林生态旅游景区空间布局，景点资源、重点项目分布及交通组织，按照“方便服务游客，方便景区管理”的思路，规划形成“游客集散中心、游客服务站、游客服务点”三级游客咨询服务体系。</w:t>
      </w:r>
    </w:p>
    <w:p w14:paraId="77E0D4A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一级游客服务中心：设置在岗巴村一侧，按照国家AAAA级旅游景区标准要求，布置咨询服务台、游客休息区、售票窗口（团队、散客）、医务室、吸氧室、警务室、监控室、智慧景区平台、投诉室、影视厅、母婴室、旅游厕所、导游公示栏、导游休息室、旅游购物区、LED显示大屏等功能设施。</w:t>
      </w:r>
    </w:p>
    <w:p w14:paraId="4D439DF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（2）二级游客服务站：分别设在岗巴村检票口、巴卡村检票口，为游客提供换乘、咨询、休息等服务。</w:t>
      </w:r>
    </w:p>
    <w:p w14:paraId="660DC83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（3）三级游客服务点：根据规划项目布局，分别在森林驿站、低碳研学营、巴卡爱心驿站、拉卡人家4个点，设置游客服务点，为游客提供咨询、休息等服务。</w:t>
      </w:r>
    </w:p>
    <w:p w14:paraId="2B2F76B2">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旅游住宿设施</w:t>
      </w:r>
    </w:p>
    <w:p w14:paraId="4E68AC25">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1、规划措施</w:t>
      </w:r>
    </w:p>
    <w:p w14:paraId="4E1AC25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建立以主题酒店为主体、民宿为特色，房车营地体验为补充的规模适度、档次组配合理、布局均衡，具有先进管理理念、地方文化、艺术设计的住宿业体系。</w:t>
      </w:r>
    </w:p>
    <w:p w14:paraId="6E1D480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（1）高端酒店类</w:t>
      </w:r>
    </w:p>
    <w:p w14:paraId="2F96FAF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以云杉秘境酒店（运营）、森旅部落（规划），2处作为景区高端住宿的支撑，酒店内部重点突出藏式风情和森林康养主题文化。</w:t>
      </w:r>
    </w:p>
    <w:p w14:paraId="2382EC2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（2）精品民宿类</w:t>
      </w:r>
    </w:p>
    <w:p w14:paraId="66C1137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成立民宿联盟合作社，对岗巴村24户家庭旅馆统一运营、管理和营销，对民宿主进行统一培训，执行公司统一的管理标准，服务品质做到可控制可管理。</w:t>
      </w:r>
    </w:p>
    <w:p w14:paraId="49D7563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制定景区民宿管理细则，对巴卡村在运营及在建民宿提出设施、服务等相关规范要求，进行星级民宿评选，提升景区内部民宿服务质量。</w:t>
      </w:r>
    </w:p>
    <w:p w14:paraId="0123FF9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（3）户外营地</w:t>
      </w:r>
    </w:p>
    <w:p w14:paraId="55236A7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星空露营地：在巴卡村打造星空露营地，前期以露营观星，观雪山为主，后期作为自驾营地，为游客提供综合服务、房车营位、帐篷住宿等服务，配置休闲游憩设施（烧烤区、娱乐区等）。</w:t>
      </w:r>
    </w:p>
    <w:p w14:paraId="430C293F">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2、规模预测</w:t>
      </w:r>
    </w:p>
    <w:p w14:paraId="121EBE7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岗云杉林生态旅游景区旅游住宿设施规模（床位数）预测的计算公式如下：</w:t>
      </w:r>
    </w:p>
    <w:p w14:paraId="1B162223">
      <w:pPr>
        <w:pStyle w:val="28"/>
        <w:tabs>
          <w:tab w:val="left" w:pos="840"/>
        </w:tabs>
        <w:spacing w:line="360" w:lineRule="auto"/>
        <w:jc w:val="center"/>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E={N×P×L/（T×K）}×R</w:t>
      </w:r>
    </w:p>
    <w:p w14:paraId="2D224B4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公式中：</w:t>
      </w:r>
    </w:p>
    <w:p w14:paraId="2E6D860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E--床位数；N--年游客量；</w:t>
      </w:r>
    </w:p>
    <w:p w14:paraId="7F688FB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P--住宿游人比；L--平均住宿天数；</w:t>
      </w:r>
    </w:p>
    <w:p w14:paraId="292CB4B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T--全年可游天数；K--床位平均利用率；</w:t>
      </w:r>
    </w:p>
    <w:p w14:paraId="72A1296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R/调整系数。</w:t>
      </w:r>
    </w:p>
    <w:p w14:paraId="4E94AC7A">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表2.1-14  旅游住宿设施规模(床位数）预测表</w:t>
      </w:r>
    </w:p>
    <w:tbl>
      <w:tblPr>
        <w:tblStyle w:val="5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673"/>
        <w:gridCol w:w="2418"/>
        <w:gridCol w:w="1910"/>
        <w:gridCol w:w="1963"/>
      </w:tblGrid>
      <w:tr w14:paraId="5B622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3D023">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内容</w:t>
            </w:r>
          </w:p>
        </w:tc>
        <w:tc>
          <w:tcPr>
            <w:tcW w:w="1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71C09">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2027年</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5E4E8">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2030年</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EF78D">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2035年</w:t>
            </w:r>
          </w:p>
        </w:tc>
      </w:tr>
      <w:tr w14:paraId="5C3ED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B17E9">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N/年接待人数（万人次）</w:t>
            </w:r>
          </w:p>
        </w:tc>
        <w:tc>
          <w:tcPr>
            <w:tcW w:w="1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D1A4C">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58.33</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CF42D">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69.51</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68B5C">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95.05</w:t>
            </w:r>
          </w:p>
        </w:tc>
      </w:tr>
      <w:tr w14:paraId="6C3C7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97132">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P/游客过夜率</w:t>
            </w:r>
          </w:p>
        </w:tc>
        <w:tc>
          <w:tcPr>
            <w:tcW w:w="1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DA150">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8%</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B393B">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10%</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8FD6D">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12%</w:t>
            </w:r>
          </w:p>
        </w:tc>
      </w:tr>
      <w:tr w14:paraId="0AAD8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107C9">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L/人均停留天数（天）</w:t>
            </w:r>
          </w:p>
        </w:tc>
        <w:tc>
          <w:tcPr>
            <w:tcW w:w="1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652F2">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B980F">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1.5</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1C3C">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w:t>
            </w:r>
          </w:p>
        </w:tc>
      </w:tr>
      <w:tr w14:paraId="6F06C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934B6">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T/年可游览天数（天）</w:t>
            </w:r>
          </w:p>
        </w:tc>
        <w:tc>
          <w:tcPr>
            <w:tcW w:w="1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A96EC">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245</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64D8E">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245</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5C838">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245</w:t>
            </w:r>
          </w:p>
        </w:tc>
      </w:tr>
      <w:tr w14:paraId="2F8C6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5D0ED">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K/床位平均利用率（%）</w:t>
            </w:r>
          </w:p>
        </w:tc>
        <w:tc>
          <w:tcPr>
            <w:tcW w:w="1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CCE92">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40%</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66F44">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60%</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847FE">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90%</w:t>
            </w:r>
          </w:p>
        </w:tc>
      </w:tr>
      <w:tr w14:paraId="02E7D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FFCB8">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R/调整系数</w:t>
            </w:r>
          </w:p>
        </w:tc>
        <w:tc>
          <w:tcPr>
            <w:tcW w:w="1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9BBCC">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C923A">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1.01</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1E2F9">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1.02</w:t>
            </w:r>
          </w:p>
        </w:tc>
      </w:tr>
      <w:tr w14:paraId="28C00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D100B">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E/床位数（张）</w:t>
            </w:r>
          </w:p>
        </w:tc>
        <w:tc>
          <w:tcPr>
            <w:tcW w:w="1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A92C3">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476</w:t>
            </w:r>
          </w:p>
        </w:tc>
        <w:tc>
          <w:tcPr>
            <w:tcW w:w="10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35848">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716</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47376">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1055</w:t>
            </w:r>
          </w:p>
        </w:tc>
      </w:tr>
    </w:tbl>
    <w:p w14:paraId="1A217D96">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旅游餐饮设施</w:t>
      </w:r>
    </w:p>
    <w:p w14:paraId="76B2B9AA">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1、规划措施</w:t>
      </w:r>
    </w:p>
    <w:p w14:paraId="4C0BFA0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（1）打造特色餐饮</w:t>
      </w:r>
    </w:p>
    <w:p w14:paraId="74753C3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以岗云杉林生态旅游景区康养主题为核心，结合场地藏药材种植基础，打造研发药膳养生餐饮，就地取材，场地直供，形成景区特色餐饮。</w:t>
      </w:r>
    </w:p>
    <w:p w14:paraId="129081B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以时尚休闲餐饮为导向，打造云杉咖啡、藏式茶饮等结合主题的时尚餐饮。</w:t>
      </w:r>
    </w:p>
    <w:p w14:paraId="5D618FB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（2）丰富餐饮类型</w:t>
      </w:r>
    </w:p>
    <w:p w14:paraId="395843F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根据酒店、村庄、营地等不同业态，推出藏餐、中餐、藏小吃、烧烤等多类型餐饮类别。以分布于景区内的居民点为据点，提供新鲜绿色食品和“原汁原味”地道藏式美食。</w:t>
      </w:r>
    </w:p>
    <w:p w14:paraId="5DFC000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（3）规范餐饮管理</w:t>
      </w:r>
    </w:p>
    <w:p w14:paraId="2501536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强化景区餐饮行业制度建设，设置卫生检查机制，特别针对酒店、藏家乐、民宿等建立餐饮保障标准与检查体系，加强对餐饮行业的管理与监督；引导餐饮企业设计具有民族特色的餐厅、餐饮服饰、菜单，提高餐饮文化品位。</w:t>
      </w:r>
    </w:p>
    <w:p w14:paraId="11C3B2B0">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2、规模预测</w:t>
      </w:r>
    </w:p>
    <w:p w14:paraId="779DB4C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岗云杉林生态旅游景区餐饮设施规模预测的计算公式如下：</w:t>
      </w:r>
    </w:p>
    <w:p w14:paraId="379E39DA">
      <w:pPr>
        <w:pStyle w:val="28"/>
        <w:tabs>
          <w:tab w:val="left" w:pos="840"/>
        </w:tabs>
        <w:spacing w:line="360" w:lineRule="auto"/>
        <w:jc w:val="center"/>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color w:val="auto"/>
          <w:highlight w:val="none"/>
        </w:rPr>
        <w:drawing>
          <wp:inline distT="0" distB="0" distL="114300" distR="114300">
            <wp:extent cx="1630680" cy="441960"/>
            <wp:effectExtent l="0" t="0" r="0" b="0"/>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33"/>
                    <a:stretch>
                      <a:fillRect/>
                    </a:stretch>
                  </pic:blipFill>
                  <pic:spPr>
                    <a:xfrm>
                      <a:off x="0" y="0"/>
                      <a:ext cx="1630680" cy="441960"/>
                    </a:xfrm>
                    <a:prstGeom prst="rect">
                      <a:avLst/>
                    </a:prstGeom>
                    <a:noFill/>
                    <a:ln>
                      <a:noFill/>
                    </a:ln>
                  </pic:spPr>
                </pic:pic>
              </a:graphicData>
            </a:graphic>
          </wp:inline>
        </w:drawing>
      </w:r>
    </w:p>
    <w:p w14:paraId="65164F4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公式中：</w:t>
      </w:r>
    </w:p>
    <w:p w14:paraId="433FD90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C--餐位数；X1--年住宿游客量；</w:t>
      </w:r>
    </w:p>
    <w:p w14:paraId="353CEA4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X2—非住宿游客量；S--餐饮率，按50%计算；</w:t>
      </w:r>
    </w:p>
    <w:p w14:paraId="52B5477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T--餐座周转率按2次计算；</w:t>
      </w:r>
    </w:p>
    <w:p w14:paraId="000E39D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Y--年可游天数</w:t>
      </w:r>
      <w:r>
        <w:rPr>
          <w:rFonts w:hint="eastAsia" w:ascii="Times New Roman" w:hAnsi="Times New Roman" w:cs="Times New Roman"/>
          <w:bCs/>
          <w:color w:val="auto"/>
          <w:kern w:val="0"/>
          <w:sz w:val="24"/>
          <w:highlight w:val="none"/>
          <w:lang w:val="en-US" w:eastAsia="zh-CN"/>
        </w:rPr>
        <w:t>，</w:t>
      </w:r>
      <w:r>
        <w:rPr>
          <w:rFonts w:hint="default" w:ascii="Times New Roman" w:hAnsi="Times New Roman" w:cs="Times New Roman"/>
          <w:bCs/>
          <w:color w:val="auto"/>
          <w:kern w:val="0"/>
          <w:sz w:val="24"/>
          <w:highlight w:val="none"/>
          <w:lang w:val="en-US" w:eastAsia="zh-CN"/>
        </w:rPr>
        <w:t>取245天；</w:t>
      </w:r>
    </w:p>
    <w:p w14:paraId="20E3237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N一平均住宿天数；</w:t>
      </w:r>
    </w:p>
    <w:p w14:paraId="5ADAA3B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K--游客集中指数，随旅游区开发成熟逐渐减小，各期分别取1.6、1.3、1。</w:t>
      </w:r>
    </w:p>
    <w:p w14:paraId="2DC14D65">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表2.1-15  旅游餐饮设施规模(餐位数）预测表</w:t>
      </w:r>
    </w:p>
    <w:tbl>
      <w:tblPr>
        <w:tblStyle w:val="58"/>
        <w:tblW w:w="500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676"/>
        <w:gridCol w:w="1433"/>
        <w:gridCol w:w="1433"/>
        <w:gridCol w:w="1433"/>
      </w:tblGrid>
      <w:tr w14:paraId="2A518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168F8">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内容</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2A62B">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2027年</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12799">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2030年</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5E9E9">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2035年</w:t>
            </w:r>
          </w:p>
        </w:tc>
      </w:tr>
      <w:tr w14:paraId="5AF4C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0A0C9">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年接待人数（万人次）</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7DD1B">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rPr>
              <w:t>58.33</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B10CF">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rPr>
              <w:t>69.51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37195">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rPr>
              <w:t>95.05</w:t>
            </w:r>
          </w:p>
        </w:tc>
      </w:tr>
      <w:tr w14:paraId="5C784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41BC6">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T：餐座周转率</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76E6A">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F456B">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D9114">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w:t>
            </w:r>
          </w:p>
        </w:tc>
      </w:tr>
      <w:tr w14:paraId="19E59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1C24F">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Y：年可游览天数（天）</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606FF">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245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BD09D">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245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AD390">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245</w:t>
            </w:r>
          </w:p>
        </w:tc>
      </w:tr>
      <w:tr w14:paraId="3F449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80C96">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N：人均停留天数（天）</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5B456">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5553C">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4576F">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2</w:t>
            </w:r>
          </w:p>
        </w:tc>
      </w:tr>
      <w:tr w14:paraId="6BE2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AC2FA">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C/餐位数（张）</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383B5">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1</w:t>
            </w:r>
            <w:r>
              <w:rPr>
                <w:rFonts w:hint="eastAsia" w:ascii="Times New Roman" w:hAnsi="Times New Roman" w:cs="Times New Roman"/>
                <w:bCs/>
                <w:color w:val="auto"/>
                <w:kern w:val="0"/>
                <w:sz w:val="21"/>
                <w:szCs w:val="21"/>
                <w:highlight w:val="none"/>
                <w:lang w:val="en-US" w:eastAsia="zh-CN"/>
              </w:rPr>
              <w:t>029</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17B1E">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1106</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13405">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1319</w:t>
            </w:r>
          </w:p>
        </w:tc>
      </w:tr>
    </w:tbl>
    <w:p w14:paraId="07E2260F">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旅游</w:t>
      </w:r>
      <w:r>
        <w:rPr>
          <w:rFonts w:hint="default" w:ascii="Times New Roman" w:hAnsi="Times New Roman" w:cs="Times New Roman"/>
          <w:color w:val="auto"/>
          <w:highlight w:val="none"/>
          <w:lang w:val="en-US" w:eastAsia="zh-CN"/>
        </w:rPr>
        <w:t>购物</w:t>
      </w:r>
      <w:r>
        <w:rPr>
          <w:rFonts w:hint="default" w:ascii="Times New Roman" w:hAnsi="Times New Roman" w:cs="Times New Roman"/>
          <w:color w:val="auto"/>
          <w:highlight w:val="none"/>
        </w:rPr>
        <w:t>设施</w:t>
      </w:r>
    </w:p>
    <w:p w14:paraId="47C6D78F">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1、购物场所规划整治</w:t>
      </w:r>
    </w:p>
    <w:p w14:paraId="48549C3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基于景区现状，规划建议优化旅游购物设施的空间组合，通过设置类型多样的旅游购物场所，满足不同游客的购物需求。规划重点打造云杉集市旅游商品售卖、集散地。在景区游客中心，设立旅游商品展示。同时与各主题民宿、酒店联动，设立特色旅游商品销售点。加大旅游购物环境的整治力度，优化旅游消费环境。</w:t>
      </w:r>
    </w:p>
    <w:p w14:paraId="5D87F2B3">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2、培育精品旅游商品</w:t>
      </w:r>
    </w:p>
    <w:p w14:paraId="4C866BD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丰富旅游商品种类，打造岗云杉林旅游商品品牌系列。大力开发具有岗云杉林特色和藏民族特色的地方性旅游商品，进行多样化和规范化的打造，并突出旅游区的品牌，形成自有系列旅游商品，如工艺品、旅游食品、旅游文化商品及纪念品、旅游日用品、土特产品等。</w:t>
      </w:r>
    </w:p>
    <w:p w14:paraId="7C57210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开展景区旅游商品评选活动、旅游商品创意大赛，聘请大学生旅游创客或专业工艺美术师，对农特产品、民族手工艺品等进行包装设计的“二次加工”，重新赋予内涵和地域特色，形成具有景区文化特色的精品旅游商品。</w:t>
      </w:r>
    </w:p>
    <w:p w14:paraId="31E42C0A">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3、构建多元旅游商品销售渠道</w:t>
      </w:r>
    </w:p>
    <w:p w14:paraId="1051264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依托旅游景区、G318节点、波密旅游集散地的精品旅游购物中心、特产超市，结合线上线下共融机制，充分利用互联网和物联网，引导景区旅游商品以“电商”的方式进行销售，大力扩展景区旅游商品市场范围。</w:t>
      </w:r>
    </w:p>
    <w:p w14:paraId="33745BDB">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旅游</w:t>
      </w:r>
      <w:r>
        <w:rPr>
          <w:rFonts w:hint="default" w:ascii="Times New Roman" w:hAnsi="Times New Roman" w:cs="Times New Roman"/>
          <w:color w:val="auto"/>
          <w:highlight w:val="none"/>
          <w:lang w:val="en-US" w:eastAsia="zh-CN"/>
        </w:rPr>
        <w:t>娱乐</w:t>
      </w:r>
      <w:r>
        <w:rPr>
          <w:rFonts w:hint="default" w:ascii="Times New Roman" w:hAnsi="Times New Roman" w:cs="Times New Roman"/>
          <w:color w:val="auto"/>
          <w:highlight w:val="none"/>
        </w:rPr>
        <w:t>设施</w:t>
      </w:r>
    </w:p>
    <w:p w14:paraId="63C25E61">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1、多类型休闲游乐活动</w:t>
      </w:r>
    </w:p>
    <w:p w14:paraId="2021C49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基于景区主题文化，丰富游乐设施的多样性，在产品开发上，面向游客的多元需求，重点打造生态游乐产品，完善景区徒步道路、森林科普课堂；打造巴卡创意工坊、糌粑体验坊、茶韵工坊等民俗体验活动，岗云杉林徒步、水上划船等户外运动项目，以森旅部落为核心的森林康养活动等，以此丰富游客体验。</w:t>
      </w:r>
    </w:p>
    <w:p w14:paraId="126802E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结合景区民俗文化，组织类型多样的表演，安排夜间晚会、夜间娱乐，丰富旅游产品。在巴卡村结合村落广场适时开展民俗表演、节庆活动等。在喜德林卡结合藏式传统娱乐活动，如藏式骰子、藏式克朗球、藏式拔河等娱乐活动，丰富游客体验。</w:t>
      </w:r>
    </w:p>
    <w:p w14:paraId="5CDD2B4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（3）将文化深厚的春耕仪式、旺果节、藏历新年等与游客需求进行对接，打造更具观赏性、体验性的节日活动。</w:t>
      </w:r>
    </w:p>
    <w:p w14:paraId="4CA994D8">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2、休闲游乐活动运营模式</w:t>
      </w:r>
    </w:p>
    <w:p w14:paraId="270E726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加强景区娱乐活动的产业化和市场化运作，鼓励社会民间资本进入旅游文化娱乐行业，支持创办旅游文化娱乐或演出企业。通过税收优惠、政策奖励、专业指导等措施培育、扶持旅游文化娱乐业经营主体做大做强。在运作机制上，从资源、市场、机制三个方面对文化产业、娱乐产业与旅游产业进行全面整合，引导和扶持文化娱乐企业和机构的发展，鼓励组建旅游文化产业集团进行跨产业的产品开发和品牌营销推广。</w:t>
      </w:r>
    </w:p>
    <w:p w14:paraId="75F74EFC">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公共服务</w:t>
      </w:r>
      <w:r>
        <w:rPr>
          <w:rFonts w:hint="default" w:ascii="Times New Roman" w:hAnsi="Times New Roman" w:cs="Times New Roman"/>
          <w:color w:val="auto"/>
          <w:highlight w:val="none"/>
        </w:rPr>
        <w:t>设施</w:t>
      </w:r>
    </w:p>
    <w:p w14:paraId="5CD8619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公共环境是游客最容易获得感知的场所，公共服务设施的好坏强烈影响到游客对整个规划区的评价。</w:t>
      </w:r>
    </w:p>
    <w:p w14:paraId="56CDC05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本规划从公共服务设施及旅游服务设施两大板块入手，规划游客中心、咨询点、旅游厕所、生态停车场、住宿、餐饮、观景点等，完善旅游区公共服务设施。</w:t>
      </w:r>
    </w:p>
    <w:p w14:paraId="2AF57BF2">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道路交通</w:t>
      </w:r>
      <w:r>
        <w:rPr>
          <w:rFonts w:hint="default" w:ascii="Times New Roman" w:hAnsi="Times New Roman" w:cs="Times New Roman"/>
          <w:color w:val="auto"/>
          <w:highlight w:val="none"/>
          <w:lang w:val="en-US" w:eastAsia="zh-CN"/>
        </w:rPr>
        <w:t>及竖向</w:t>
      </w:r>
      <w:r>
        <w:rPr>
          <w:rFonts w:hint="default" w:ascii="Times New Roman" w:hAnsi="Times New Roman" w:cs="Times New Roman"/>
          <w:color w:val="auto"/>
          <w:highlight w:val="none"/>
        </w:rPr>
        <w:t>规划</w:t>
      </w:r>
    </w:p>
    <w:p w14:paraId="2728B22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道路交通规划原则</w:t>
      </w:r>
    </w:p>
    <w:p w14:paraId="2AC0EB1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道路交通规划需处理好旅游交通与原住民生产生活交通的干扰问题。</w:t>
      </w:r>
    </w:p>
    <w:p w14:paraId="5902B5B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道路交通规划应结合景区特色，形成既有旅游特色、又能满足交通功能的道路系统，如观光车、徒步等特色交通方式。</w:t>
      </w:r>
    </w:p>
    <w:p w14:paraId="4D62203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3</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规划设计从减少工程量，充分保护原有绿化植被的角度出发，景区主要道路在现有道路路基的基础上改造，游步道和各旅游功能区内的道路则由各地块根据项目具体情况决定。</w:t>
      </w:r>
    </w:p>
    <w:p w14:paraId="46F4592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4</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通过用地细分结合对山水结构的利用，形成相对独立完整，沿山谷、林地、湖泊、田园形成步行系统。以人性化尺度的步行、骑行空间，创造安全惬意、极具生态气氛的游憩空间。</w:t>
      </w:r>
    </w:p>
    <w:p w14:paraId="4303712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5</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结合景区功能妥善处理静态交通，满足游客停车需求。</w:t>
      </w:r>
    </w:p>
    <w:p w14:paraId="5F6FD4E8">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景区道路系统规划</w:t>
      </w:r>
    </w:p>
    <w:p w14:paraId="7EAEC89A">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1、车行交通</w:t>
      </w:r>
    </w:p>
    <w:p w14:paraId="682E570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对外交通</w:t>
      </w:r>
    </w:p>
    <w:p w14:paraId="510F9F8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主要指G318，按照国道的建设标准进行升级改造，方便游客到达岗云杉林生态旅游景区。游客高铁到达或自驾游客可停车至高铁站，乘坐云杉专列（依托城乡公交进行打造）到岗巴游客中心和巴卡村检票口进行景区换乘。</w:t>
      </w:r>
    </w:p>
    <w:p w14:paraId="4A2F53E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旅游公路</w:t>
      </w:r>
    </w:p>
    <w:p w14:paraId="1A90734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规划景区旅游公路从景区两侧进入</w:t>
      </w:r>
      <w:r>
        <w:rPr>
          <w:rFonts w:hint="eastAsia" w:ascii="Times New Roman" w:hAnsi="Times New Roman" w:cs="Times New Roman"/>
          <w:bCs/>
          <w:color w:val="auto"/>
          <w:kern w:val="0"/>
          <w:sz w:val="24"/>
          <w:highlight w:val="none"/>
          <w:lang w:eastAsia="zh-CN"/>
        </w:rPr>
        <w:t>，</w:t>
      </w:r>
      <w:r>
        <w:rPr>
          <w:rFonts w:hint="eastAsia" w:ascii="Times New Roman" w:hAnsi="Times New Roman" w:cs="Times New Roman"/>
          <w:bCs/>
          <w:color w:val="auto"/>
          <w:kern w:val="0"/>
          <w:sz w:val="24"/>
          <w:highlight w:val="none"/>
          <w:lang w:val="en-US" w:eastAsia="zh-CN"/>
        </w:rPr>
        <w:t>依托现有道路进行提升改造，不新建</w:t>
      </w:r>
      <w:r>
        <w:rPr>
          <w:rFonts w:hint="default" w:ascii="Times New Roman" w:hAnsi="Times New Roman" w:cs="Times New Roman"/>
          <w:bCs/>
          <w:color w:val="auto"/>
          <w:kern w:val="0"/>
          <w:sz w:val="24"/>
          <w:highlight w:val="none"/>
        </w:rPr>
        <w:t>，分别为西侧（巴卡大桥—巴卡检票口）长2.5公里，宽6.0米，双向2车道；东侧（岗巴大桥-岗巴游客中心）长9.5公里，宽7.0米，双向2车道。</w:t>
      </w:r>
    </w:p>
    <w:p w14:paraId="2FF71BA2">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布置图详见</w:t>
      </w:r>
      <w:r>
        <w:rPr>
          <w:rFonts w:hint="default" w:ascii="Times New Roman" w:hAnsi="Times New Roman" w:cs="Times New Roman"/>
          <w:bCs/>
          <w:color w:val="auto"/>
          <w:kern w:val="0"/>
          <w:sz w:val="24"/>
          <w:highlight w:val="none"/>
          <w:lang w:val="en-US" w:eastAsia="zh-CN"/>
        </w:rPr>
        <w:t>附图</w:t>
      </w:r>
      <w:r>
        <w:rPr>
          <w:rFonts w:hint="default" w:ascii="Times New Roman" w:hAnsi="Times New Roman" w:cs="Times New Roman"/>
          <w:bCs/>
          <w:color w:val="auto"/>
          <w:kern w:val="0"/>
          <w:sz w:val="24"/>
          <w:highlight w:val="none"/>
          <w:lang w:val="en-US" w:eastAsia="zh-CN"/>
        </w:rPr>
        <w:t>。</w:t>
      </w:r>
    </w:p>
    <w:p w14:paraId="2AFE9D07">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lang w:val="en-US" w:eastAsia="zh-CN"/>
        </w:rPr>
        <w:t>2</w:t>
      </w:r>
      <w:r>
        <w:rPr>
          <w:rFonts w:hint="default" w:ascii="Times New Roman" w:hAnsi="Times New Roman" w:cs="Times New Roman"/>
          <w:b/>
          <w:bCs w:val="0"/>
          <w:color w:val="auto"/>
          <w:kern w:val="0"/>
          <w:sz w:val="24"/>
          <w:highlight w:val="none"/>
        </w:rPr>
        <w:t>、特色游憩交通</w:t>
      </w:r>
    </w:p>
    <w:p w14:paraId="1FB1859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生态观光车道</w:t>
      </w:r>
    </w:p>
    <w:p w14:paraId="592E51F2">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eastAsia" w:ascii="Times New Roman" w:hAnsi="Times New Roman" w:cs="Times New Roman"/>
          <w:bCs/>
          <w:color w:val="auto"/>
          <w:kern w:val="0"/>
          <w:sz w:val="24"/>
          <w:highlight w:val="none"/>
          <w:lang w:val="en-US" w:eastAsia="zh-CN"/>
        </w:rPr>
        <w:t>对现状道路进行提升改造。</w:t>
      </w:r>
    </w:p>
    <w:p w14:paraId="281E311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岗巴段：规划生态观光车道（岗巴游客中心—岗巴检票口），总长4.5公里，道路宽度7.0米。</w:t>
      </w:r>
    </w:p>
    <w:p w14:paraId="0136015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巴卡段：规划生态观光车道（巴卡检票口—达美客栈节点），总长3.0公里，道路宽度6.0米。</w:t>
      </w:r>
    </w:p>
    <w:p w14:paraId="71BFF86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徒步线路</w:t>
      </w:r>
    </w:p>
    <w:p w14:paraId="5B29B31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依托岗云杉林生态旅游景区现有徒步线路基础，进行线路景观提升、主题植入、环境营造，沿途设置观景平台、休闲座椅、徒步补给站、安全警示牌等设施设备，为徒步爱好者打造一条内涵丰富、主题鲜明、户外安全的徒步线路，总长约8公里。</w:t>
      </w:r>
    </w:p>
    <w:p w14:paraId="69BD9FE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3</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生态栈道</w:t>
      </w:r>
    </w:p>
    <w:p w14:paraId="2FCF611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规划在草湖北侧保留现有生态栈道，长400米。</w:t>
      </w:r>
    </w:p>
    <w:p w14:paraId="10BF552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4</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水上游览线路</w:t>
      </w:r>
    </w:p>
    <w:p w14:paraId="23BC0A4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草湖区域开展水上皮划艇项目，进行水上环保垃圾清理、保护草湖水环境</w:t>
      </w:r>
      <w:r>
        <w:rPr>
          <w:rFonts w:hint="eastAsia"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水上线路长约1.0公里。</w:t>
      </w:r>
    </w:p>
    <w:p w14:paraId="45A2CC7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val="en-US" w:eastAsia="zh-CN"/>
        </w:rPr>
        <w:t>布置图详见</w:t>
      </w:r>
      <w:r>
        <w:rPr>
          <w:rFonts w:hint="default" w:ascii="Times New Roman" w:hAnsi="Times New Roman" w:cs="Times New Roman"/>
          <w:bCs/>
          <w:color w:val="auto"/>
          <w:kern w:val="0"/>
          <w:sz w:val="24"/>
          <w:highlight w:val="none"/>
          <w:lang w:val="en-US" w:eastAsia="zh-CN"/>
        </w:rPr>
        <w:t>附图</w:t>
      </w:r>
      <w:r>
        <w:rPr>
          <w:rFonts w:hint="default" w:ascii="Times New Roman" w:hAnsi="Times New Roman" w:cs="Times New Roman"/>
          <w:bCs/>
          <w:color w:val="auto"/>
          <w:kern w:val="0"/>
          <w:sz w:val="24"/>
          <w:highlight w:val="none"/>
          <w:lang w:val="en-US" w:eastAsia="zh-CN"/>
        </w:rPr>
        <w:t>。</w:t>
      </w:r>
    </w:p>
    <w:p w14:paraId="0E483C17">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道路等级与交通设施规划</w:t>
      </w:r>
    </w:p>
    <w:p w14:paraId="50D36B77">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1、道路等级</w:t>
      </w:r>
    </w:p>
    <w:p w14:paraId="2FC43D6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本次规划将景区道路分为干路、支路和游步道三个等级。</w:t>
      </w:r>
    </w:p>
    <w:p w14:paraId="49F9DE5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干路</w:t>
      </w:r>
    </w:p>
    <w:p w14:paraId="277EF3E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以巴卡大桥至达美客栈，岗巴大桥至岗巴检票口的旅游公路形成景区的干路，远期规划为沥青路面，道路宽度分别为6.0米和7.0米，均为一块板，双向车道。</w:t>
      </w:r>
    </w:p>
    <w:p w14:paraId="26F32D3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支路</w:t>
      </w:r>
    </w:p>
    <w:p w14:paraId="1922D03E">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由干路接入巴卡村和岗巴村内部的道路作为景区内部的支路，远期规划为水泥混凝土路面，宽4.0米，一块板。</w:t>
      </w:r>
    </w:p>
    <w:p w14:paraId="1A280A7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3</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游步道</w:t>
      </w:r>
    </w:p>
    <w:p w14:paraId="4FB5FD5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景区内各景点内部游览步道为卵石或就地取材进行路面处理，宽1.5-1.8米。</w:t>
      </w:r>
    </w:p>
    <w:p w14:paraId="4D4CB7A5">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2、交通设施规划</w:t>
      </w:r>
    </w:p>
    <w:p w14:paraId="3F0C8FC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停车场</w:t>
      </w:r>
    </w:p>
    <w:p w14:paraId="455A89B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规划在岗巴游客中心、岗巴检票口、巴卡检票口、低碳研学营（达美客栈）保留现状4处停车场，提升打造为生态停车场，同时作为旅游大巴车、观光车的停靠点。规划新增2处生态停车场，1处位于景区游客服务中心，1处位于喜德林卡。</w:t>
      </w:r>
    </w:p>
    <w:p w14:paraId="5DB3BFB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招呼站</w:t>
      </w:r>
    </w:p>
    <w:p w14:paraId="11ADD35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规划在巴卡村观光车线路中间与徒步线路交叉口位置新增观光车招呼站1处。</w:t>
      </w:r>
    </w:p>
    <w:p w14:paraId="33785340">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rPr>
        <w:t>道路等级与交通设施规划</w:t>
      </w:r>
      <w:r>
        <w:rPr>
          <w:rFonts w:hint="default" w:ascii="Times New Roman" w:hAnsi="Times New Roman" w:cs="Times New Roman"/>
          <w:bCs/>
          <w:color w:val="auto"/>
          <w:kern w:val="0"/>
          <w:sz w:val="24"/>
          <w:highlight w:val="none"/>
          <w:lang w:val="en-US" w:eastAsia="zh-CN"/>
        </w:rPr>
        <w:t>图见附图。</w:t>
      </w:r>
    </w:p>
    <w:p w14:paraId="77B4FF46">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竖向工程规划</w:t>
      </w:r>
    </w:p>
    <w:p w14:paraId="0E040B25">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1、规划原则</w:t>
      </w:r>
    </w:p>
    <w:p w14:paraId="397F6FD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尊重自然地形、自然高程，考虑供水、雨水、污水和管线综合等要求。</w:t>
      </w:r>
    </w:p>
    <w:p w14:paraId="78346E0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保证场地不受洪水威胁，做好周边防洪工程，使景区内雨水能顺利排放。</w:t>
      </w:r>
    </w:p>
    <w:p w14:paraId="274681C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3</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尽量减少土石方工程量，景区内做到填挖基本平衡，避免土石方远距离运输。</w:t>
      </w:r>
    </w:p>
    <w:p w14:paraId="54F4DD6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4</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满足道路布局合理的技术要求。</w:t>
      </w:r>
    </w:p>
    <w:p w14:paraId="00500D23">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2、一般规定</w:t>
      </w:r>
    </w:p>
    <w:p w14:paraId="6806CF8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规划地面形式</w:t>
      </w:r>
    </w:p>
    <w:p w14:paraId="72EE020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根据用地的性质和功能，结合自然地形，规划地面形式可分为平坡式、台阶式和混合式。用地自然坡度小于5%时，宜规划为平坡式；用地自然坡度大于8%时，宜规划为台阶式，台地的高度宜为1.5-3.0m。</w:t>
      </w:r>
    </w:p>
    <w:p w14:paraId="2C02C33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规划坡度</w:t>
      </w:r>
    </w:p>
    <w:p w14:paraId="3AE79E9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新建游客服务中心、岗巴检票口和达美客栈，建设用地均较为平坦，建设相对集中，规划坡度参照《城市竖向工程规划标准》的规定，巴卡村和岗巴村组团干路坡度宜控制在0.3%-5%，极端情况不超过6%，其余道路坡度按照0.3%-8%控制。</w:t>
      </w:r>
    </w:p>
    <w:p w14:paraId="492A196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3</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竖向与平面布局</w:t>
      </w:r>
    </w:p>
    <w:p w14:paraId="66653DB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用地选择及用地布局应充分考虑竖向规划的要求，并应符合下列规定：景区建设用地应选择地质及防洪排涝条件较好且相对平坦和完整的用地，自然坡度应小于15%；居住用地应选择向阳、通风条件好的用地，自然坡度应小于30%；开敞空间宜利用填方较大的区域。</w:t>
      </w:r>
    </w:p>
    <w:p w14:paraId="3014720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4</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土石方与防护工程</w:t>
      </w:r>
    </w:p>
    <w:p w14:paraId="276942DD">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cs="Times New Roman"/>
          <w:bCs/>
          <w:color w:val="auto"/>
          <w:kern w:val="0"/>
          <w:sz w:val="24"/>
          <w:highlight w:val="none"/>
        </w:rPr>
        <w:t>防护工程的设置应符合下列规定：台阶式用地的台阶之间应用护坡或挡土墙连接，相邻台地间高差大于1.5m时，应在挡土墙或坡比值大于0.5的护坡顶加设安全防护设施；土质护坡的坡比值应小于或等于0.5；砌筑型护坡的坡比值宜为0.5-1.0；人口密度大、工程地质条件差、降雨量多的村庄段，不宜采用土质护坡；挡土墙的高度宜为1.5-3.0m，超过6.0m时宜退台处理，退台宽度不应小于1.0m；在条件许可时，挡土墙宜以1.5m左右高度退台</w:t>
      </w:r>
      <w:r>
        <w:rPr>
          <w:rFonts w:hint="default" w:ascii="Times New Roman" w:hAnsi="Times New Roman" w:cs="Times New Roman"/>
          <w:bCs/>
          <w:color w:val="auto"/>
          <w:kern w:val="0"/>
          <w:sz w:val="24"/>
          <w:highlight w:val="none"/>
          <w:lang w:eastAsia="zh-CN"/>
        </w:rPr>
        <w:t>。</w:t>
      </w:r>
    </w:p>
    <w:p w14:paraId="52D039B4">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市政</w:t>
      </w:r>
      <w:r>
        <w:rPr>
          <w:rFonts w:hint="default" w:ascii="Times New Roman" w:hAnsi="Times New Roman" w:cs="Times New Roman"/>
          <w:color w:val="auto"/>
          <w:highlight w:val="none"/>
          <w:lang w:val="en-US" w:eastAsia="zh-CN"/>
        </w:rPr>
        <w:t>基础设施</w:t>
      </w:r>
      <w:r>
        <w:rPr>
          <w:rFonts w:hint="default" w:ascii="Times New Roman" w:hAnsi="Times New Roman" w:cs="Times New Roman"/>
          <w:color w:val="auto"/>
          <w:highlight w:val="none"/>
        </w:rPr>
        <w:t>规划</w:t>
      </w:r>
    </w:p>
    <w:p w14:paraId="43B3C7FA">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给水工程规划</w:t>
      </w:r>
    </w:p>
    <w:p w14:paraId="468E86F6">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1、用水量预测</w:t>
      </w:r>
    </w:p>
    <w:p w14:paraId="31521B0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（1）综合生活用水量</w:t>
      </w:r>
    </w:p>
    <w:p w14:paraId="721BABAF">
      <w:pPr>
        <w:pStyle w:val="28"/>
        <w:tabs>
          <w:tab w:val="left" w:pos="840"/>
        </w:tabs>
        <w:spacing w:line="360" w:lineRule="auto"/>
        <w:ind w:firstLine="480" w:firstLineChars="200"/>
        <w:rPr>
          <w:rFonts w:hint="default" w:ascii="Times New Roman" w:hAnsi="Times New Roman" w:cs="Times New Roman"/>
          <w:bCs/>
          <w:color w:val="auto"/>
          <w:kern w:val="0"/>
          <w:sz w:val="24"/>
          <w:szCs w:val="24"/>
          <w:highlight w:val="none"/>
          <w:lang w:val="en-US" w:eastAsia="zh-CN"/>
        </w:rPr>
      </w:pPr>
      <w:r>
        <w:rPr>
          <w:rFonts w:hint="default" w:ascii="Times New Roman" w:hAnsi="Times New Roman" w:cs="Times New Roman"/>
          <w:color w:val="auto"/>
          <w:spacing w:val="0"/>
          <w:kern w:val="24"/>
          <w:sz w:val="24"/>
          <w:szCs w:val="24"/>
          <w:highlight w:val="none"/>
        </w:rPr>
        <w:t>景区中期水资源需求量为</w:t>
      </w:r>
      <w:r>
        <w:rPr>
          <w:rFonts w:hint="default" w:ascii="Times New Roman" w:hAnsi="Times New Roman" w:cs="Times New Roman"/>
          <w:color w:val="auto"/>
          <w:spacing w:val="0"/>
          <w:kern w:val="24"/>
          <w:sz w:val="24"/>
          <w:szCs w:val="24"/>
          <w:highlight w:val="none"/>
        </w:rPr>
        <w:t>21158.35m</w:t>
      </w:r>
      <w:r>
        <w:rPr>
          <w:rFonts w:hint="default" w:ascii="Times New Roman" w:hAnsi="Times New Roman" w:cs="Times New Roman"/>
          <w:color w:val="auto"/>
          <w:spacing w:val="0"/>
          <w:kern w:val="24"/>
          <w:sz w:val="24"/>
          <w:szCs w:val="24"/>
          <w:highlight w:val="none"/>
          <w:vertAlign w:val="superscript"/>
        </w:rPr>
        <w:t>3</w:t>
      </w:r>
      <w:r>
        <w:rPr>
          <w:rFonts w:hint="default" w:ascii="Times New Roman" w:hAnsi="Times New Roman" w:cs="Times New Roman"/>
          <w:color w:val="auto"/>
          <w:spacing w:val="0"/>
          <w:kern w:val="24"/>
          <w:sz w:val="24"/>
          <w:szCs w:val="24"/>
          <w:highlight w:val="none"/>
        </w:rPr>
        <w:t>/a，远期水资源需求量为</w:t>
      </w:r>
      <w:r>
        <w:rPr>
          <w:rFonts w:hint="default" w:ascii="Times New Roman" w:hAnsi="Times New Roman" w:eastAsia="宋体" w:cs="Times New Roman"/>
          <w:color w:val="auto"/>
          <w:spacing w:val="0"/>
          <w:kern w:val="24"/>
          <w:sz w:val="24"/>
          <w:szCs w:val="24"/>
          <w:highlight w:val="none"/>
          <w:lang w:val="en-US" w:eastAsia="zh-CN"/>
        </w:rPr>
        <w:t>34966.61</w:t>
      </w:r>
      <w:r>
        <w:rPr>
          <w:rFonts w:hint="default" w:ascii="Times New Roman" w:hAnsi="Times New Roman" w:eastAsia="宋体" w:cs="Times New Roman"/>
          <w:color w:val="auto"/>
          <w:spacing w:val="0"/>
          <w:kern w:val="24"/>
          <w:sz w:val="24"/>
          <w:szCs w:val="24"/>
          <w:highlight w:val="none"/>
        </w:rPr>
        <w:t>m</w:t>
      </w:r>
      <w:r>
        <w:rPr>
          <w:rFonts w:hint="default" w:ascii="Times New Roman" w:hAnsi="Times New Roman" w:cs="Times New Roman"/>
          <w:color w:val="auto"/>
          <w:spacing w:val="0"/>
          <w:kern w:val="24"/>
          <w:sz w:val="24"/>
          <w:szCs w:val="24"/>
          <w:highlight w:val="none"/>
          <w:vertAlign w:val="superscript"/>
        </w:rPr>
        <w:t>3</w:t>
      </w:r>
      <w:r>
        <w:rPr>
          <w:rFonts w:hint="default" w:ascii="Times New Roman" w:hAnsi="Times New Roman" w:cs="Times New Roman"/>
          <w:color w:val="auto"/>
          <w:spacing w:val="0"/>
          <w:kern w:val="24"/>
          <w:sz w:val="24"/>
          <w:szCs w:val="24"/>
          <w:highlight w:val="none"/>
        </w:rPr>
        <w:t>/a；景区中期旅游旺季时水资源需求量为</w:t>
      </w:r>
      <w:r>
        <w:rPr>
          <w:rFonts w:hint="default" w:ascii="Times New Roman" w:hAnsi="Times New Roman" w:cs="Times New Roman"/>
          <w:color w:val="auto"/>
          <w:spacing w:val="0"/>
          <w:kern w:val="24"/>
          <w:sz w:val="24"/>
          <w:szCs w:val="24"/>
          <w:highlight w:val="none"/>
          <w:lang w:val="en-US" w:eastAsia="zh-CN"/>
        </w:rPr>
        <w:t>82.05</w:t>
      </w:r>
      <w:r>
        <w:rPr>
          <w:rFonts w:hint="default" w:ascii="Times New Roman" w:hAnsi="Times New Roman" w:cs="Times New Roman"/>
          <w:color w:val="auto"/>
          <w:spacing w:val="0"/>
          <w:kern w:val="24"/>
          <w:sz w:val="24"/>
          <w:szCs w:val="24"/>
          <w:highlight w:val="none"/>
        </w:rPr>
        <w:t>m</w:t>
      </w:r>
      <w:r>
        <w:rPr>
          <w:rFonts w:hint="default" w:ascii="Times New Roman" w:hAnsi="Times New Roman" w:cs="Times New Roman"/>
          <w:color w:val="auto"/>
          <w:spacing w:val="0"/>
          <w:kern w:val="24"/>
          <w:sz w:val="24"/>
          <w:szCs w:val="24"/>
          <w:highlight w:val="none"/>
          <w:vertAlign w:val="superscript"/>
        </w:rPr>
        <w:t>3</w:t>
      </w:r>
      <w:r>
        <w:rPr>
          <w:rFonts w:hint="default" w:ascii="Times New Roman" w:hAnsi="Times New Roman" w:cs="Times New Roman"/>
          <w:color w:val="auto"/>
          <w:spacing w:val="0"/>
          <w:kern w:val="24"/>
          <w:sz w:val="24"/>
          <w:szCs w:val="24"/>
          <w:highlight w:val="none"/>
        </w:rPr>
        <w:t>/d，景区远期旅游旺季时水资源需求量为15</w:t>
      </w:r>
      <w:r>
        <w:rPr>
          <w:rFonts w:hint="default" w:ascii="Times New Roman" w:hAnsi="Times New Roman" w:cs="Times New Roman"/>
          <w:color w:val="auto"/>
          <w:spacing w:val="0"/>
          <w:kern w:val="24"/>
          <w:sz w:val="24"/>
          <w:szCs w:val="24"/>
          <w:highlight w:val="none"/>
          <w:lang w:val="en-US" w:eastAsia="zh-CN"/>
        </w:rPr>
        <w:t>7.31</w:t>
      </w:r>
      <w:r>
        <w:rPr>
          <w:rFonts w:hint="default" w:ascii="Times New Roman" w:hAnsi="Times New Roman" w:cs="Times New Roman"/>
          <w:color w:val="auto"/>
          <w:spacing w:val="0"/>
          <w:kern w:val="24"/>
          <w:sz w:val="24"/>
          <w:szCs w:val="24"/>
          <w:highlight w:val="none"/>
        </w:rPr>
        <w:t>m</w:t>
      </w:r>
      <w:r>
        <w:rPr>
          <w:rFonts w:hint="default" w:ascii="Times New Roman" w:hAnsi="Times New Roman" w:cs="Times New Roman"/>
          <w:color w:val="auto"/>
          <w:spacing w:val="0"/>
          <w:kern w:val="24"/>
          <w:sz w:val="24"/>
          <w:szCs w:val="24"/>
          <w:highlight w:val="none"/>
          <w:vertAlign w:val="superscript"/>
        </w:rPr>
        <w:t>3</w:t>
      </w:r>
      <w:r>
        <w:rPr>
          <w:rFonts w:hint="default" w:ascii="Times New Roman" w:hAnsi="Times New Roman" w:cs="Times New Roman"/>
          <w:color w:val="auto"/>
          <w:spacing w:val="0"/>
          <w:kern w:val="24"/>
          <w:sz w:val="24"/>
          <w:szCs w:val="24"/>
          <w:highlight w:val="none"/>
        </w:rPr>
        <w:t>/d</w:t>
      </w:r>
      <w:r>
        <w:rPr>
          <w:rFonts w:hint="default" w:ascii="Times New Roman" w:hAnsi="Times New Roman" w:cs="Times New Roman"/>
          <w:color w:val="auto"/>
          <w:spacing w:val="0"/>
          <w:kern w:val="24"/>
          <w:sz w:val="24"/>
          <w:szCs w:val="24"/>
          <w:highlight w:val="none"/>
        </w:rPr>
        <w:t>。</w:t>
      </w:r>
    </w:p>
    <w:p w14:paraId="26BF5AC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（2）市政用水量</w:t>
      </w:r>
    </w:p>
    <w:p w14:paraId="68F02CE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清洗浇洒道路、绿地及市政用水由中水系统解决。</w:t>
      </w:r>
    </w:p>
    <w:p w14:paraId="6482E56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（3）管网漏损及未预见水量预测</w:t>
      </w:r>
    </w:p>
    <w:p w14:paraId="4838113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加强管网维护与更新，按照节约用水、提高用水效率，降低管网漏失量。管网漏损及未预见水量按总需水量的5%计算。</w:t>
      </w:r>
    </w:p>
    <w:p w14:paraId="39EF498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（3）消防用水</w:t>
      </w:r>
    </w:p>
    <w:p w14:paraId="075E511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消防用水量，以同一时间的火灾次数为2次，一次灭火用水量为25L/s，2小时消防历时的最不利情况，用水量为360m</w:t>
      </w:r>
      <w:r>
        <w:rPr>
          <w:rFonts w:hint="default" w:ascii="Times New Roman" w:hAnsi="Times New Roman" w:cs="Times New Roman"/>
          <w:bCs/>
          <w:color w:val="auto"/>
          <w:kern w:val="0"/>
          <w:sz w:val="24"/>
          <w:highlight w:val="none"/>
          <w:vertAlign w:val="superscript"/>
          <w:lang w:val="en-US" w:eastAsia="zh-CN"/>
        </w:rPr>
        <w:t>3</w:t>
      </w:r>
      <w:r>
        <w:rPr>
          <w:rFonts w:hint="default" w:ascii="Times New Roman" w:hAnsi="Times New Roman" w:cs="Times New Roman"/>
          <w:bCs/>
          <w:color w:val="auto"/>
          <w:kern w:val="0"/>
          <w:sz w:val="24"/>
          <w:highlight w:val="none"/>
          <w:lang w:val="en-US" w:eastAsia="zh-CN"/>
        </w:rPr>
        <w:t>。</w:t>
      </w:r>
    </w:p>
    <w:p w14:paraId="10B2B6F5">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2、水源选择</w:t>
      </w:r>
    </w:p>
    <w:p w14:paraId="2533D5F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以巴卡村、岗巴村、扎木村高位水池作为主水源（山泉水），在游客中心北侧新增1处高位水池。</w:t>
      </w:r>
    </w:p>
    <w:p w14:paraId="393F27C3">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3、给水管网规划</w:t>
      </w:r>
    </w:p>
    <w:p w14:paraId="7245A06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供水管主管径为DN300，支管管径为DN200，给水管网系统采用生活、消防共用模式。</w:t>
      </w:r>
    </w:p>
    <w:p w14:paraId="5A47346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给水工程规划图见附图。</w:t>
      </w:r>
    </w:p>
    <w:p w14:paraId="01241FAA">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排水工程规划</w:t>
      </w:r>
    </w:p>
    <w:p w14:paraId="1F5CC9BA">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1、现状概况及存在的主要问题</w:t>
      </w:r>
    </w:p>
    <w:p w14:paraId="2549ABF5">
      <w:pPr>
        <w:pStyle w:val="28"/>
        <w:tabs>
          <w:tab w:val="left" w:pos="840"/>
        </w:tabs>
        <w:spacing w:line="360" w:lineRule="auto"/>
        <w:ind w:firstLine="480" w:firstLineChars="200"/>
        <w:rPr>
          <w:rFonts w:hint="default" w:ascii="Times New Roman" w:hAnsi="Times New Roman" w:cs="Times New Roman"/>
          <w:b w:val="0"/>
          <w:bCs/>
          <w:color w:val="auto"/>
          <w:kern w:val="0"/>
          <w:sz w:val="24"/>
          <w:highlight w:val="none"/>
          <w:lang w:val="en-US" w:eastAsia="zh-CN"/>
        </w:rPr>
      </w:pPr>
      <w:r>
        <w:rPr>
          <w:rFonts w:hint="default" w:ascii="Times New Roman" w:hAnsi="Times New Roman" w:cs="Times New Roman"/>
          <w:b w:val="0"/>
          <w:bCs/>
          <w:color w:val="auto"/>
          <w:kern w:val="0"/>
          <w:sz w:val="24"/>
          <w:highlight w:val="none"/>
          <w:lang w:val="en-US" w:eastAsia="zh-CN"/>
        </w:rPr>
        <w:t>规划区已实施“清污分流、雨污分流”。</w:t>
      </w:r>
      <w:r>
        <w:rPr>
          <w:rFonts w:hint="default" w:ascii="Times New Roman" w:hAnsi="Times New Roman" w:cs="Times New Roman"/>
          <w:b w:val="0"/>
          <w:bCs/>
          <w:color w:val="auto"/>
          <w:kern w:val="0"/>
          <w:sz w:val="24"/>
          <w:highlight w:val="none"/>
          <w:lang w:val="en-US" w:eastAsia="zh-CN"/>
        </w:rPr>
        <w:t>雨水汇流至道路沿线排水沟，最终经排水沟排入帕隆藏布支流。居民、游客生活污水与先经隔油池预处理的餐饮废水进入各个区域设置的旱厕（化粪池）、一体化生活污水处理装置处理后用作周边林草地、耕地施肥</w:t>
      </w:r>
      <w:r>
        <w:rPr>
          <w:rFonts w:hint="eastAsia" w:ascii="Times New Roman" w:hAnsi="Times New Roman" w:cs="Times New Roman"/>
          <w:b w:val="0"/>
          <w:bCs/>
          <w:color w:val="auto"/>
          <w:kern w:val="0"/>
          <w:sz w:val="24"/>
          <w:highlight w:val="none"/>
          <w:lang w:val="en-US" w:eastAsia="zh-CN"/>
        </w:rPr>
        <w:t>。</w:t>
      </w:r>
    </w:p>
    <w:p w14:paraId="58A3B44E">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2、排水体制选择</w:t>
      </w:r>
    </w:p>
    <w:p w14:paraId="0757355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规划区排水体制采用雨污分流制，雨污合流系统逐步更新为雨污分流系统。</w:t>
      </w:r>
    </w:p>
    <w:p w14:paraId="084FA6CA">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3、雨水工程规划</w:t>
      </w:r>
    </w:p>
    <w:p w14:paraId="002677D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按照顺应道路坡向，就近分散排放的原则，收集降水排入排涝沟渠、帕隆藏布或地势低洼的坑塘。规划区地势高差较理想，道路坡度大，无需敷设雨水管道，采用雨水沟排水。雨水排水沟渠的纵坡不应小于0.3%，暗沟和明渠的底宽为250毫米，深度为300毫米。在砌筑雨水排水沟渠时，可以选择使用混凝、砖石或条石等地方材料。</w:t>
      </w:r>
    </w:p>
    <w:p w14:paraId="41638002">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4、污水工程规划</w:t>
      </w:r>
    </w:p>
    <w:p w14:paraId="7B83E72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（1）污水量预测</w:t>
      </w:r>
    </w:p>
    <w:p w14:paraId="6FE994A9">
      <w:pPr>
        <w:pStyle w:val="28"/>
        <w:tabs>
          <w:tab w:val="left" w:pos="840"/>
        </w:tabs>
        <w:spacing w:line="360" w:lineRule="auto"/>
        <w:ind w:firstLine="480" w:firstLineChars="200"/>
        <w:rPr>
          <w:rFonts w:hint="default" w:ascii="Times New Roman" w:hAnsi="Times New Roman" w:cs="Times New Roman"/>
          <w:bCs/>
          <w:color w:val="auto"/>
          <w:kern w:val="0"/>
          <w:sz w:val="24"/>
          <w:szCs w:val="24"/>
          <w:highlight w:val="none"/>
          <w:lang w:val="en-US" w:eastAsia="zh-CN"/>
        </w:rPr>
      </w:pPr>
      <w:r>
        <w:rPr>
          <w:rFonts w:hint="default" w:ascii="Times New Roman" w:hAnsi="Times New Roman" w:cs="Times New Roman"/>
          <w:bCs/>
          <w:color w:val="auto"/>
          <w:kern w:val="0"/>
          <w:sz w:val="24"/>
          <w:szCs w:val="24"/>
          <w:highlight w:val="none"/>
          <w:lang w:val="en-US" w:eastAsia="zh-CN"/>
        </w:rPr>
        <w:t>根据后文计算，</w:t>
      </w:r>
      <w:r>
        <w:rPr>
          <w:rFonts w:hint="default" w:ascii="Times New Roman" w:hAnsi="Times New Roman" w:cs="Times New Roman"/>
          <w:color w:val="auto"/>
          <w:spacing w:val="0"/>
          <w:kern w:val="24"/>
          <w:sz w:val="24"/>
          <w:szCs w:val="24"/>
          <w:highlight w:val="none"/>
        </w:rPr>
        <w:t>一般情况下20</w:t>
      </w:r>
      <w:r>
        <w:rPr>
          <w:rFonts w:hint="default" w:ascii="Times New Roman" w:hAnsi="Times New Roman" w:cs="Times New Roman"/>
          <w:color w:val="auto"/>
          <w:spacing w:val="0"/>
          <w:kern w:val="24"/>
          <w:sz w:val="24"/>
          <w:szCs w:val="24"/>
          <w:highlight w:val="none"/>
          <w:lang w:val="en-US" w:eastAsia="zh-CN"/>
        </w:rPr>
        <w:t>30</w:t>
      </w:r>
      <w:r>
        <w:rPr>
          <w:rFonts w:hint="default" w:ascii="Times New Roman" w:hAnsi="Times New Roman" w:cs="Times New Roman"/>
          <w:color w:val="auto"/>
          <w:spacing w:val="0"/>
          <w:kern w:val="24"/>
          <w:sz w:val="24"/>
          <w:szCs w:val="24"/>
          <w:highlight w:val="none"/>
        </w:rPr>
        <w:t>年废水产生量为</w:t>
      </w:r>
      <w:r>
        <w:rPr>
          <w:rFonts w:hint="default" w:ascii="Times New Roman" w:hAnsi="Times New Roman" w:cs="Times New Roman"/>
          <w:color w:val="auto"/>
          <w:spacing w:val="0"/>
          <w:kern w:val="24"/>
          <w:sz w:val="24"/>
          <w:szCs w:val="24"/>
          <w:highlight w:val="none"/>
          <w:lang w:val="en-US" w:eastAsia="zh-CN"/>
        </w:rPr>
        <w:t>55.51</w:t>
      </w:r>
      <w:r>
        <w:rPr>
          <w:rFonts w:hint="default" w:ascii="Times New Roman" w:hAnsi="Times New Roman" w:cs="Times New Roman"/>
          <w:color w:val="auto"/>
          <w:spacing w:val="0"/>
          <w:kern w:val="24"/>
          <w:sz w:val="24"/>
          <w:szCs w:val="24"/>
          <w:highlight w:val="none"/>
        </w:rPr>
        <w:t>m</w:t>
      </w:r>
      <w:r>
        <w:rPr>
          <w:rFonts w:hint="default" w:ascii="Times New Roman" w:hAnsi="Times New Roman" w:cs="Times New Roman"/>
          <w:color w:val="auto"/>
          <w:spacing w:val="0"/>
          <w:kern w:val="24"/>
          <w:sz w:val="24"/>
          <w:szCs w:val="24"/>
          <w:highlight w:val="none"/>
          <w:vertAlign w:val="superscript"/>
        </w:rPr>
        <w:t>3</w:t>
      </w:r>
      <w:r>
        <w:rPr>
          <w:rFonts w:hint="default" w:ascii="Times New Roman" w:hAnsi="Times New Roman" w:cs="Times New Roman"/>
          <w:color w:val="auto"/>
          <w:spacing w:val="0"/>
          <w:kern w:val="24"/>
          <w:sz w:val="24"/>
          <w:szCs w:val="24"/>
          <w:highlight w:val="none"/>
        </w:rPr>
        <w:t>/d，20</w:t>
      </w:r>
      <w:r>
        <w:rPr>
          <w:rFonts w:hint="default" w:ascii="Times New Roman" w:hAnsi="Times New Roman" w:cs="Times New Roman"/>
          <w:color w:val="auto"/>
          <w:spacing w:val="0"/>
          <w:kern w:val="24"/>
          <w:sz w:val="24"/>
          <w:szCs w:val="24"/>
          <w:highlight w:val="none"/>
          <w:lang w:val="en-US" w:eastAsia="zh-CN"/>
        </w:rPr>
        <w:t>35</w:t>
      </w:r>
      <w:r>
        <w:rPr>
          <w:rFonts w:hint="default" w:ascii="Times New Roman" w:hAnsi="Times New Roman" w:cs="Times New Roman"/>
          <w:color w:val="auto"/>
          <w:spacing w:val="0"/>
          <w:kern w:val="24"/>
          <w:sz w:val="24"/>
          <w:szCs w:val="24"/>
          <w:highlight w:val="none"/>
        </w:rPr>
        <w:t>年废水产生量为</w:t>
      </w:r>
      <w:r>
        <w:rPr>
          <w:rFonts w:hint="default" w:ascii="Times New Roman" w:hAnsi="Times New Roman" w:cs="Times New Roman"/>
          <w:color w:val="auto"/>
          <w:spacing w:val="0"/>
          <w:kern w:val="24"/>
          <w:sz w:val="24"/>
          <w:szCs w:val="24"/>
          <w:highlight w:val="none"/>
          <w:lang w:val="en-US" w:eastAsia="zh-CN"/>
        </w:rPr>
        <w:t>100.60</w:t>
      </w:r>
      <w:r>
        <w:rPr>
          <w:rFonts w:hint="default" w:ascii="Times New Roman" w:hAnsi="Times New Roman" w:cs="Times New Roman"/>
          <w:color w:val="auto"/>
          <w:spacing w:val="0"/>
          <w:kern w:val="24"/>
          <w:sz w:val="24"/>
          <w:szCs w:val="24"/>
          <w:highlight w:val="none"/>
        </w:rPr>
        <w:t>m</w:t>
      </w:r>
      <w:r>
        <w:rPr>
          <w:rFonts w:hint="default" w:ascii="Times New Roman" w:hAnsi="Times New Roman" w:cs="Times New Roman"/>
          <w:color w:val="auto"/>
          <w:spacing w:val="0"/>
          <w:kern w:val="24"/>
          <w:sz w:val="24"/>
          <w:szCs w:val="24"/>
          <w:highlight w:val="none"/>
          <w:vertAlign w:val="superscript"/>
        </w:rPr>
        <w:t>3</w:t>
      </w:r>
      <w:r>
        <w:rPr>
          <w:rFonts w:hint="default" w:ascii="Times New Roman" w:hAnsi="Times New Roman" w:cs="Times New Roman"/>
          <w:color w:val="auto"/>
          <w:spacing w:val="0"/>
          <w:kern w:val="24"/>
          <w:sz w:val="24"/>
          <w:szCs w:val="24"/>
          <w:highlight w:val="none"/>
        </w:rPr>
        <w:t>/d；特殊情况下20</w:t>
      </w:r>
      <w:r>
        <w:rPr>
          <w:rFonts w:hint="default" w:ascii="Times New Roman" w:hAnsi="Times New Roman" w:cs="Times New Roman"/>
          <w:color w:val="auto"/>
          <w:spacing w:val="0"/>
          <w:kern w:val="24"/>
          <w:sz w:val="24"/>
          <w:szCs w:val="24"/>
          <w:highlight w:val="none"/>
          <w:lang w:val="en-US" w:eastAsia="zh-CN"/>
        </w:rPr>
        <w:t>30</w:t>
      </w:r>
      <w:r>
        <w:rPr>
          <w:rFonts w:hint="default" w:ascii="Times New Roman" w:hAnsi="Times New Roman" w:cs="Times New Roman"/>
          <w:color w:val="auto"/>
          <w:spacing w:val="0"/>
          <w:kern w:val="24"/>
          <w:sz w:val="24"/>
          <w:szCs w:val="24"/>
          <w:highlight w:val="none"/>
        </w:rPr>
        <w:t>年旺季废水产生量为</w:t>
      </w:r>
      <w:r>
        <w:rPr>
          <w:rFonts w:hint="default" w:ascii="Times New Roman" w:hAnsi="Times New Roman" w:cs="Times New Roman"/>
          <w:color w:val="auto"/>
          <w:spacing w:val="0"/>
          <w:kern w:val="24"/>
          <w:sz w:val="24"/>
          <w:szCs w:val="24"/>
          <w:highlight w:val="none"/>
          <w:lang w:val="en-US" w:eastAsia="zh-CN"/>
        </w:rPr>
        <w:t>65.64</w:t>
      </w:r>
      <w:r>
        <w:rPr>
          <w:rFonts w:hint="default" w:ascii="Times New Roman" w:hAnsi="Times New Roman" w:cs="Times New Roman"/>
          <w:color w:val="auto"/>
          <w:spacing w:val="0"/>
          <w:kern w:val="24"/>
          <w:sz w:val="24"/>
          <w:szCs w:val="24"/>
          <w:highlight w:val="none"/>
        </w:rPr>
        <w:t>m</w:t>
      </w:r>
      <w:r>
        <w:rPr>
          <w:rFonts w:hint="default" w:ascii="Times New Roman" w:hAnsi="Times New Roman" w:cs="Times New Roman"/>
          <w:color w:val="auto"/>
          <w:spacing w:val="0"/>
          <w:kern w:val="24"/>
          <w:sz w:val="24"/>
          <w:szCs w:val="24"/>
          <w:highlight w:val="none"/>
          <w:vertAlign w:val="superscript"/>
        </w:rPr>
        <w:t>3</w:t>
      </w:r>
      <w:r>
        <w:rPr>
          <w:rFonts w:hint="default" w:ascii="Times New Roman" w:hAnsi="Times New Roman" w:cs="Times New Roman"/>
          <w:color w:val="auto"/>
          <w:spacing w:val="0"/>
          <w:kern w:val="24"/>
          <w:sz w:val="24"/>
          <w:szCs w:val="24"/>
          <w:highlight w:val="none"/>
        </w:rPr>
        <w:t>/d，20</w:t>
      </w:r>
      <w:r>
        <w:rPr>
          <w:rFonts w:hint="default" w:ascii="Times New Roman" w:hAnsi="Times New Roman" w:cs="Times New Roman"/>
          <w:color w:val="auto"/>
          <w:spacing w:val="0"/>
          <w:kern w:val="24"/>
          <w:sz w:val="24"/>
          <w:szCs w:val="24"/>
          <w:highlight w:val="none"/>
          <w:lang w:val="en-US" w:eastAsia="zh-CN"/>
        </w:rPr>
        <w:t>35</w:t>
      </w:r>
      <w:r>
        <w:rPr>
          <w:rFonts w:hint="default" w:ascii="Times New Roman" w:hAnsi="Times New Roman" w:cs="Times New Roman"/>
          <w:color w:val="auto"/>
          <w:spacing w:val="0"/>
          <w:kern w:val="24"/>
          <w:sz w:val="24"/>
          <w:szCs w:val="24"/>
          <w:highlight w:val="none"/>
        </w:rPr>
        <w:t>年旺季废水产生量为12</w:t>
      </w:r>
      <w:r>
        <w:rPr>
          <w:rFonts w:hint="default" w:ascii="Times New Roman" w:hAnsi="Times New Roman" w:cs="Times New Roman"/>
          <w:color w:val="auto"/>
          <w:spacing w:val="0"/>
          <w:kern w:val="24"/>
          <w:sz w:val="24"/>
          <w:szCs w:val="24"/>
          <w:highlight w:val="none"/>
          <w:lang w:val="en-US" w:eastAsia="zh-CN"/>
        </w:rPr>
        <w:t>5.85</w:t>
      </w:r>
      <w:r>
        <w:rPr>
          <w:rFonts w:hint="default" w:ascii="Times New Roman" w:hAnsi="Times New Roman" w:cs="Times New Roman"/>
          <w:color w:val="auto"/>
          <w:spacing w:val="0"/>
          <w:kern w:val="24"/>
          <w:sz w:val="24"/>
          <w:szCs w:val="24"/>
          <w:highlight w:val="none"/>
        </w:rPr>
        <w:t>m</w:t>
      </w:r>
      <w:r>
        <w:rPr>
          <w:rFonts w:hint="default" w:ascii="Times New Roman" w:hAnsi="Times New Roman" w:cs="Times New Roman"/>
          <w:color w:val="auto"/>
          <w:spacing w:val="0"/>
          <w:kern w:val="24"/>
          <w:sz w:val="24"/>
          <w:szCs w:val="24"/>
          <w:highlight w:val="none"/>
          <w:vertAlign w:val="superscript"/>
        </w:rPr>
        <w:t>3</w:t>
      </w:r>
      <w:r>
        <w:rPr>
          <w:rFonts w:hint="default" w:ascii="Times New Roman" w:hAnsi="Times New Roman" w:cs="Times New Roman"/>
          <w:color w:val="auto"/>
          <w:spacing w:val="0"/>
          <w:kern w:val="24"/>
          <w:sz w:val="24"/>
          <w:szCs w:val="24"/>
          <w:highlight w:val="none"/>
        </w:rPr>
        <w:t>/d</w:t>
      </w:r>
      <w:r>
        <w:rPr>
          <w:rFonts w:hint="default" w:ascii="Times New Roman" w:hAnsi="Times New Roman" w:cs="Times New Roman"/>
          <w:bCs/>
          <w:color w:val="auto"/>
          <w:kern w:val="0"/>
          <w:sz w:val="24"/>
          <w:szCs w:val="24"/>
          <w:highlight w:val="none"/>
          <w:lang w:val="en-US" w:eastAsia="zh-CN"/>
        </w:rPr>
        <w:t>。</w:t>
      </w:r>
      <w:bookmarkStart w:id="249" w:name="_GoBack"/>
      <w:bookmarkEnd w:id="249"/>
    </w:p>
    <w:p w14:paraId="0126936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（2）污水管网敷设</w:t>
      </w:r>
    </w:p>
    <w:p w14:paraId="320F119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污水处理设施污水管网结合地形，沿道路埋设，采用重力流排至污水处理设施，敷设管道时尽可能利用道路的自然坡度和坡向，管网覆土应大于当地冰冻线，管径取DN300，统一收集至污水处理设施处理达标后排放，处理后的污水应达到《污水综合排放标准》（GB8978-1996）一级标准限值要求。</w:t>
      </w:r>
    </w:p>
    <w:p w14:paraId="6130830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（3）污水处理设施</w:t>
      </w:r>
    </w:p>
    <w:p w14:paraId="0FF85DB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新增4处小型污水处理设施，不独立占地，其中巴卡村1处、岗巴村2处、扎木村1处。</w:t>
      </w:r>
    </w:p>
    <w:p w14:paraId="04A5926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排水工程规划图见附图。</w:t>
      </w:r>
    </w:p>
    <w:p w14:paraId="7D8D8B18">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电力工程规划</w:t>
      </w:r>
    </w:p>
    <w:p w14:paraId="4A74A971">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1、电源规划</w:t>
      </w:r>
    </w:p>
    <w:p w14:paraId="4E0607E8">
      <w:pPr>
        <w:pStyle w:val="28"/>
        <w:tabs>
          <w:tab w:val="left" w:pos="840"/>
        </w:tabs>
        <w:spacing w:line="360" w:lineRule="auto"/>
        <w:ind w:firstLine="480" w:firstLineChars="200"/>
        <w:rPr>
          <w:rFonts w:hint="default" w:ascii="Times New Roman" w:hAnsi="Times New Roman" w:cs="Times New Roman"/>
          <w:b w:val="0"/>
          <w:bCs/>
          <w:color w:val="auto"/>
          <w:kern w:val="0"/>
          <w:sz w:val="24"/>
          <w:highlight w:val="none"/>
          <w:lang w:val="en-US" w:eastAsia="zh-CN"/>
        </w:rPr>
      </w:pPr>
      <w:r>
        <w:rPr>
          <w:rFonts w:hint="default" w:ascii="Times New Roman" w:hAnsi="Times New Roman" w:cs="Times New Roman"/>
          <w:b w:val="0"/>
          <w:bCs/>
          <w:color w:val="auto"/>
          <w:kern w:val="0"/>
          <w:sz w:val="24"/>
          <w:highlight w:val="none"/>
          <w:lang w:val="en-US" w:eastAsia="zh-CN"/>
        </w:rPr>
        <w:t>供电设施接自古乡35kV变电站，可为景区提供稳定可靠的电能，满足生活生产用电需求。</w:t>
      </w:r>
    </w:p>
    <w:p w14:paraId="5AF32DC2">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2、电网规划</w:t>
      </w:r>
    </w:p>
    <w:p w14:paraId="31E21D14">
      <w:pPr>
        <w:pStyle w:val="28"/>
        <w:tabs>
          <w:tab w:val="left" w:pos="840"/>
        </w:tabs>
        <w:spacing w:line="360" w:lineRule="auto"/>
        <w:ind w:firstLine="480" w:firstLineChars="200"/>
        <w:rPr>
          <w:rFonts w:hint="default" w:ascii="Times New Roman" w:hAnsi="Times New Roman" w:cs="Times New Roman"/>
          <w:b w:val="0"/>
          <w:bCs/>
          <w:color w:val="auto"/>
          <w:kern w:val="0"/>
          <w:sz w:val="24"/>
          <w:highlight w:val="none"/>
          <w:lang w:val="en-US" w:eastAsia="zh-CN"/>
        </w:rPr>
      </w:pPr>
      <w:r>
        <w:rPr>
          <w:rFonts w:hint="default" w:ascii="Times New Roman" w:hAnsi="Times New Roman" w:cs="Times New Roman"/>
          <w:b w:val="0"/>
          <w:bCs/>
          <w:color w:val="auto"/>
          <w:kern w:val="0"/>
          <w:sz w:val="24"/>
          <w:highlight w:val="none"/>
          <w:lang w:val="en-US" w:eastAsia="zh-CN"/>
        </w:rPr>
        <w:t>入户电压为220V-380V。380V/220V电力线路除有条件的可入地敷设外，均采用架空方式。电力线路的布置应沿主要道路进行，应根据地形条件因地制宜地选择架空或地下明设方式。架空线路的布置需保持有序，不得出现私拉乱的现象，以确保无安全隐患。380/220V的设置间距宜为40-60米。电力走廊的布置应避免穿过住宅、危险品仓库等地段，并应尽量避开易受洪水淹没、河岸塌陷、滑坡等影响的地区。同时，应减少电力线路的交叉和跨越，以避免对弱通信号的干扰。</w:t>
      </w:r>
    </w:p>
    <w:p w14:paraId="36750C90">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通信</w:t>
      </w:r>
      <w:r>
        <w:rPr>
          <w:rFonts w:hint="default" w:ascii="Times New Roman" w:hAnsi="Times New Roman" w:cs="Times New Roman"/>
          <w:color w:val="auto"/>
          <w:highlight w:val="none"/>
        </w:rPr>
        <w:t>工程规划</w:t>
      </w:r>
    </w:p>
    <w:p w14:paraId="1B8DD65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结合村委会配套建设邮政代办点2处，不单独占地。通信管线接波密通信主线，延伸至各地块，通信管线宜采用地埋敷设。通信线缆采取光纤入户的方式铺设入户，居民开户即能享受方便快捷的网络服务，对于主要公共场所规划WiFi全覆盖，随时随地都能高效快捷享受网络服务。</w:t>
      </w:r>
    </w:p>
    <w:p w14:paraId="4ED0278B">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环卫设施规划</w:t>
      </w:r>
    </w:p>
    <w:p w14:paraId="1C6C51B6">
      <w:pPr>
        <w:pStyle w:val="28"/>
        <w:tabs>
          <w:tab w:val="left" w:pos="840"/>
        </w:tabs>
        <w:spacing w:line="360" w:lineRule="auto"/>
        <w:ind w:firstLine="482" w:firstLineChars="200"/>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1、公共厕所规划</w:t>
      </w:r>
    </w:p>
    <w:p w14:paraId="6FCDBC5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厕所布局合理，位置相对隐蔽但易于寻找，方便到达，并适于通风、排污。按照《旅游厕所质量要求与评定》（GB/T18973-2022）标准，要求4A旅游景区内所有厕所都达到Ⅱ类及以上质量要求，且I类厕所应占景区厕所总量的30%以上。</w:t>
      </w:r>
    </w:p>
    <w:p w14:paraId="5708F35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1</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现状提升：对岗巴游客中心旁厕所、岗巴检票口厕所、巴卡检票口厕所、低碳研学营厕所4处，按照I类厕所标准进行提升改造，对岗巴村厕所、巴卡村厕所、喜德林卡厕所3处现状厕所，按照Ⅱ类厕所标准进行提升改造。</w:t>
      </w:r>
    </w:p>
    <w:p w14:paraId="674705D1">
      <w:pPr>
        <w:pStyle w:val="28"/>
        <w:tabs>
          <w:tab w:val="left" w:pos="840"/>
        </w:tabs>
        <w:spacing w:line="360" w:lineRule="auto"/>
        <w:ind w:firstLine="480" w:firstLineChars="200"/>
        <w:rPr>
          <w:rFonts w:hint="default" w:ascii="Times New Roman" w:hAnsi="Times New Roman" w:eastAsia="宋体"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val="en-US" w:eastAsia="zh-CN"/>
        </w:rPr>
        <w:t>2</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新建厕所：在自然驿站、草湖、拉卡人家、新建游客中心旁新建4处生态旅游厕所，以满足游客如厕需求</w:t>
      </w:r>
      <w:r>
        <w:rPr>
          <w:rFonts w:hint="default" w:ascii="Times New Roman" w:hAnsi="Times New Roman" w:cs="Times New Roman"/>
          <w:bCs/>
          <w:color w:val="auto"/>
          <w:kern w:val="0"/>
          <w:sz w:val="24"/>
          <w:highlight w:val="none"/>
          <w:lang w:eastAsia="zh-CN"/>
        </w:rPr>
        <w:t>。</w:t>
      </w:r>
    </w:p>
    <w:p w14:paraId="54A3D273">
      <w:pPr>
        <w:pStyle w:val="28"/>
        <w:tabs>
          <w:tab w:val="left" w:pos="840"/>
        </w:tabs>
        <w:spacing w:line="360" w:lineRule="auto"/>
        <w:ind w:firstLine="482" w:firstLineChars="200"/>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2、垃圾收集规划</w:t>
      </w:r>
    </w:p>
    <w:p w14:paraId="24C8530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为满足居民生活及游客旅游需求，垃圾桶沿道路两侧间隔60米放置，用于居民生产生活垃圾收集转运临时存放。规划完善配套各类环卫设施，使景区保持清洁、卫生。逐步实现景区生活垃圾袋装分类收集，实现垃圾收集运输的容器化、密闭化、机械化。规划由管理部门组织人员定期收集、清理、转运至垃圾转运站。主要景点附近，约每隔70米设置一处垃圾箱；次要景点附近，约每隔100-150米设置一处垃圾箱。对一些范围较大，游人较散的景点，建议采取配发环保垃圾袋的制度，使游客自觉参加到维护环境的行动中来。</w:t>
      </w:r>
    </w:p>
    <w:p w14:paraId="0D23E0D6">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建设时序与投资估算</w:t>
      </w:r>
    </w:p>
    <w:p w14:paraId="5A7CC3A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bookmarkStart w:id="81" w:name="_Hlk140138635"/>
      <w:r>
        <w:rPr>
          <w:rFonts w:hint="default" w:ascii="Times New Roman" w:hAnsi="Times New Roman" w:cs="Times New Roman"/>
          <w:bCs/>
          <w:color w:val="auto"/>
          <w:kern w:val="0"/>
          <w:sz w:val="24"/>
          <w:highlight w:val="none"/>
          <w:lang w:val="en-US" w:eastAsia="zh-CN"/>
        </w:rPr>
        <w:t>规划按照“分期实施、先易后难”原则，分近中远进行景区旅游项目打造、景区基础设施及服务配套设施建设等，有序推进景区各项开发建设活动。</w:t>
      </w:r>
    </w:p>
    <w:p w14:paraId="4D385DD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近期：2025—2027年，创建提升阶段。以创建国家4A级景区为目标，围绕八大项，推进项目建设。</w:t>
      </w:r>
    </w:p>
    <w:p w14:paraId="4FC5538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rPr>
        <w:t>中远期：2028—2035年，重点突破、全面深化阶段以景区长远发展为目标，逐步完善项目建设、实施人才培养</w:t>
      </w:r>
      <w:r>
        <w:rPr>
          <w:rFonts w:hint="default" w:ascii="Times New Roman" w:hAnsi="Times New Roman" w:cs="Times New Roman"/>
          <w:bCs/>
          <w:color w:val="auto"/>
          <w:kern w:val="0"/>
          <w:sz w:val="24"/>
          <w:highlight w:val="none"/>
          <w:lang w:eastAsia="zh-CN"/>
        </w:rPr>
        <w:t>。</w:t>
      </w:r>
      <w:bookmarkEnd w:id="81"/>
    </w:p>
    <w:p w14:paraId="34FD913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sectPr>
          <w:pgSz w:w="11906" w:h="16838"/>
          <w:pgMar w:top="1474" w:right="1474" w:bottom="1474" w:left="1474" w:header="1134" w:footer="850"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bCs/>
          <w:color w:val="auto"/>
          <w:kern w:val="0"/>
          <w:sz w:val="24"/>
          <w:highlight w:val="none"/>
        </w:rPr>
        <w:t>规划建设时序</w:t>
      </w:r>
      <w:r>
        <w:rPr>
          <w:rFonts w:hint="default" w:ascii="Times New Roman" w:hAnsi="Times New Roman" w:cs="Times New Roman"/>
          <w:bCs/>
          <w:color w:val="auto"/>
          <w:kern w:val="0"/>
          <w:sz w:val="24"/>
          <w:highlight w:val="none"/>
        </w:rPr>
        <w:t>与现阶段（202</w:t>
      </w:r>
      <w:r>
        <w:rPr>
          <w:rFonts w:hint="default" w:ascii="Times New Roman" w:hAnsi="Times New Roman" w:cs="Times New Roman"/>
          <w:bCs/>
          <w:color w:val="auto"/>
          <w:kern w:val="0"/>
          <w:sz w:val="24"/>
          <w:highlight w:val="none"/>
          <w:lang w:val="en-US" w:eastAsia="zh-CN"/>
        </w:rPr>
        <w:t>6</w:t>
      </w:r>
      <w:r>
        <w:rPr>
          <w:rFonts w:hint="default" w:ascii="Times New Roman" w:hAnsi="Times New Roman" w:cs="Times New Roman"/>
          <w:bCs/>
          <w:color w:val="auto"/>
          <w:kern w:val="0"/>
          <w:sz w:val="24"/>
          <w:highlight w:val="none"/>
        </w:rPr>
        <w:t>年）实际实施情况</w:t>
      </w:r>
      <w:r>
        <w:rPr>
          <w:rFonts w:hint="default" w:ascii="Times New Roman" w:hAnsi="Times New Roman" w:cs="Times New Roman"/>
          <w:bCs/>
          <w:color w:val="auto"/>
          <w:kern w:val="0"/>
          <w:sz w:val="24"/>
          <w:highlight w:val="none"/>
        </w:rPr>
        <w:t>如下表所示：</w:t>
      </w:r>
    </w:p>
    <w:p w14:paraId="029B3F91">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表2.1-</w:t>
      </w:r>
      <w:r>
        <w:rPr>
          <w:rFonts w:hint="default" w:ascii="Times New Roman" w:hAnsi="Times New Roman" w:eastAsia="黑体" w:cs="Times New Roman"/>
          <w:bCs/>
          <w:color w:val="auto"/>
          <w:kern w:val="0"/>
          <w:szCs w:val="21"/>
          <w:highlight w:val="none"/>
          <w:lang w:val="en-US" w:eastAsia="zh-CN"/>
        </w:rPr>
        <w:t>16</w:t>
      </w:r>
      <w:r>
        <w:rPr>
          <w:rFonts w:hint="default" w:ascii="Times New Roman" w:hAnsi="Times New Roman" w:eastAsia="黑体" w:cs="Times New Roman"/>
          <w:bCs/>
          <w:color w:val="auto"/>
          <w:kern w:val="0"/>
          <w:szCs w:val="21"/>
          <w:highlight w:val="none"/>
        </w:rPr>
        <w:t xml:space="preserve">  规划建设时序与现阶段实际实施情况一览表</w:t>
      </w:r>
    </w:p>
    <w:tbl>
      <w:tblPr>
        <w:tblStyle w:val="58"/>
        <w:tblW w:w="500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7"/>
        <w:gridCol w:w="2555"/>
        <w:gridCol w:w="1467"/>
        <w:gridCol w:w="3652"/>
        <w:gridCol w:w="1467"/>
        <w:gridCol w:w="740"/>
        <w:gridCol w:w="1102"/>
        <w:gridCol w:w="2191"/>
      </w:tblGrid>
      <w:tr w14:paraId="3BA36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120963A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序号</w:t>
            </w:r>
          </w:p>
        </w:tc>
        <w:tc>
          <w:tcPr>
            <w:tcW w:w="918" w:type="pct"/>
            <w:tcBorders>
              <w:top w:val="single" w:color="auto" w:sz="4" w:space="0"/>
              <w:left w:val="single" w:color="auto" w:sz="4" w:space="0"/>
              <w:bottom w:val="single" w:color="auto" w:sz="4" w:space="0"/>
              <w:right w:val="single" w:color="auto" w:sz="4" w:space="0"/>
            </w:tcBorders>
            <w:shd w:val="clear" w:color="auto" w:fill="auto"/>
            <w:vAlign w:val="center"/>
          </w:tcPr>
          <w:p w14:paraId="15B2897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分区</w:t>
            </w: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9E95A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项目</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7D00C4E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性质</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2841813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3F53BBF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73B9B20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备注</w:t>
            </w:r>
          </w:p>
        </w:tc>
      </w:tr>
      <w:tr w14:paraId="57B87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21C5BB5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9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E0584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岗巴康旅疗愈区</w:t>
            </w:r>
          </w:p>
        </w:tc>
        <w:tc>
          <w:tcPr>
            <w:tcW w:w="5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041F9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游客中心</w:t>
            </w: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14:paraId="3A087CB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方案一</w:t>
            </w:r>
            <w:r>
              <w:rPr>
                <w:rFonts w:hint="eastAsia" w:ascii="Times New Roman" w:hAnsi="Times New Roman" w:cs="Times New Roman"/>
                <w:bCs/>
                <w:color w:val="auto"/>
                <w:kern w:val="0"/>
                <w:szCs w:val="21"/>
                <w:highlight w:val="none"/>
                <w:lang w:val="en-US" w:eastAsia="zh-CN"/>
              </w:rPr>
              <w:t>（近期实施）</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579FB29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1665CB7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52EE3E4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295BE8C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现状游客中心</w:t>
            </w:r>
            <w:r>
              <w:rPr>
                <w:rFonts w:hint="default" w:ascii="Times New Roman" w:hAnsi="Times New Roman" w:cs="Times New Roman"/>
                <w:bCs/>
                <w:color w:val="auto"/>
                <w:kern w:val="0"/>
                <w:szCs w:val="21"/>
                <w:highlight w:val="none"/>
                <w:lang w:val="en-US" w:eastAsia="zh-CN"/>
              </w:rPr>
              <w:t>改造</w:t>
            </w:r>
          </w:p>
        </w:tc>
      </w:tr>
      <w:tr w14:paraId="39C6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425500F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0FF07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5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BC155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14:paraId="56E593C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方案二</w:t>
            </w:r>
            <w:r>
              <w:rPr>
                <w:rFonts w:hint="eastAsia" w:ascii="Times New Roman" w:hAnsi="Times New Roman" w:cs="Times New Roman"/>
                <w:bCs/>
                <w:color w:val="auto"/>
                <w:kern w:val="0"/>
                <w:szCs w:val="21"/>
                <w:highlight w:val="none"/>
                <w:lang w:val="en-US" w:eastAsia="zh-CN"/>
              </w:rPr>
              <w:t>（中后期实施）</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3368CC5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3FE8CFD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0897751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18D0841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w:t>
            </w:r>
          </w:p>
        </w:tc>
      </w:tr>
      <w:tr w14:paraId="7004A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75395DC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0348E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826AE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景前风貌</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5D1B43F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0964B53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7FA52DD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0EF579A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现状风貌</w:t>
            </w:r>
            <w:r>
              <w:rPr>
                <w:rFonts w:hint="default" w:ascii="Times New Roman" w:hAnsi="Times New Roman" w:cs="Times New Roman"/>
                <w:bCs/>
                <w:color w:val="auto"/>
                <w:kern w:val="0"/>
                <w:szCs w:val="21"/>
                <w:highlight w:val="none"/>
                <w:lang w:val="en-US" w:eastAsia="zh-CN"/>
              </w:rPr>
              <w:t>改造</w:t>
            </w:r>
          </w:p>
        </w:tc>
      </w:tr>
      <w:tr w14:paraId="4D63D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266B417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4</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16863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3A1F1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岗巴康养民宿</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4EA3551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76D59C0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47FA8D9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234EEDD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w:t>
            </w:r>
          </w:p>
        </w:tc>
      </w:tr>
      <w:tr w14:paraId="73C74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0ED49AB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5</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ACC3E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177FF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有机农场</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3708E0D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075AAE3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063A15D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194E2E7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现状连心采摘园改造</w:t>
            </w:r>
          </w:p>
        </w:tc>
      </w:tr>
      <w:tr w14:paraId="4C52E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426A2B1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6</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6FB81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F632A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森旅部落</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035BEEC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15A8639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01DDCFA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1BA3178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现状景观改造</w:t>
            </w:r>
          </w:p>
        </w:tc>
      </w:tr>
      <w:tr w14:paraId="6CB1A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6FE06B6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7</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CF6A9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37CE9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糌粑体验坊</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71BD6BF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78B439B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42045DD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0F86800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现状房屋改建</w:t>
            </w:r>
          </w:p>
        </w:tc>
      </w:tr>
      <w:tr w14:paraId="2B8F5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2"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4E65CF7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8</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4F5A8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C89EB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迷雾森林</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368F7ED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2E2F340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27FDE06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7964EE4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仅设置艺术景观装置等</w:t>
            </w:r>
          </w:p>
        </w:tc>
      </w:tr>
      <w:tr w14:paraId="6E9B6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2415333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9</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704E7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DA37B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喜德林卡</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24CE8C4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5C0397C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00A1591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3CEE93C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w:t>
            </w:r>
          </w:p>
        </w:tc>
      </w:tr>
      <w:tr w14:paraId="6175D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120C26A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10</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81277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F6AEC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藏服旅拍</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1EA0137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440E15B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46C960F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4BB7239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现状游客中心内</w:t>
            </w:r>
          </w:p>
        </w:tc>
      </w:tr>
      <w:tr w14:paraId="3E258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45DE616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11</w:t>
            </w:r>
          </w:p>
        </w:tc>
        <w:tc>
          <w:tcPr>
            <w:tcW w:w="9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01FC0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云杉生态观光区</w:t>
            </w: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99A28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岗巴检票口</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2E02AE5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47F1691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1A29779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7932474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w:t>
            </w:r>
            <w:r>
              <w:rPr>
                <w:rFonts w:hint="default" w:ascii="Times New Roman" w:hAnsi="Times New Roman" w:cs="Times New Roman"/>
                <w:bCs/>
                <w:color w:val="auto"/>
                <w:kern w:val="0"/>
                <w:szCs w:val="21"/>
                <w:highlight w:val="none"/>
                <w:lang w:val="en-US" w:eastAsia="zh-CN"/>
              </w:rPr>
              <w:t>检票口</w:t>
            </w:r>
            <w:r>
              <w:rPr>
                <w:rFonts w:hint="eastAsia" w:ascii="Times New Roman" w:hAnsi="Times New Roman" w:cs="Times New Roman"/>
                <w:bCs/>
                <w:color w:val="auto"/>
                <w:kern w:val="0"/>
                <w:szCs w:val="21"/>
                <w:highlight w:val="none"/>
                <w:lang w:val="en-US" w:eastAsia="zh-CN"/>
              </w:rPr>
              <w:t>改造</w:t>
            </w:r>
          </w:p>
        </w:tc>
      </w:tr>
      <w:tr w14:paraId="47307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308CB0C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12</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CAD7B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05CD0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徒步系统</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6898E28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268ACD1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65640BF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6F4A852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现状步道改造</w:t>
            </w:r>
          </w:p>
        </w:tc>
      </w:tr>
      <w:tr w14:paraId="13B89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44EC77A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13</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6F6A0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2950E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森林抚育小课堂</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5AB86B4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05FBF70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65F8519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13CC94B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现状区域设置教育牌</w:t>
            </w:r>
          </w:p>
        </w:tc>
      </w:tr>
      <w:tr w14:paraId="4C79B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20E977D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14</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437B2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06EA6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杉林时光</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3847A04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5C5B247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00008C6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68D3415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现状房屋升级</w:t>
            </w:r>
          </w:p>
        </w:tc>
      </w:tr>
      <w:tr w14:paraId="3176B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6A1EE93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16</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0771A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ADA76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云杉自然科普馆（植物驿站）</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555A0BA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2EEE253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500D448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3CAAAE6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徒步道入口</w:t>
            </w:r>
            <w:r>
              <w:rPr>
                <w:rFonts w:hint="eastAsia" w:ascii="Times New Roman" w:hAnsi="Times New Roman" w:cs="Times New Roman"/>
                <w:bCs/>
                <w:color w:val="auto"/>
                <w:kern w:val="0"/>
                <w:szCs w:val="21"/>
                <w:highlight w:val="none"/>
                <w:lang w:val="en-US" w:eastAsia="zh-CN"/>
              </w:rPr>
              <w:t>空地处（集装箱）</w:t>
            </w:r>
          </w:p>
        </w:tc>
      </w:tr>
      <w:tr w14:paraId="1209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781DAA3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17</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3ED9A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F2552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动物驿站</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2C583D8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4A725C0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55939E2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017D13E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集装箱或森林木屋</w:t>
            </w:r>
            <w:r>
              <w:rPr>
                <w:rFonts w:hint="eastAsia" w:ascii="Times New Roman" w:hAnsi="Times New Roman" w:cs="Times New Roman"/>
                <w:bCs/>
                <w:color w:val="auto"/>
                <w:kern w:val="0"/>
                <w:szCs w:val="21"/>
                <w:highlight w:val="none"/>
                <w:lang w:val="en-US" w:eastAsia="zh-CN"/>
              </w:rPr>
              <w:t>，主要为动物救助</w:t>
            </w:r>
          </w:p>
        </w:tc>
      </w:tr>
      <w:tr w14:paraId="0AE48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67F87CB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18</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AC9B8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3FD4E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森林驿站</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5198075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02A0399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2B79927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50726B4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利用现有小木屋提升改造</w:t>
            </w:r>
          </w:p>
        </w:tc>
      </w:tr>
      <w:tr w14:paraId="0F153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3114FF4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19</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ED1B9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ED6FD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创意景观</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65E7B10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606B2B3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44268B5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59DB2D4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就地取材，利用景区内废弃树桩、木头</w:t>
            </w:r>
          </w:p>
        </w:tc>
      </w:tr>
      <w:tr w14:paraId="52E89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0EEA45F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20</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F3450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2B859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云杉秘境酒店</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73FE41E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703E641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7D96F89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2C768C1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酒店</w:t>
            </w:r>
            <w:r>
              <w:rPr>
                <w:rFonts w:hint="eastAsia" w:ascii="Times New Roman" w:hAnsi="Times New Roman" w:cs="Times New Roman"/>
                <w:bCs/>
                <w:color w:val="auto"/>
                <w:kern w:val="0"/>
                <w:szCs w:val="21"/>
                <w:highlight w:val="none"/>
                <w:lang w:val="en-US" w:eastAsia="zh-CN"/>
              </w:rPr>
              <w:t>提升改造</w:t>
            </w:r>
          </w:p>
        </w:tc>
      </w:tr>
      <w:tr w14:paraId="2F9EE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1E168DE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21</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A4F19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DD954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草湖</w:t>
            </w:r>
            <w:r>
              <w:rPr>
                <w:rFonts w:hint="eastAsia" w:ascii="Times New Roman" w:hAnsi="Times New Roman" w:cs="Times New Roman"/>
                <w:bCs/>
                <w:color w:val="auto"/>
                <w:kern w:val="0"/>
                <w:szCs w:val="21"/>
                <w:highlight w:val="none"/>
                <w:lang w:val="en-US" w:eastAsia="zh-CN"/>
              </w:rPr>
              <w:t>防火</w:t>
            </w:r>
            <w:r>
              <w:rPr>
                <w:rFonts w:hint="default" w:ascii="Times New Roman" w:hAnsi="Times New Roman" w:cs="Times New Roman"/>
                <w:bCs/>
                <w:color w:val="auto"/>
                <w:kern w:val="0"/>
                <w:szCs w:val="21"/>
                <w:highlight w:val="none"/>
                <w:lang w:val="en-US" w:eastAsia="zh-CN"/>
              </w:rPr>
              <w:t>栈道</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79AAAF8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1C77817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271710D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0BD0D28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现状栈道提升改造</w:t>
            </w:r>
          </w:p>
        </w:tc>
      </w:tr>
      <w:tr w14:paraId="6EAEF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5737C59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22</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105F3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432FF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草湖心屿</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5CE68D6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0FA13B4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226D57E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13E3803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建设用途为森林防火</w:t>
            </w:r>
          </w:p>
        </w:tc>
      </w:tr>
      <w:tr w14:paraId="21E42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01F955B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23</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B69AB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DE7A7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草湖四季</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250F970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39E5EF4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1FFB752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62F927C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依托现有观景平台</w:t>
            </w:r>
          </w:p>
        </w:tc>
      </w:tr>
      <w:tr w14:paraId="5588F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5B6DC1D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24</w:t>
            </w:r>
          </w:p>
        </w:tc>
        <w:tc>
          <w:tcPr>
            <w:tcW w:w="9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CF038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拉卡自然研学区</w:t>
            </w: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DE211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低碳研学营</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06C9F75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373354D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12610FF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5EF47C5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在达美客栈旁</w:t>
            </w:r>
            <w:r>
              <w:rPr>
                <w:rFonts w:hint="eastAsia" w:ascii="Times New Roman" w:hAnsi="Times New Roman" w:cs="Times New Roman"/>
                <w:bCs/>
                <w:color w:val="auto"/>
                <w:kern w:val="0"/>
                <w:szCs w:val="21"/>
                <w:highlight w:val="none"/>
                <w:lang w:val="en-US" w:eastAsia="zh-CN"/>
              </w:rPr>
              <w:t>，利用营地周边的户外活动场地</w:t>
            </w:r>
          </w:p>
        </w:tc>
      </w:tr>
      <w:tr w14:paraId="791F2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52629A6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26</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8CE63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7F541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幻光森林</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5D671AB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6484CA1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14A5889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24A96AA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低碳研学营</w:t>
            </w:r>
            <w:r>
              <w:rPr>
                <w:rFonts w:hint="eastAsia" w:ascii="Times New Roman" w:hAnsi="Times New Roman" w:cs="Times New Roman"/>
                <w:bCs/>
                <w:color w:val="auto"/>
                <w:kern w:val="0"/>
                <w:szCs w:val="21"/>
                <w:highlight w:val="none"/>
                <w:lang w:val="en-US" w:eastAsia="zh-CN"/>
              </w:rPr>
              <w:t>旁设置灯光投影等</w:t>
            </w:r>
          </w:p>
        </w:tc>
      </w:tr>
      <w:tr w14:paraId="0AAA9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2E30FAE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27</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D31F3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D2E43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拉卡人家</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263EF69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453F9E4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361CCF4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30664F6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现状村居提升</w:t>
            </w:r>
          </w:p>
        </w:tc>
      </w:tr>
      <w:tr w14:paraId="0C94F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44B8966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28</w:t>
            </w:r>
          </w:p>
        </w:tc>
        <w:tc>
          <w:tcPr>
            <w:tcW w:w="9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07E63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巴卡民俗休闲区</w:t>
            </w: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5668B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巴卡检票口</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146E740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61FAD74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494A84D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23197F1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现状检票口提升改造</w:t>
            </w:r>
          </w:p>
        </w:tc>
      </w:tr>
      <w:tr w14:paraId="63E5A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69A390B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29</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DFB99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7175A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星空露营地</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5CC94AA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73DA0E5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48110A0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3185ED4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利用巴卡村茶叶加工厂东侧较为平整用地</w:t>
            </w:r>
            <w:r>
              <w:rPr>
                <w:rFonts w:hint="eastAsia" w:ascii="Times New Roman" w:hAnsi="Times New Roman" w:cs="Times New Roman"/>
                <w:bCs/>
                <w:color w:val="auto"/>
                <w:kern w:val="0"/>
                <w:szCs w:val="21"/>
                <w:highlight w:val="none"/>
                <w:lang w:val="en-US" w:eastAsia="zh-CN"/>
              </w:rPr>
              <w:t>，不新增占用林草地等</w:t>
            </w:r>
          </w:p>
        </w:tc>
      </w:tr>
      <w:tr w14:paraId="72923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6489E7D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30</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721F7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771F9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巴卡藏乡民宿</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69EFF8B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0D596C4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5AAD28A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071A052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现状民宿提升改造</w:t>
            </w:r>
          </w:p>
        </w:tc>
      </w:tr>
      <w:tr w14:paraId="2FC1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1057B8C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31</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BCED5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094CA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云杉集市</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4786834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323798E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0AC6CF2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3C8AD2A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利用现状村委会门前的广场，帐篷形式</w:t>
            </w:r>
          </w:p>
        </w:tc>
      </w:tr>
      <w:tr w14:paraId="67DF6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3E4A718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32</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DD707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9482C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茶韵工坊</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5286D62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4CED6F2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3707725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577E02A3">
            <w:pPr>
              <w:pStyle w:val="28"/>
              <w:tabs>
                <w:tab w:val="left" w:pos="840"/>
              </w:tabs>
              <w:spacing w:line="240" w:lineRule="auto"/>
              <w:jc w:val="center"/>
              <w:rPr>
                <w:rFonts w:hint="eastAsia"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开设茶叶加工体验项目，从茶园采茶→制茶</w:t>
            </w:r>
          </w:p>
          <w:p w14:paraId="4675CC4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→茶道→茶手工一站式茶文化体验，不新增占地</w:t>
            </w:r>
          </w:p>
        </w:tc>
      </w:tr>
      <w:tr w14:paraId="19C9C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0D90FA6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33</w:t>
            </w:r>
          </w:p>
        </w:tc>
        <w:tc>
          <w:tcPr>
            <w:tcW w:w="9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97183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18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23B81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巴卡创意工坊</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6AF66C6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1B72693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0DFC326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02072A1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星空露营地旁</w:t>
            </w:r>
            <w:r>
              <w:rPr>
                <w:rFonts w:hint="eastAsia" w:ascii="Times New Roman" w:hAnsi="Times New Roman" w:cs="Times New Roman"/>
                <w:bCs/>
                <w:color w:val="auto"/>
                <w:kern w:val="0"/>
                <w:szCs w:val="21"/>
                <w:highlight w:val="none"/>
                <w:lang w:val="en-US" w:eastAsia="zh-CN"/>
              </w:rPr>
              <w:t>空地设置手工区</w:t>
            </w:r>
          </w:p>
        </w:tc>
      </w:tr>
      <w:tr w14:paraId="46DA6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27D9C54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34</w:t>
            </w:r>
          </w:p>
        </w:tc>
        <w:tc>
          <w:tcPr>
            <w:tcW w:w="275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F696AA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入口形象</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0FEC4D4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361E96B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7B7FC3B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6DBFD75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486B9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3B0E1BF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35</w:t>
            </w:r>
          </w:p>
        </w:tc>
        <w:tc>
          <w:tcPr>
            <w:tcW w:w="275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0C9BCA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标识系统</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36CD42C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6E405B2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00AB5E2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1E52EED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69EB2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048D2FE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36</w:t>
            </w:r>
          </w:p>
        </w:tc>
        <w:tc>
          <w:tcPr>
            <w:tcW w:w="275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7ECEA0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生态厕所</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7B261CD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41AA11B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557958B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72C4487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3429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1E84DA9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37</w:t>
            </w:r>
          </w:p>
        </w:tc>
        <w:tc>
          <w:tcPr>
            <w:tcW w:w="275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E3EDB8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旅游厕所提升</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2E5C13A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4D667C2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3D86933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1D784C8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4E7DC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vAlign w:val="center"/>
          </w:tcPr>
          <w:p w14:paraId="32EACCF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38</w:t>
            </w:r>
          </w:p>
        </w:tc>
        <w:tc>
          <w:tcPr>
            <w:tcW w:w="275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A93C7A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生态停车场提升</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0666478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33AC4D1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14:paraId="46D6FB6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7CEFA5B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1DD94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265"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4A48373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39</w:t>
            </w:r>
          </w:p>
        </w:tc>
        <w:tc>
          <w:tcPr>
            <w:tcW w:w="275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B4CE9C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岗云杉林导览APP</w:t>
            </w:r>
          </w:p>
        </w:tc>
        <w:tc>
          <w:tcPr>
            <w:tcW w:w="527" w:type="pct"/>
            <w:tcBorders>
              <w:top w:val="single" w:color="auto" w:sz="4" w:space="0"/>
              <w:left w:val="single" w:color="auto" w:sz="4" w:space="0"/>
              <w:bottom w:val="single" w:color="auto" w:sz="4" w:space="0"/>
              <w:right w:val="single" w:color="auto" w:sz="4" w:space="0"/>
            </w:tcBorders>
            <w:shd w:val="clear" w:color="auto" w:fill="auto"/>
            <w:vAlign w:val="center"/>
          </w:tcPr>
          <w:p w14:paraId="0090096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266" w:type="pct"/>
            <w:tcBorders>
              <w:top w:val="single" w:color="auto" w:sz="4" w:space="0"/>
              <w:left w:val="single" w:color="auto" w:sz="4" w:space="0"/>
              <w:bottom w:val="single" w:color="auto" w:sz="4" w:space="0"/>
              <w:right w:val="single" w:color="auto" w:sz="4" w:space="0"/>
            </w:tcBorders>
            <w:shd w:val="clear" w:color="auto" w:fill="auto"/>
            <w:vAlign w:val="center"/>
          </w:tcPr>
          <w:p w14:paraId="1C674C6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96"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30B24BB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w:t>
            </w:r>
          </w:p>
        </w:tc>
        <w:tc>
          <w:tcPr>
            <w:tcW w:w="787"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1B6700A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bl>
    <w:p w14:paraId="5D436F5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rPr>
        <w:t>岗云杉林生态旅游景区投资估算</w:t>
      </w:r>
      <w:r>
        <w:rPr>
          <w:rFonts w:hint="default" w:ascii="Times New Roman" w:hAnsi="Times New Roman" w:cs="Times New Roman"/>
          <w:bCs/>
          <w:color w:val="auto"/>
          <w:kern w:val="0"/>
          <w:sz w:val="24"/>
          <w:highlight w:val="none"/>
          <w:lang w:val="en-US" w:eastAsia="zh-CN"/>
        </w:rPr>
        <w:t>见下表：</w:t>
      </w:r>
    </w:p>
    <w:p w14:paraId="68FDE44E">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 xml:space="preserve">表2.1-17  </w:t>
      </w:r>
      <w:r>
        <w:rPr>
          <w:rFonts w:hint="default" w:ascii="Times New Roman" w:hAnsi="Times New Roman" w:eastAsia="黑体" w:cs="Times New Roman"/>
          <w:bCs/>
          <w:color w:val="auto"/>
          <w:kern w:val="0"/>
          <w:szCs w:val="21"/>
          <w:highlight w:val="none"/>
        </w:rPr>
        <w:t>岗云杉林生态旅游景区投资估算</w:t>
      </w:r>
      <w:r>
        <w:rPr>
          <w:rFonts w:hint="default" w:ascii="Times New Roman" w:hAnsi="Times New Roman" w:eastAsia="黑体" w:cs="Times New Roman"/>
          <w:bCs/>
          <w:color w:val="auto"/>
          <w:kern w:val="0"/>
          <w:szCs w:val="21"/>
          <w:highlight w:val="none"/>
          <w:lang w:val="en-US" w:eastAsia="zh-CN"/>
        </w:rPr>
        <w:t>表</w:t>
      </w:r>
    </w:p>
    <w:tbl>
      <w:tblPr>
        <w:tblStyle w:val="58"/>
        <w:tblW w:w="500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11"/>
        <w:gridCol w:w="423"/>
        <w:gridCol w:w="412"/>
        <w:gridCol w:w="983"/>
        <w:gridCol w:w="755"/>
        <w:gridCol w:w="524"/>
        <w:gridCol w:w="292"/>
        <w:gridCol w:w="240"/>
        <w:gridCol w:w="437"/>
        <w:gridCol w:w="457"/>
        <w:gridCol w:w="418"/>
        <w:gridCol w:w="1429"/>
        <w:gridCol w:w="922"/>
        <w:gridCol w:w="2487"/>
        <w:gridCol w:w="2487"/>
        <w:gridCol w:w="1348"/>
      </w:tblGrid>
      <w:tr w14:paraId="794FF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0A0D10B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一、旅游项目建设工程费</w:t>
            </w:r>
          </w:p>
        </w:tc>
      </w:tr>
      <w:tr w14:paraId="29839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59603F3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序号</w:t>
            </w:r>
          </w:p>
        </w:tc>
        <w:tc>
          <w:tcPr>
            <w:tcW w:w="3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37AC2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分区</w:t>
            </w: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19E45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项目</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9445BC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性质</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D5B81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工程量</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6AF6450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单位</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2E4B2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小计（万）</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F9E070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投资类别</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2DF9CD5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建设期限</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AF8F9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备注</w:t>
            </w:r>
          </w:p>
        </w:tc>
      </w:tr>
      <w:tr w14:paraId="2BEB1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1EEE027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30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2E232B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岗巴康旅疗愈区</w:t>
            </w:r>
          </w:p>
        </w:tc>
        <w:tc>
          <w:tcPr>
            <w:tcW w:w="35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3ADCC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游客中心</w:t>
            </w:r>
          </w:p>
        </w:tc>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14:paraId="6929D74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方案一</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FE37F6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BA164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00FCEED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42F26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78752D3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6B73BE6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10BBA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按照4A景区标准进行提升改造，完善综合接待服务功能和设施</w:t>
            </w:r>
          </w:p>
        </w:tc>
      </w:tr>
      <w:tr w14:paraId="23D6B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53E79FA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29095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5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B8987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14:paraId="6473E25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方案二</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5AF6F3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E92CD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5993E3B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20552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B0FEA5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A240E3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71DEE8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沿G318新建游客综合服务中心</w:t>
            </w:r>
          </w:p>
        </w:tc>
      </w:tr>
      <w:tr w14:paraId="1DC47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48C9C24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90F12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A62AC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景前风貌</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1A7BCE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21213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1350</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15FFE82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米</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B3F5C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203.00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2BA59EC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6CB23D2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9BDB7D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对进景区的主干道进行提升改造，对景观环境进行美化、亮化、绿化，增加主题景观小品 ，营造 文化氛围。</w:t>
            </w:r>
          </w:p>
        </w:tc>
      </w:tr>
      <w:tr w14:paraId="4B949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32A586B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4</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0DBA2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B0CA5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岗巴康养民宿</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78B0C0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97AD4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24</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59FAD41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户</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CE7C0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240.00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24B2376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政府投资/招商引资/村民自筹</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5807A1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2DB0A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岗巴村24户家庭旅馆 ，成立民宿联盟合作社</w:t>
            </w:r>
          </w:p>
        </w:tc>
      </w:tr>
      <w:tr w14:paraId="6BB1B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112"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1D33B06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5</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4B16C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B79F8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有机农场</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030BAF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1E83103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3791B77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6469649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90.00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42FBA4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1609BE0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643C99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进行有机、绿色升级改造</w:t>
            </w:r>
          </w:p>
        </w:tc>
      </w:tr>
      <w:tr w14:paraId="71EF1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717417B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6</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080B7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D9A32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森旅部落</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2D1DF0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71FE1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4835</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2978B81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平方米</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459DD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485.00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48F6917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5412D1D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1B9B9E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综合的森林旅游休闲度假地，包含森林冥想、森林瑜伽、森林写生、森林疗愈坊、药膳食疗等</w:t>
            </w:r>
          </w:p>
        </w:tc>
      </w:tr>
      <w:tr w14:paraId="63A52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3E31ABA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7</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F9E54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8E958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糌粑体验坊</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73F4E8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9CC81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5A85F67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53D4F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200.00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CCAFA9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58B860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954FDE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岗云杉林糌粑制作体验场所</w:t>
            </w:r>
          </w:p>
        </w:tc>
      </w:tr>
      <w:tr w14:paraId="29A37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51FB607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8</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66B1E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5374C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迷雾森林</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168219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FF930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7984C29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D98CD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298B9AC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432F2C6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6F3F3B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艺术景观装置</w:t>
            </w:r>
          </w:p>
        </w:tc>
      </w:tr>
      <w:tr w14:paraId="118BB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7FC61AC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9</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E10E8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15E1C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喜德林卡</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606783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E97DB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58B9DF1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96D46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100.00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EFBF0C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招商引资/村民自筹</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2697834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79C2F1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提升改造，进行业态、活动植入</w:t>
            </w:r>
          </w:p>
        </w:tc>
      </w:tr>
      <w:tr w14:paraId="3A12A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7096FD5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10</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05E04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340E7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藏服旅拍</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E20DAA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04912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01023B8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DFE77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0EA79D0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5B5A18F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p w14:paraId="4F7CDAE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4F4B96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引进藏服旅拍业态</w:t>
            </w:r>
          </w:p>
        </w:tc>
      </w:tr>
      <w:tr w14:paraId="7E484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112"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6C1C0D8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11</w:t>
            </w:r>
          </w:p>
        </w:tc>
        <w:tc>
          <w:tcPr>
            <w:tcW w:w="146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197C695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小计</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72EDD69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1888.00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57F1D53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2488C5B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B8E03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5EAB5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25C5E1A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12</w:t>
            </w:r>
          </w:p>
        </w:tc>
        <w:tc>
          <w:tcPr>
            <w:tcW w:w="30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B64D0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云杉生态观光区</w:t>
            </w: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3A19B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岗巴检票口</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9485CC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C613D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66EF1C3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523A0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240.00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548DA1B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37FD49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D889A1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集合检票咨询、旅游服务等功能</w:t>
            </w:r>
          </w:p>
        </w:tc>
      </w:tr>
      <w:tr w14:paraId="1E6C2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1277333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13</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6513E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FD361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徒步系统</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25192B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BD1BB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693C9E8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05910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550.00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7143C50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469CFFE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8D8C0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完善徒步沿线休闲木屋、道路标识系统、休闲座椅等</w:t>
            </w:r>
          </w:p>
        </w:tc>
      </w:tr>
      <w:tr w14:paraId="7FC3B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4729A84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14</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B73BC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B2D63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森林抚育小课堂</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D4BCBF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3BA710">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3B455E65">
            <w:pPr>
              <w:pStyle w:val="28"/>
              <w:tabs>
                <w:tab w:val="left" w:pos="840"/>
              </w:tabs>
              <w:spacing w:line="240" w:lineRule="auto"/>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91E23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280.00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100306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4332983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55D7F2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增加森林科普小课堂</w:t>
            </w:r>
          </w:p>
        </w:tc>
      </w:tr>
      <w:tr w14:paraId="39D64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370DB43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15</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7B27D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7A234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杉林时光</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BD7BCD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6ECF3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46AF29D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BA398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80.00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76DA279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5C72B59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B362A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现状林业用房业态植入升级改造</w:t>
            </w:r>
          </w:p>
        </w:tc>
      </w:tr>
      <w:tr w14:paraId="189A7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448AA38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r>
              <w:rPr>
                <w:rFonts w:hint="eastAsia" w:ascii="Times New Roman" w:hAnsi="Times New Roman" w:cs="Times New Roman"/>
                <w:bCs/>
                <w:color w:val="auto"/>
                <w:kern w:val="0"/>
                <w:szCs w:val="21"/>
                <w:highlight w:val="none"/>
                <w:lang w:val="en-US" w:eastAsia="zh-CN"/>
              </w:rPr>
              <w:t>6</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3BDD9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E8110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云杉自然科普馆 （植物驿站）</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2700D3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728A2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7AC9FBC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7BA94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240.00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1D8FB0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79A976E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B08973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集装箱方式 ，打造波密首个植物主题的科普馆</w:t>
            </w:r>
          </w:p>
        </w:tc>
      </w:tr>
      <w:tr w14:paraId="27B24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737D499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r>
              <w:rPr>
                <w:rFonts w:hint="eastAsia" w:ascii="Times New Roman" w:hAnsi="Times New Roman" w:cs="Times New Roman"/>
                <w:bCs/>
                <w:color w:val="auto"/>
                <w:kern w:val="0"/>
                <w:szCs w:val="21"/>
                <w:highlight w:val="none"/>
                <w:lang w:val="en-US" w:eastAsia="zh-CN"/>
              </w:rPr>
              <w:t>7</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3F787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F9B0A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动物驿站</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60660F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2AACE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523D94C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EB6C3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FC8251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D31C37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6E44B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动物科普知识及救助站</w:t>
            </w:r>
          </w:p>
        </w:tc>
      </w:tr>
      <w:tr w14:paraId="1B7E1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6045FFB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r>
              <w:rPr>
                <w:rFonts w:hint="eastAsia" w:ascii="Times New Roman" w:hAnsi="Times New Roman" w:cs="Times New Roman"/>
                <w:bCs/>
                <w:color w:val="auto"/>
                <w:kern w:val="0"/>
                <w:szCs w:val="21"/>
                <w:highlight w:val="none"/>
                <w:lang w:val="en-US" w:eastAsia="zh-CN"/>
              </w:rPr>
              <w:t>8</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7B943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B8317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森林驿站</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3FC585A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243DA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662978F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35265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65.00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04726C3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F543A2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E044C8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现状小屋木功能植入升级改造</w:t>
            </w:r>
          </w:p>
        </w:tc>
      </w:tr>
      <w:tr w14:paraId="66AA8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7A152A7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19</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9AA21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B8196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创意景观</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3D2D92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6F8D4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5D3531D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FC13E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80.00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7207455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6DB3A2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869F0E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废物利用，树木涂鸦景观等</w:t>
            </w:r>
          </w:p>
        </w:tc>
      </w:tr>
      <w:tr w14:paraId="1FD59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413D924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r>
              <w:rPr>
                <w:rFonts w:hint="eastAsia" w:ascii="Times New Roman" w:hAnsi="Times New Roman" w:cs="Times New Roman"/>
                <w:bCs/>
                <w:color w:val="auto"/>
                <w:kern w:val="0"/>
                <w:szCs w:val="21"/>
                <w:highlight w:val="none"/>
                <w:lang w:val="en-US" w:eastAsia="zh-CN"/>
              </w:rPr>
              <w:t>0</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15F31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EDF32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云杉秘境酒店</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C7CFE2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42B31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2966925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B7DB4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100.00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72521B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1C256D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A66891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现状酒店的外观及周边环境协调性提升改造</w:t>
            </w:r>
          </w:p>
        </w:tc>
      </w:tr>
      <w:tr w14:paraId="46C50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3D98E6C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r>
              <w:rPr>
                <w:rFonts w:hint="eastAsia" w:ascii="Times New Roman" w:hAnsi="Times New Roman" w:cs="Times New Roman"/>
                <w:bCs/>
                <w:color w:val="auto"/>
                <w:kern w:val="0"/>
                <w:szCs w:val="21"/>
                <w:highlight w:val="none"/>
                <w:lang w:val="en-US" w:eastAsia="zh-CN"/>
              </w:rPr>
              <w:t>1</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A24A4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5548F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草湖栈道</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41E5F3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C3F80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6567780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F6387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200.00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4E1D644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49531FA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2557A7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草湖北侧保留现有生态栈道，就地取材，进行提升改造，方便游客近距离游览草湖及森林防火需求。栈道不得设置长围栏，不得对动物形成阻隔效应</w:t>
            </w:r>
          </w:p>
        </w:tc>
      </w:tr>
      <w:tr w14:paraId="28E62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112"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3D505C6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r>
              <w:rPr>
                <w:rFonts w:hint="eastAsia" w:ascii="Times New Roman" w:hAnsi="Times New Roman" w:cs="Times New Roman"/>
                <w:bCs/>
                <w:color w:val="auto"/>
                <w:kern w:val="0"/>
                <w:szCs w:val="21"/>
                <w:highlight w:val="none"/>
                <w:lang w:val="en-US" w:eastAsia="zh-CN"/>
              </w:rPr>
              <w:t>2</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E0E8B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3F293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草湖心屿</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9790B7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1CB0843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779DC01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59981CB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240.00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56370B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043647A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p w14:paraId="2D8D98A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66FB4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森林防火瞭望塔</w:t>
            </w:r>
          </w:p>
        </w:tc>
      </w:tr>
      <w:tr w14:paraId="26C16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6841849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r>
              <w:rPr>
                <w:rFonts w:hint="eastAsia" w:ascii="Times New Roman" w:hAnsi="Times New Roman" w:cs="Times New Roman"/>
                <w:bCs/>
                <w:color w:val="auto"/>
                <w:kern w:val="0"/>
                <w:szCs w:val="21"/>
                <w:highlight w:val="none"/>
                <w:lang w:val="en-US" w:eastAsia="zh-CN"/>
              </w:rPr>
              <w:t>3</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57A04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5AE36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草湖四季</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B907F9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2FB7C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7D743BF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74F9E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8EBE33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60173CD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2DCC0D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吸睛打卡装置及轻户外休闲活动</w:t>
            </w:r>
          </w:p>
        </w:tc>
      </w:tr>
      <w:tr w14:paraId="7A893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7606F96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r>
              <w:rPr>
                <w:rFonts w:hint="eastAsia" w:ascii="Times New Roman" w:hAnsi="Times New Roman" w:cs="Times New Roman"/>
                <w:bCs/>
                <w:color w:val="auto"/>
                <w:kern w:val="0"/>
                <w:szCs w:val="21"/>
                <w:highlight w:val="none"/>
                <w:lang w:val="en-US" w:eastAsia="zh-CN"/>
              </w:rPr>
              <w:t>4</w:t>
            </w:r>
          </w:p>
        </w:tc>
        <w:tc>
          <w:tcPr>
            <w:tcW w:w="146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5C981E3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小计</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DAA84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r>
              <w:rPr>
                <w:rFonts w:hint="eastAsia" w:ascii="Times New Roman" w:hAnsi="Times New Roman" w:cs="Times New Roman"/>
                <w:bCs/>
                <w:color w:val="auto"/>
                <w:kern w:val="0"/>
                <w:szCs w:val="21"/>
                <w:highlight w:val="none"/>
                <w:lang w:val="en-US" w:eastAsia="zh-CN"/>
              </w:rPr>
              <w:t>37</w:t>
            </w:r>
            <w:r>
              <w:rPr>
                <w:rFonts w:hint="default" w:ascii="Times New Roman" w:hAnsi="Times New Roman" w:cs="Times New Roman"/>
                <w:bCs/>
                <w:color w:val="auto"/>
                <w:kern w:val="0"/>
                <w:szCs w:val="21"/>
                <w:highlight w:val="none"/>
                <w:lang w:val="en-US" w:eastAsia="zh-CN"/>
              </w:rPr>
              <w:t>5.00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3F0A2E5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5C701E3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A38696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4B5CD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035BDB4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r>
              <w:rPr>
                <w:rFonts w:hint="eastAsia" w:ascii="Times New Roman" w:hAnsi="Times New Roman" w:cs="Times New Roman"/>
                <w:bCs/>
                <w:color w:val="auto"/>
                <w:kern w:val="0"/>
                <w:szCs w:val="21"/>
                <w:highlight w:val="none"/>
                <w:lang w:val="en-US" w:eastAsia="zh-CN"/>
              </w:rPr>
              <w:t>5</w:t>
            </w:r>
          </w:p>
        </w:tc>
        <w:tc>
          <w:tcPr>
            <w:tcW w:w="30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6D6A98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拉卡自然研学区</w:t>
            </w: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A5956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低碳研学营</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7F722C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59434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792A68A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9A985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450.00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71BAF63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1C0A490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0BBBDB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青少年课外体验式训练营地、兼做动物农场</w:t>
            </w:r>
          </w:p>
        </w:tc>
      </w:tr>
      <w:tr w14:paraId="09E2C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72C8E6E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r>
              <w:rPr>
                <w:rFonts w:hint="eastAsia" w:ascii="Times New Roman" w:hAnsi="Times New Roman" w:cs="Times New Roman"/>
                <w:bCs/>
                <w:color w:val="auto"/>
                <w:kern w:val="0"/>
                <w:szCs w:val="21"/>
                <w:highlight w:val="none"/>
                <w:lang w:val="en-US" w:eastAsia="zh-CN"/>
              </w:rPr>
              <w:t>6</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02B99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8331B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幻光森林</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3ABC119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272B7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5C7D10A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703D0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3A28D1E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1488071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FC6D52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声光电光影装置</w:t>
            </w:r>
          </w:p>
        </w:tc>
      </w:tr>
      <w:tr w14:paraId="2D83B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112"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377374D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r>
              <w:rPr>
                <w:rFonts w:hint="eastAsia" w:ascii="Times New Roman" w:hAnsi="Times New Roman" w:cs="Times New Roman"/>
                <w:bCs/>
                <w:color w:val="auto"/>
                <w:kern w:val="0"/>
                <w:szCs w:val="21"/>
                <w:highlight w:val="none"/>
                <w:lang w:val="en-US" w:eastAsia="zh-CN"/>
              </w:rPr>
              <w:t>7</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C939B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076F4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拉卡人家</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35C7F1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43B25F7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063A358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5B7A189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57FD8F8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5C03700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2175D5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拉卡自然村的服务驿站</w:t>
            </w:r>
          </w:p>
        </w:tc>
      </w:tr>
      <w:tr w14:paraId="7A76D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298591A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28</w:t>
            </w:r>
          </w:p>
        </w:tc>
        <w:tc>
          <w:tcPr>
            <w:tcW w:w="146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6DC3FF8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小计</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BA11A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5</w:t>
            </w:r>
            <w:r>
              <w:rPr>
                <w:rFonts w:hint="default" w:ascii="Times New Roman" w:hAnsi="Times New Roman" w:cs="Times New Roman"/>
                <w:bCs/>
                <w:color w:val="auto"/>
                <w:kern w:val="0"/>
                <w:szCs w:val="21"/>
                <w:highlight w:val="none"/>
                <w:lang w:val="en-US" w:eastAsia="zh-CN"/>
              </w:rPr>
              <w:t>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0A34DFD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3D7921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BA3DC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56EB8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705EF9F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29</w:t>
            </w:r>
          </w:p>
        </w:tc>
        <w:tc>
          <w:tcPr>
            <w:tcW w:w="30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23FD5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巴卡民俗休闲区</w:t>
            </w: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469B0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巴卡检票口</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372F05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14FD3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0AF5B2B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p w14:paraId="077DDFF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C130D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424AD11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1262C09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214DF4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对巴卡村检票口进行升级改造</w:t>
            </w:r>
          </w:p>
        </w:tc>
      </w:tr>
      <w:tr w14:paraId="77D3A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0C731AC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r>
              <w:rPr>
                <w:rFonts w:hint="eastAsia" w:ascii="Times New Roman" w:hAnsi="Times New Roman" w:cs="Times New Roman"/>
                <w:bCs/>
                <w:color w:val="auto"/>
                <w:kern w:val="0"/>
                <w:szCs w:val="21"/>
                <w:highlight w:val="none"/>
                <w:lang w:val="en-US" w:eastAsia="zh-CN"/>
              </w:rPr>
              <w:t>0</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B53CD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D6959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星空露营地</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16690B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94ED2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4648D47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81778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22C67DD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1A3F803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C28802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以星空为幕，帐篷为营，打造星空露营地</w:t>
            </w:r>
          </w:p>
        </w:tc>
      </w:tr>
      <w:tr w14:paraId="28A9D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6552220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r>
              <w:rPr>
                <w:rFonts w:hint="eastAsia" w:ascii="Times New Roman" w:hAnsi="Times New Roman" w:cs="Times New Roman"/>
                <w:bCs/>
                <w:color w:val="auto"/>
                <w:kern w:val="0"/>
                <w:szCs w:val="21"/>
                <w:highlight w:val="none"/>
                <w:lang w:val="en-US" w:eastAsia="zh-CN"/>
              </w:rPr>
              <w:t>1</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665B7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44A4D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巴卡藏乡民宿</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DF5D64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20F0C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6528F61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E1E95C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180.00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21F9A6A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7A6F86E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55EAE0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民俗文化为主题的藏乡特色民宿</w:t>
            </w:r>
          </w:p>
        </w:tc>
      </w:tr>
      <w:tr w14:paraId="01602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4AF8262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r>
              <w:rPr>
                <w:rFonts w:hint="eastAsia" w:ascii="Times New Roman" w:hAnsi="Times New Roman" w:cs="Times New Roman"/>
                <w:bCs/>
                <w:color w:val="auto"/>
                <w:kern w:val="0"/>
                <w:szCs w:val="21"/>
                <w:highlight w:val="none"/>
                <w:lang w:val="en-US" w:eastAsia="zh-CN"/>
              </w:rPr>
              <w:t>2</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25CDF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67114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云杉集市</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3F295A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9C44C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184689D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D57D0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7D3541C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46E485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7FBF43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帐篷形式的农特产品、文创商品销售场地</w:t>
            </w:r>
          </w:p>
        </w:tc>
      </w:tr>
      <w:tr w14:paraId="2FC7E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112"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328A632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r>
              <w:rPr>
                <w:rFonts w:hint="eastAsia" w:ascii="Times New Roman" w:hAnsi="Times New Roman" w:cs="Times New Roman"/>
                <w:bCs/>
                <w:color w:val="auto"/>
                <w:kern w:val="0"/>
                <w:szCs w:val="21"/>
                <w:highlight w:val="none"/>
                <w:lang w:val="en-US" w:eastAsia="zh-CN"/>
              </w:rPr>
              <w:t>3</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A646F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74811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茶韵工坊</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80C287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25E72B8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13DA4CF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76DC0B1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100.00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033ECB0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49520DB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E55262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茶文化互动体验项目</w:t>
            </w:r>
          </w:p>
        </w:tc>
      </w:tr>
      <w:tr w14:paraId="02EFF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3D8D13C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r>
              <w:rPr>
                <w:rFonts w:hint="eastAsia" w:ascii="Times New Roman" w:hAnsi="Times New Roman" w:cs="Times New Roman"/>
                <w:bCs/>
                <w:color w:val="auto"/>
                <w:kern w:val="0"/>
                <w:szCs w:val="21"/>
                <w:highlight w:val="none"/>
                <w:lang w:val="en-US" w:eastAsia="zh-CN"/>
              </w:rPr>
              <w:t>4</w:t>
            </w:r>
          </w:p>
        </w:tc>
        <w:tc>
          <w:tcPr>
            <w:tcW w:w="30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842FE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EFDF3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巴卡创意工坊</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6B25F2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CD738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0B8FB83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934E8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4822269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招商引资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76A3156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BAAA1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非遗手工体验</w:t>
            </w:r>
          </w:p>
        </w:tc>
      </w:tr>
      <w:tr w14:paraId="5D668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3833848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r>
              <w:rPr>
                <w:rFonts w:hint="eastAsia" w:ascii="Times New Roman" w:hAnsi="Times New Roman" w:cs="Times New Roman"/>
                <w:bCs/>
                <w:color w:val="auto"/>
                <w:kern w:val="0"/>
                <w:szCs w:val="21"/>
                <w:highlight w:val="none"/>
                <w:lang w:val="en-US" w:eastAsia="zh-CN"/>
              </w:rPr>
              <w:t>5</w:t>
            </w:r>
          </w:p>
        </w:tc>
        <w:tc>
          <w:tcPr>
            <w:tcW w:w="146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240557A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小计</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5CB3A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880.00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AD6B93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7F92BFC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4114B3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56EA3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24B6F1D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r>
              <w:rPr>
                <w:rFonts w:hint="eastAsia" w:ascii="Times New Roman" w:hAnsi="Times New Roman" w:cs="Times New Roman"/>
                <w:bCs/>
                <w:color w:val="auto"/>
                <w:kern w:val="0"/>
                <w:szCs w:val="21"/>
                <w:highlight w:val="none"/>
                <w:lang w:val="en-US" w:eastAsia="zh-CN"/>
              </w:rPr>
              <w:t>6</w:t>
            </w:r>
          </w:p>
        </w:tc>
        <w:tc>
          <w:tcPr>
            <w:tcW w:w="9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5D5B7A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入口形象</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B9BA9B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1B69D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37679E7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2F961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A6875D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54B4400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E773B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对岗巴村、巴卡村景区入口形象进行提升改造</w:t>
            </w:r>
          </w:p>
        </w:tc>
      </w:tr>
      <w:tr w14:paraId="7D98C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5FD190C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r>
              <w:rPr>
                <w:rFonts w:hint="eastAsia" w:ascii="Times New Roman" w:hAnsi="Times New Roman" w:cs="Times New Roman"/>
                <w:bCs/>
                <w:color w:val="auto"/>
                <w:kern w:val="0"/>
                <w:szCs w:val="21"/>
                <w:highlight w:val="none"/>
                <w:lang w:val="en-US" w:eastAsia="zh-CN"/>
              </w:rPr>
              <w:t>7</w:t>
            </w:r>
          </w:p>
        </w:tc>
        <w:tc>
          <w:tcPr>
            <w:tcW w:w="9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2E43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标识系统</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A54428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236F3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7BB338F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2FE33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350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A6B48E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00D2E64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6278FC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按照4A景区标准完善景区内部标识系统</w:t>
            </w:r>
          </w:p>
        </w:tc>
      </w:tr>
      <w:tr w14:paraId="742DB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112"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48F6903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38</w:t>
            </w:r>
          </w:p>
        </w:tc>
        <w:tc>
          <w:tcPr>
            <w:tcW w:w="9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D1BAEB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生态厕所</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688930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3E4AF99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18D62E2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73BA5DA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5FA4C34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70E1592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5EF588E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在植物驿站、草湖、拉卡自然村3处</w:t>
            </w:r>
          </w:p>
        </w:tc>
      </w:tr>
      <w:tr w14:paraId="732F5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743F699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39</w:t>
            </w:r>
          </w:p>
        </w:tc>
        <w:tc>
          <w:tcPr>
            <w:tcW w:w="9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6FBCC3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旅游厕所提升</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292AF1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D3D17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7C5B36B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61777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150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37F8A3B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4F0D176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ECBAC4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按照《旅游厕所质量要求与评定》（GB/T18973—2022）进行Ⅱ类厕所改造提升</w:t>
            </w:r>
          </w:p>
        </w:tc>
      </w:tr>
      <w:tr w14:paraId="4A4D6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7DDBA42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4</w:t>
            </w:r>
            <w:r>
              <w:rPr>
                <w:rFonts w:hint="eastAsia" w:ascii="Times New Roman" w:hAnsi="Times New Roman" w:cs="Times New Roman"/>
                <w:bCs/>
                <w:color w:val="auto"/>
                <w:kern w:val="0"/>
                <w:szCs w:val="21"/>
                <w:highlight w:val="none"/>
                <w:lang w:val="en-US" w:eastAsia="zh-CN"/>
              </w:rPr>
              <w:t>0</w:t>
            </w:r>
          </w:p>
        </w:tc>
        <w:tc>
          <w:tcPr>
            <w:tcW w:w="9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EC3E15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生态停车场提升</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FE460B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提升改造</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C556B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0BFE3E4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43760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70C6B1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1AECA30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2138474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岗巴检票口、巴卡检票口、低碳研学营（达美客栈）3处，按照4A景区评定标准，规范停车场划线分区、管理服务</w:t>
            </w:r>
          </w:p>
        </w:tc>
      </w:tr>
      <w:tr w14:paraId="259D4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112"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48AB5C7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4</w:t>
            </w:r>
            <w:r>
              <w:rPr>
                <w:rFonts w:hint="eastAsia" w:ascii="Times New Roman" w:hAnsi="Times New Roman" w:cs="Times New Roman"/>
                <w:bCs/>
                <w:color w:val="auto"/>
                <w:kern w:val="0"/>
                <w:szCs w:val="21"/>
                <w:highlight w:val="none"/>
                <w:lang w:val="en-US" w:eastAsia="zh-CN"/>
              </w:rPr>
              <w:t>1</w:t>
            </w:r>
          </w:p>
        </w:tc>
        <w:tc>
          <w:tcPr>
            <w:tcW w:w="9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2A28B4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岗云杉林导览APP</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3A9623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新建</w:t>
            </w:r>
          </w:p>
        </w:tc>
        <w:tc>
          <w:tcPr>
            <w:tcW w:w="191"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335C954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55" w:type="pct"/>
            <w:tcBorders>
              <w:top w:val="single" w:color="auto" w:sz="4" w:space="0"/>
              <w:left w:val="single" w:color="auto" w:sz="4" w:space="0"/>
              <w:bottom w:val="single" w:color="auto" w:sz="4" w:space="0"/>
              <w:right w:val="single" w:color="auto" w:sz="4" w:space="0"/>
            </w:tcBorders>
            <w:shd w:val="clear" w:color="auto" w:fill="auto"/>
            <w:vAlign w:val="center"/>
          </w:tcPr>
          <w:p w14:paraId="0608473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7252CC3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150.00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008DA96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0F03889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中远期</w:t>
            </w: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BE6BD7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景区导览、预约、互动APP</w:t>
            </w:r>
          </w:p>
        </w:tc>
      </w:tr>
      <w:tr w14:paraId="28A7D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vAlign w:val="center"/>
          </w:tcPr>
          <w:p w14:paraId="54F5B5C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4</w:t>
            </w:r>
            <w:r>
              <w:rPr>
                <w:rFonts w:hint="eastAsia" w:ascii="Times New Roman" w:hAnsi="Times New Roman" w:cs="Times New Roman"/>
                <w:bCs/>
                <w:color w:val="auto"/>
                <w:kern w:val="0"/>
                <w:szCs w:val="21"/>
                <w:highlight w:val="none"/>
                <w:lang w:val="en-US" w:eastAsia="zh-CN"/>
              </w:rPr>
              <w:t>2</w:t>
            </w:r>
          </w:p>
        </w:tc>
        <w:tc>
          <w:tcPr>
            <w:tcW w:w="146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02F0144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小计</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5BF61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1100.00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D0F840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42E9798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60ED7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33E58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112" w:type="pct"/>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5FAA1F0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4</w:t>
            </w:r>
            <w:r>
              <w:rPr>
                <w:rFonts w:hint="eastAsia" w:ascii="Times New Roman" w:hAnsi="Times New Roman" w:cs="Times New Roman"/>
                <w:bCs/>
                <w:color w:val="auto"/>
                <w:kern w:val="0"/>
                <w:szCs w:val="21"/>
                <w:highlight w:val="none"/>
                <w:lang w:val="en-US" w:eastAsia="zh-CN"/>
              </w:rPr>
              <w:t>3</w:t>
            </w:r>
          </w:p>
        </w:tc>
        <w:tc>
          <w:tcPr>
            <w:tcW w:w="146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7988C69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总计</w:t>
            </w:r>
          </w:p>
        </w:tc>
        <w:tc>
          <w:tcPr>
            <w:tcW w:w="314" w:type="pct"/>
            <w:gridSpan w:val="2"/>
            <w:tcBorders>
              <w:top w:val="single" w:color="auto" w:sz="4" w:space="0"/>
              <w:left w:val="single" w:color="auto" w:sz="4" w:space="0"/>
              <w:bottom w:val="single" w:color="auto" w:sz="4" w:space="0"/>
              <w:right w:val="single" w:color="auto" w:sz="4" w:space="0"/>
            </w:tcBorders>
            <w:shd w:val="clear" w:color="auto" w:fill="auto"/>
            <w:tcMar>
              <w:top w:w="1" w:type="dxa"/>
            </w:tcMar>
            <w:vAlign w:val="center"/>
          </w:tcPr>
          <w:p w14:paraId="05BAA14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6793</w:t>
            </w:r>
            <w:r>
              <w:rPr>
                <w:rFonts w:hint="default" w:ascii="Times New Roman" w:hAnsi="Times New Roman" w:cs="Times New Roman"/>
                <w:bCs/>
                <w:color w:val="auto"/>
                <w:kern w:val="0"/>
                <w:szCs w:val="21"/>
                <w:highlight w:val="none"/>
                <w:lang w:val="en-US" w:eastAsia="zh-CN"/>
              </w:rPr>
              <w:t>.00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7541241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216A888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22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AD34C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3A1CB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373D62C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二、基础设施费</w:t>
            </w:r>
          </w:p>
        </w:tc>
      </w:tr>
      <w:tr w14:paraId="3D520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2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09E69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序号</w:t>
            </w:r>
          </w:p>
        </w:tc>
        <w:tc>
          <w:tcPr>
            <w:tcW w:w="106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D15C1F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类别</w:t>
            </w:r>
          </w:p>
        </w:tc>
        <w:tc>
          <w:tcPr>
            <w:tcW w:w="4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CA604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工程量</w:t>
            </w:r>
          </w:p>
        </w:tc>
        <w:tc>
          <w:tcPr>
            <w:tcW w:w="66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CBE0B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单位</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4828E29B">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小计（万）</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7AAF528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投资类别</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760B4B1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建设期限</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35A0487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备注</w:t>
            </w:r>
          </w:p>
        </w:tc>
      </w:tr>
      <w:tr w14:paraId="34899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2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884AC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106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C55BBE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道路工程</w:t>
            </w:r>
          </w:p>
        </w:tc>
        <w:tc>
          <w:tcPr>
            <w:tcW w:w="4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123439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12</w:t>
            </w:r>
          </w:p>
        </w:tc>
        <w:tc>
          <w:tcPr>
            <w:tcW w:w="66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F15E2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公里</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7A049C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3600.00</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62DD556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1181E64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5EDB607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5128D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2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815BD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w:t>
            </w:r>
          </w:p>
        </w:tc>
        <w:tc>
          <w:tcPr>
            <w:tcW w:w="106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5EAB032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电力工程</w:t>
            </w:r>
          </w:p>
        </w:tc>
        <w:tc>
          <w:tcPr>
            <w:tcW w:w="4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284274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66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E205F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12BD685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200.00</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4ED2EBC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633983B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79A338C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30C1C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2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84064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w:t>
            </w:r>
          </w:p>
        </w:tc>
        <w:tc>
          <w:tcPr>
            <w:tcW w:w="106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6EB4994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电信工程</w:t>
            </w:r>
          </w:p>
        </w:tc>
        <w:tc>
          <w:tcPr>
            <w:tcW w:w="4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5A2A7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66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6D59B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5DAFDF6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200.00</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176645C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42CA2EE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4C67E82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60803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2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16AC2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4</w:t>
            </w:r>
          </w:p>
        </w:tc>
        <w:tc>
          <w:tcPr>
            <w:tcW w:w="106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02BD831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给水工程</w:t>
            </w:r>
          </w:p>
        </w:tc>
        <w:tc>
          <w:tcPr>
            <w:tcW w:w="4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313D2B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66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DB4EA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098B847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350.00</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2A14B48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251EA7B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3D3BE9B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3DD43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2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F21BF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5</w:t>
            </w:r>
          </w:p>
        </w:tc>
        <w:tc>
          <w:tcPr>
            <w:tcW w:w="106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0480C38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排水工程</w:t>
            </w:r>
          </w:p>
        </w:tc>
        <w:tc>
          <w:tcPr>
            <w:tcW w:w="4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2F541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66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70632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6910945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600.00</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6194822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3A3BD4A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4B983B2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54E72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2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4F1C0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6</w:t>
            </w:r>
          </w:p>
        </w:tc>
        <w:tc>
          <w:tcPr>
            <w:tcW w:w="106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9EDB91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环卫设施</w:t>
            </w:r>
          </w:p>
        </w:tc>
        <w:tc>
          <w:tcPr>
            <w:tcW w:w="4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18824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66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DD03E7">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1D7C1F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200.00</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085EA7DA">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43ED3A3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172135FD">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7A71C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2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E58A44">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7</w:t>
            </w:r>
          </w:p>
        </w:tc>
        <w:tc>
          <w:tcPr>
            <w:tcW w:w="106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54E7349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消防设施</w:t>
            </w:r>
          </w:p>
        </w:tc>
        <w:tc>
          <w:tcPr>
            <w:tcW w:w="4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083E47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w:t>
            </w:r>
          </w:p>
        </w:tc>
        <w:tc>
          <w:tcPr>
            <w:tcW w:w="66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56400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项</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702B3E8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100.00</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66F2E906">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政府投资</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3856597F">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近期</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7EDAC49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6EA0D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2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D896C5">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8</w:t>
            </w:r>
          </w:p>
        </w:tc>
        <w:tc>
          <w:tcPr>
            <w:tcW w:w="2135"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3A35C148">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小计</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3DD6B80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5250.00</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378EA97C">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7F3C0BF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204A1102">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r w14:paraId="240C0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2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0E2279">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9</w:t>
            </w:r>
          </w:p>
        </w:tc>
        <w:tc>
          <w:tcPr>
            <w:tcW w:w="2135"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0A2FE7DE">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合计</w:t>
            </w:r>
          </w:p>
        </w:tc>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14:paraId="6144B56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12393.00</w:t>
            </w: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59DFF113">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893" w:type="pct"/>
            <w:tcBorders>
              <w:top w:val="single" w:color="auto" w:sz="4" w:space="0"/>
              <w:left w:val="single" w:color="auto" w:sz="4" w:space="0"/>
              <w:bottom w:val="single" w:color="auto" w:sz="4" w:space="0"/>
              <w:right w:val="single" w:color="auto" w:sz="4" w:space="0"/>
            </w:tcBorders>
            <w:shd w:val="clear" w:color="auto" w:fill="auto"/>
            <w:vAlign w:val="center"/>
          </w:tcPr>
          <w:p w14:paraId="2D11B471">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078AC710">
            <w:pPr>
              <w:pStyle w:val="28"/>
              <w:tabs>
                <w:tab w:val="left" w:pos="840"/>
              </w:tabs>
              <w:spacing w:line="240" w:lineRule="auto"/>
              <w:jc w:val="center"/>
              <w:rPr>
                <w:rFonts w:hint="default" w:ascii="Times New Roman" w:hAnsi="Times New Roman" w:cs="Times New Roman"/>
                <w:bCs/>
                <w:color w:val="auto"/>
                <w:kern w:val="0"/>
                <w:szCs w:val="21"/>
                <w:highlight w:val="none"/>
                <w:lang w:val="en-US" w:eastAsia="zh-CN"/>
              </w:rPr>
            </w:pPr>
          </w:p>
        </w:tc>
      </w:tr>
    </w:tbl>
    <w:p w14:paraId="015AF3D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p>
    <w:p w14:paraId="7EB993C5">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sectPr>
          <w:pgSz w:w="16838" w:h="11906" w:orient="landscape"/>
          <w:pgMar w:top="1474" w:right="1474" w:bottom="1474" w:left="1474" w:header="1134" w:footer="850" w:gutter="0"/>
          <w:pgBorders>
            <w:top w:val="none" w:sz="0" w:space="0"/>
            <w:left w:val="none" w:sz="0" w:space="0"/>
            <w:bottom w:val="none" w:sz="0" w:space="0"/>
            <w:right w:val="none" w:sz="0" w:space="0"/>
          </w:pgBorders>
          <w:cols w:space="720" w:num="1"/>
          <w:docGrid w:type="lines" w:linePitch="312" w:charSpace="0"/>
        </w:sectPr>
      </w:pPr>
    </w:p>
    <w:p w14:paraId="7416C443">
      <w:pPr>
        <w:pStyle w:val="4"/>
        <w:spacing w:before="156" w:after="156"/>
        <w:rPr>
          <w:rFonts w:hint="default" w:ascii="Times New Roman" w:hAnsi="Times New Roman" w:cs="Times New Roman"/>
          <w:color w:val="auto"/>
          <w:highlight w:val="none"/>
        </w:rPr>
      </w:pPr>
      <w:bookmarkStart w:id="82" w:name="_Toc529811213"/>
      <w:r>
        <w:rPr>
          <w:rFonts w:hint="default" w:ascii="Times New Roman" w:hAnsi="Times New Roman" w:cs="Times New Roman"/>
          <w:color w:val="auto"/>
          <w:highlight w:val="none"/>
        </w:rPr>
        <w:t>生态与环境保护规划</w:t>
      </w:r>
      <w:bookmarkEnd w:id="82"/>
    </w:p>
    <w:p w14:paraId="614CB78F">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饮用水源保护规划</w:t>
      </w:r>
    </w:p>
    <w:p w14:paraId="6A58BF31">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坚持先规划、后开发，先环评、后建设的环保优先方针；</w:t>
      </w:r>
    </w:p>
    <w:p w14:paraId="629233A2">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完善规划区污水处理设施和配套管网；</w:t>
      </w:r>
    </w:p>
    <w:p w14:paraId="55AFD90B">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增加各旅游景区（点）环保警示牌，增强游客和居民的节水、保水意识；</w:t>
      </w:r>
    </w:p>
    <w:p w14:paraId="18A4016C">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建立和完善区域水污染防治机制，严格控制</w:t>
      </w:r>
      <w:r>
        <w:rPr>
          <w:rFonts w:hint="default" w:ascii="Times New Roman" w:hAnsi="Times New Roman" w:cs="Times New Roman"/>
          <w:color w:val="auto"/>
          <w:kern w:val="0"/>
          <w:sz w:val="24"/>
          <w:highlight w:val="none"/>
          <w:lang w:eastAsia="zh-CN"/>
        </w:rPr>
        <w:t>帕隆藏布</w:t>
      </w:r>
      <w:r>
        <w:rPr>
          <w:rFonts w:hint="default" w:ascii="Times New Roman" w:hAnsi="Times New Roman" w:cs="Times New Roman"/>
          <w:color w:val="auto"/>
          <w:kern w:val="0"/>
          <w:sz w:val="24"/>
          <w:highlight w:val="none"/>
        </w:rPr>
        <w:t>水域周边旅游项目的建设，确保污水达标；</w:t>
      </w:r>
    </w:p>
    <w:p w14:paraId="2665DC63">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应当建设污水污物处理设施，</w:t>
      </w:r>
      <w:r>
        <w:rPr>
          <w:rFonts w:hint="default" w:ascii="Times New Roman" w:hAnsi="Times New Roman" w:cs="Times New Roman"/>
          <w:color w:val="auto"/>
          <w:kern w:val="0"/>
          <w:sz w:val="24"/>
          <w:highlight w:val="none"/>
          <w:lang w:val="en-US" w:eastAsia="zh-CN"/>
        </w:rPr>
        <w:t>生活污水</w:t>
      </w:r>
      <w:r>
        <w:rPr>
          <w:rFonts w:hint="default" w:ascii="Times New Roman" w:hAnsi="Times New Roman" w:cs="Times New Roman"/>
          <w:color w:val="auto"/>
          <w:kern w:val="0"/>
          <w:sz w:val="24"/>
          <w:highlight w:val="none"/>
        </w:rPr>
        <w:t>不得排入水体。</w:t>
      </w:r>
    </w:p>
    <w:p w14:paraId="17E271D0">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2、噪声环境保护规划</w:t>
      </w:r>
    </w:p>
    <w:p w14:paraId="263E16BC">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（1）加强道路管理，通过与交通部门合作，完善交通信号标识，采用设置禁鸣区、禁鸣路段、噪声达标区、动物通道等手段；</w:t>
      </w:r>
    </w:p>
    <w:p w14:paraId="709D27C1">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（2）加强道路两侧绿化带建设，减少车辆噪声污染；</w:t>
      </w:r>
    </w:p>
    <w:p w14:paraId="4BC8B7E3">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（3）各景点内规范游客行为，禁止大声喧哗；</w:t>
      </w:r>
    </w:p>
    <w:p w14:paraId="0B569B6B">
      <w:pPr>
        <w:pStyle w:val="28"/>
        <w:tabs>
          <w:tab w:val="left" w:pos="840"/>
        </w:tabs>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lang w:val="en-US" w:eastAsia="zh-CN"/>
        </w:rPr>
        <w:t>（4）认真落实《中华人民共和国环境噪声法》，严肃处理噪声扰民事件，进一步提高规划区的环境噪声质量。</w:t>
      </w:r>
    </w:p>
    <w:p w14:paraId="0DF2BD89">
      <w:pPr>
        <w:pStyle w:val="28"/>
        <w:tabs>
          <w:tab w:val="left" w:pos="840"/>
        </w:tabs>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3、大气环境保护规划</w:t>
      </w:r>
    </w:p>
    <w:p w14:paraId="4CC1EBFA">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区域区内的道路采用沥青路面、混凝土路面或石板路面，避免沙尘飞扬</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需外购商品混凝土等，不得自行大规模搅拌</w:t>
      </w:r>
      <w:r>
        <w:rPr>
          <w:rFonts w:hint="default" w:ascii="Times New Roman" w:hAnsi="Times New Roman" w:cs="Times New Roman"/>
          <w:color w:val="auto"/>
          <w:kern w:val="0"/>
          <w:sz w:val="24"/>
          <w:highlight w:val="none"/>
        </w:rPr>
        <w:t>；</w:t>
      </w:r>
    </w:p>
    <w:p w14:paraId="3E6FC4D3">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公路两侧、停车场周围多栽种能吸尘、净化空气的树种，以净化空气；</w:t>
      </w:r>
    </w:p>
    <w:p w14:paraId="61E52D05">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旅游内推广使用清洁能源，大力发展天然气、水电、太阳能等高效清洁能源，逐步改变传统的柴薪和煤炭使用习惯，减少废气排放量；</w:t>
      </w:r>
    </w:p>
    <w:p w14:paraId="352E7783">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在</w:t>
      </w:r>
      <w:r>
        <w:rPr>
          <w:rFonts w:hint="default" w:ascii="Times New Roman" w:hAnsi="Times New Roman" w:cs="Times New Roman"/>
          <w:color w:val="auto"/>
          <w:kern w:val="0"/>
          <w:sz w:val="24"/>
          <w:highlight w:val="none"/>
          <w:lang w:val="en-US" w:eastAsia="zh-CN"/>
        </w:rPr>
        <w:t>景区</w:t>
      </w:r>
      <w:r>
        <w:rPr>
          <w:rFonts w:hint="default" w:ascii="Times New Roman" w:hAnsi="Times New Roman" w:cs="Times New Roman"/>
          <w:color w:val="auto"/>
          <w:kern w:val="0"/>
          <w:sz w:val="24"/>
          <w:highlight w:val="none"/>
        </w:rPr>
        <w:t>内严格控制机动车流量，提倡使用无污染型交通工具，以减少污染。</w:t>
      </w:r>
    </w:p>
    <w:p w14:paraId="7707F0F5">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固体废弃物保护规划</w:t>
      </w:r>
    </w:p>
    <w:p w14:paraId="56DDE9EC">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各大景点根据需要设垃圾</w:t>
      </w:r>
      <w:r>
        <w:rPr>
          <w:rFonts w:hint="default" w:ascii="Times New Roman" w:hAnsi="Times New Roman" w:cs="Times New Roman"/>
          <w:color w:val="auto"/>
          <w:kern w:val="0"/>
          <w:sz w:val="24"/>
          <w:highlight w:val="none"/>
          <w:lang w:val="en-US" w:eastAsia="zh-CN"/>
        </w:rPr>
        <w:t>桶</w:t>
      </w:r>
      <w:r>
        <w:rPr>
          <w:rFonts w:hint="default" w:ascii="Times New Roman" w:hAnsi="Times New Roman" w:cs="Times New Roman"/>
          <w:color w:val="auto"/>
          <w:kern w:val="0"/>
          <w:sz w:val="24"/>
          <w:highlight w:val="none"/>
        </w:rPr>
        <w:t>，对垃圾进行分类收集，分可回收物、不可回收、有害垃圾等，并进行定时清扫；</w:t>
      </w:r>
    </w:p>
    <w:p w14:paraId="7FDE3281">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按照景区、景点分布和游览线路，合理布设生态厕所，对公厕的粪便定期清理；</w:t>
      </w:r>
    </w:p>
    <w:p w14:paraId="6F2B4C64">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限制各经营摊点塑料袋和一次性餐具的使用。</w:t>
      </w:r>
    </w:p>
    <w:p w14:paraId="5B55E1E2">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5、生态环境保护规划</w:t>
      </w:r>
    </w:p>
    <w:p w14:paraId="026BA65C">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制止对生态环境的人为消极作用：对游客进行疏导，使游客在景区内合理分布，严禁游客和居民进入生态危机区和不利区进行活动；通过对团队和散客的游赏时间控制，对游览时间进行管理；严格按照总体规划的规划，有步骤、分阶段地对项目开发和经营进行管理。</w:t>
      </w:r>
    </w:p>
    <w:p w14:paraId="43DBD38A">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（2）保护景区内自然综合体原貌：对景区内所有物种群进行严格保护，维护其结构和功能；严格保护岗云杉林、湿地、自然山体等典型景观的自然原貌。</w:t>
      </w:r>
    </w:p>
    <w:p w14:paraId="1EA6E6C3">
      <w:pPr>
        <w:pStyle w:val="28"/>
        <w:tabs>
          <w:tab w:val="left" w:pos="840"/>
        </w:tabs>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（3）提供自然环境的自我恢复能力：严格执行国家规定的大气、水、噪声等环境质量标准，控制和降低各项污染程度；采取人工手段，营造适应景区生态环境要求的风景林、防护林。</w:t>
      </w:r>
    </w:p>
    <w:p w14:paraId="2C97DF33">
      <w:pPr>
        <w:pStyle w:val="28"/>
        <w:tabs>
          <w:tab w:val="left" w:pos="840"/>
        </w:tabs>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（4）政府牵头统一制定村规民约：将生态环境保护写入村规民约，实行农户“门前三包”，开展示范清洁家庭、洁净村庄、动态竞赛活动，营造岗云杉林景区共建共享生态文明的良好氛围。</w:t>
      </w:r>
    </w:p>
    <w:p w14:paraId="1E16717C">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野生动植物保护规划</w:t>
      </w:r>
    </w:p>
    <w:p w14:paraId="7594EE4C">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人为活动科学管控</w:t>
      </w:r>
    </w:p>
    <w:p w14:paraId="5A6492B1">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景区内车辆限速20km/h，设置“静音区”标识，禁止鸣笛、大声喧哗，避免惊扰黑鹳、藏雪鸡等野生动物。</w:t>
      </w:r>
    </w:p>
    <w:p w14:paraId="030D8C87">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青稞田园区采用生物防治技术，减少农药使用，避免农田污染物扩散，保障野生动物取食植物种子、昆虫时的食品安全。</w:t>
      </w:r>
    </w:p>
    <w:p w14:paraId="6228652E">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监测与应急救助</w:t>
      </w:r>
    </w:p>
    <w:p w14:paraId="549B944F">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景区微信公众号开设“动物保护”专栏，公布救助电话与保护动态，鼓励游客参与监督与线索提供。</w:t>
      </w:r>
    </w:p>
    <w:p w14:paraId="6203DC2F">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生态协同与科普宣传</w:t>
      </w:r>
    </w:p>
    <w:p w14:paraId="0F03542D">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结合</w:t>
      </w:r>
      <w:r>
        <w:rPr>
          <w:rFonts w:hint="default" w:ascii="Times New Roman" w:hAnsi="Times New Roman" w:cs="Times New Roman"/>
          <w:color w:val="auto"/>
          <w:kern w:val="0"/>
          <w:sz w:val="24"/>
          <w:highlight w:val="none"/>
          <w:lang w:val="en-US" w:eastAsia="zh-CN"/>
        </w:rPr>
        <w:t>野生动物</w:t>
      </w:r>
      <w:r>
        <w:rPr>
          <w:rFonts w:hint="default" w:ascii="Times New Roman" w:hAnsi="Times New Roman" w:cs="Times New Roman"/>
          <w:color w:val="auto"/>
          <w:kern w:val="0"/>
          <w:sz w:val="24"/>
          <w:highlight w:val="none"/>
        </w:rPr>
        <w:t>迁徙习性，合理规划各节庆等活动时段，避开其繁殖期与迁徙高峰期的核心活动时段。</w:t>
      </w:r>
    </w:p>
    <w:p w14:paraId="11138CED">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在游客中心、导览手册及线上平台，科普野生动植物科普知识，植入文明旅游、保护栖息地的理念。</w:t>
      </w:r>
    </w:p>
    <w:p w14:paraId="57E9A40C">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联动周边社区与合作社，开展“保护野生动植物”活动，引导村民参与栖息地维护，形成景区、社区、游客共治的保护格局。</w:t>
      </w:r>
    </w:p>
    <w:p w14:paraId="295BDE14">
      <w:pPr>
        <w:pStyle w:val="3"/>
        <w:adjustRightInd/>
        <w:spacing w:before="156" w:after="156"/>
        <w:rPr>
          <w:rFonts w:hint="default" w:ascii="Times New Roman" w:hAnsi="Times New Roman" w:cs="Times New Roman"/>
          <w:color w:val="auto"/>
          <w:highlight w:val="none"/>
        </w:rPr>
      </w:pPr>
      <w:bookmarkStart w:id="83" w:name="_Toc31413"/>
      <w:r>
        <w:rPr>
          <w:rFonts w:hint="default" w:ascii="Times New Roman" w:hAnsi="Times New Roman" w:cs="Times New Roman"/>
          <w:color w:val="auto"/>
          <w:highlight w:val="none"/>
        </w:rPr>
        <w:t>规划协调性分析</w:t>
      </w:r>
      <w:bookmarkEnd w:id="83"/>
    </w:p>
    <w:p w14:paraId="4463658E">
      <w:pPr>
        <w:pStyle w:val="4"/>
        <w:adjustRightInd/>
        <w:spacing w:before="156" w:after="156"/>
        <w:ind w:left="823" w:hanging="823" w:hangingChars="343"/>
        <w:rPr>
          <w:rFonts w:hint="default" w:ascii="Times New Roman" w:hAnsi="Times New Roman" w:cs="Times New Roman"/>
          <w:color w:val="auto"/>
          <w:highlight w:val="none"/>
        </w:rPr>
      </w:pPr>
      <w:r>
        <w:rPr>
          <w:rFonts w:hint="default" w:ascii="Times New Roman" w:hAnsi="Times New Roman" w:cs="Times New Roman"/>
          <w:color w:val="auto"/>
          <w:highlight w:val="none"/>
        </w:rPr>
        <w:t>与法律法规符合性分析</w:t>
      </w:r>
    </w:p>
    <w:p w14:paraId="343BCC95">
      <w:pPr>
        <w:pStyle w:val="5"/>
        <w:adjustRightInd/>
        <w:spacing w:before="156" w:after="15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与《中华人民共和国旅游法》（2018年修正）符合性分析</w:t>
      </w:r>
    </w:p>
    <w:p w14:paraId="75243B5B">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《中华人民共和国旅游法》（2018年修正）规定：</w:t>
      </w:r>
    </w:p>
    <w:p w14:paraId="0A05F9FD">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第十九条旅游发展规划应当与土地利用总体规划、城乡规划、环境保护规划以及其他自然资源和文物等人文资源的保护和利用规划相衔接。</w:t>
      </w:r>
    </w:p>
    <w:p w14:paraId="22540FFE">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第二十一条对自然资源和文物等人文资源进行旅游利用，必须严格遵守有关法律、法规的规定，符合资源、生态保护和文物安全的要求，尊重和维护当地传统文化和习俗，维护资源的区域整体性、文化代表性和地域特殊性，并考虑军事设施保护的需要。有关主管部门应当加强对资源保护和旅游利用状况的监督检查。</w:t>
      </w:r>
    </w:p>
    <w:p w14:paraId="0DF635C7">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本规划根据《</w:t>
      </w:r>
      <w:r>
        <w:rPr>
          <w:rFonts w:hint="default" w:ascii="Times New Roman" w:hAnsi="Times New Roman" w:cs="Times New Roman"/>
          <w:color w:val="auto"/>
          <w:kern w:val="0"/>
          <w:sz w:val="24"/>
          <w:highlight w:val="none"/>
          <w:lang w:eastAsia="zh-CN"/>
        </w:rPr>
        <w:t>波密县</w:t>
      </w:r>
      <w:r>
        <w:rPr>
          <w:rFonts w:hint="default" w:ascii="Times New Roman" w:hAnsi="Times New Roman" w:cs="Times New Roman"/>
          <w:color w:val="auto"/>
          <w:kern w:val="0"/>
          <w:sz w:val="24"/>
          <w:highlight w:val="none"/>
        </w:rPr>
        <w:t>国土空间总体规划（2021—2035年）》等关于保护和利用的资源和环境的要求进行设计，能与当地上级和同级规划相衔接。规划区内包含</w:t>
      </w:r>
      <w:r>
        <w:rPr>
          <w:rFonts w:hint="default" w:ascii="Times New Roman" w:hAnsi="Times New Roman" w:cs="Times New Roman"/>
          <w:color w:val="auto"/>
          <w:kern w:val="0"/>
          <w:sz w:val="24"/>
          <w:highlight w:val="none"/>
          <w:lang w:eastAsia="zh-CN"/>
        </w:rPr>
        <w:t>岗云杉林</w:t>
      </w:r>
      <w:r>
        <w:rPr>
          <w:rFonts w:hint="default" w:ascii="Times New Roman" w:hAnsi="Times New Roman" w:cs="Times New Roman"/>
          <w:color w:val="auto"/>
          <w:kern w:val="0"/>
          <w:sz w:val="24"/>
          <w:highlight w:val="none"/>
        </w:rPr>
        <w:t>等，规划实施以“</w:t>
      </w:r>
      <w:r>
        <w:rPr>
          <w:rFonts w:hint="default" w:ascii="Times New Roman" w:hAnsi="Times New Roman" w:cs="Times New Roman"/>
          <w:color w:val="auto"/>
          <w:kern w:val="0"/>
          <w:sz w:val="24"/>
          <w:highlight w:val="none"/>
          <w:lang w:val="en-US" w:eastAsia="zh-CN"/>
        </w:rPr>
        <w:t>低干扰开发为原则，在保留云杉林原始风貌基础上，完善相应的基础服务设施，增加生态观光、户外运动、科普研学等项目，提升景区的可游性，提高旅游品质，丰富游客体验，实现人与自然和谐相处</w:t>
      </w:r>
      <w:r>
        <w:rPr>
          <w:rFonts w:hint="default" w:ascii="Times New Roman" w:hAnsi="Times New Roman" w:cs="Times New Roman"/>
          <w:color w:val="auto"/>
          <w:kern w:val="0"/>
          <w:sz w:val="24"/>
          <w:highlight w:val="none"/>
        </w:rPr>
        <w:t>”为原则，严格遵守国家有关法律、法规的规定，保护当地的自然资源、人文资源和民族特色，发展生态旅游。因此，本规划符合《中华人民共和国旅游法》（2018年修正）要求。</w:t>
      </w:r>
    </w:p>
    <w:p w14:paraId="3979D71B">
      <w:pPr>
        <w:pStyle w:val="5"/>
        <w:spacing w:before="156" w:after="15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与《西藏自治区旅游条例》（2017年）符合性分析</w:t>
      </w:r>
    </w:p>
    <w:p w14:paraId="123DE90C">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《西藏自治区旅游条例》（2017年）规定：</w:t>
      </w:r>
    </w:p>
    <w:p w14:paraId="6C223AB6">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第四条 开发旅游资源应当统一规划、突出特色、融合发展、合理利用、惠民利民、科学保护和可持续发展，实现经济效益、社会效益和生态效益相统一。</w:t>
      </w:r>
    </w:p>
    <w:p w14:paraId="783351A6">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第二十九条 开发旅游资源应当符合旅游发展规划，坚持保护优先，保护与开发并重，坚持可持续发展。旅游资源开发，应当编制控制性详细规划并依法进行环境影响评价。</w:t>
      </w:r>
    </w:p>
    <w:p w14:paraId="63D03F1E">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第三十一条 开发经营以自然资源为主的旅游景区（点），应当加强对自然资源的保护，保持其自然状态，保障自然资源的可持续利用。开发经营以人文资源为主的旅游景区（点），应当保持其地方特色和历史文化风貌。重点旅游城镇的新区规划和旧区改造，其建筑规模和风格应当与当地特色、历史风貌和周围景观相协调。</w:t>
      </w:r>
    </w:p>
    <w:p w14:paraId="47125ECE">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第三十三条 任何单位和个人都有保护旅游资源和设施的义务，不得在旅游景区（点）规划范围内从事采矿、采砂、取土、砍伐树木、排放污染物等影响旅游环境、破坏旅游资源和公共设施的活动。</w:t>
      </w:r>
    </w:p>
    <w:p w14:paraId="26CBD6CF">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随着西藏旅游产业的不断发展壮大和</w:t>
      </w:r>
      <w:r>
        <w:rPr>
          <w:rFonts w:hint="default" w:ascii="Times New Roman" w:hAnsi="Times New Roman" w:cs="Times New Roman"/>
          <w:color w:val="auto"/>
          <w:kern w:val="0"/>
          <w:sz w:val="24"/>
          <w:highlight w:val="none"/>
          <w:lang w:eastAsia="zh-CN"/>
        </w:rPr>
        <w:t>波密</w:t>
      </w:r>
      <w:r>
        <w:rPr>
          <w:rFonts w:hint="default" w:ascii="Times New Roman" w:hAnsi="Times New Roman" w:cs="Times New Roman"/>
          <w:color w:val="auto"/>
          <w:kern w:val="0"/>
          <w:sz w:val="24"/>
          <w:highlight w:val="none"/>
        </w:rPr>
        <w:t>旅游市场的不断成熟，作为</w:t>
      </w:r>
      <w:r>
        <w:rPr>
          <w:rFonts w:hint="default" w:ascii="Times New Roman" w:hAnsi="Times New Roman" w:cs="Times New Roman"/>
          <w:color w:val="auto"/>
          <w:kern w:val="0"/>
          <w:sz w:val="24"/>
          <w:highlight w:val="none"/>
          <w:lang w:eastAsia="zh-CN"/>
        </w:rPr>
        <w:t>波密</w:t>
      </w:r>
      <w:r>
        <w:rPr>
          <w:rFonts w:hint="default" w:ascii="Times New Roman" w:hAnsi="Times New Roman" w:cs="Times New Roman"/>
          <w:color w:val="auto"/>
          <w:kern w:val="0"/>
          <w:sz w:val="24"/>
          <w:highlight w:val="none"/>
        </w:rPr>
        <w:t>旅游标志之一的</w:t>
      </w:r>
      <w:r>
        <w:rPr>
          <w:rFonts w:hint="default" w:ascii="Times New Roman" w:hAnsi="Times New Roman" w:cs="Times New Roman"/>
          <w:color w:val="auto"/>
          <w:kern w:val="0"/>
          <w:sz w:val="24"/>
          <w:highlight w:val="none"/>
          <w:lang w:eastAsia="zh-CN"/>
        </w:rPr>
        <w:t>岗云杉林</w:t>
      </w:r>
      <w:r>
        <w:rPr>
          <w:rFonts w:hint="default" w:ascii="Times New Roman" w:hAnsi="Times New Roman" w:cs="Times New Roman"/>
          <w:color w:val="auto"/>
          <w:kern w:val="0"/>
          <w:sz w:val="24"/>
          <w:highlight w:val="none"/>
        </w:rPr>
        <w:t>已将创建4A景区作为发展目标。规划以可持续发展为理念，以保护生态环境为前提，以统筹人与自然和谐发展为准则，并依托良好的自然生态环境和独特的人文生态系统，采取生态友好方式，开展的生态体验，能够完好保存自然资源、历史风貌，实现体经济效益、社会效益和生态效益相统一。因此，本规划符合《西藏自治区旅游条例》（2017年）要求。</w:t>
      </w:r>
    </w:p>
    <w:p w14:paraId="74FC9219">
      <w:pPr>
        <w:pStyle w:val="5"/>
        <w:spacing w:before="156" w:after="15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与《关于促进森林康养产业发展的意见》</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林改发〔2019〕20号</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符合性分析</w:t>
      </w:r>
    </w:p>
    <w:p w14:paraId="44DA456D">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在《关于促进森林康养产业发展的意见》中，已明确规划出森林康养的发展目标，“到2022年，建成基础设施基本完善、产业布局较为合理的区域性森林康养服务体系，建设国家森林康养基地300处，建立森林康养骨干人才队伍。到2035年，建成覆盖全国的森林康养服务体系，建设国家森林康养基地1200处，建立一支高素质的森林康养专业人才队伍。到2050年，森林康养服务体系更加健全，森林康养理念深入人心，人民群众享有更加充分的森林康养服务。”可以预见，在市场需求与国家政策的双重催化下，森林康养产业将会迎来重大发展机遇。</w:t>
      </w:r>
    </w:p>
    <w:p w14:paraId="12353970">
      <w:pPr>
        <w:pStyle w:val="28"/>
        <w:tabs>
          <w:tab w:val="left" w:pos="840"/>
        </w:tabs>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rPr>
        <w:t>规划</w:t>
      </w:r>
      <w:r>
        <w:rPr>
          <w:rFonts w:hint="default" w:ascii="Times New Roman" w:hAnsi="Times New Roman" w:cs="Times New Roman"/>
          <w:color w:val="auto"/>
          <w:kern w:val="0"/>
          <w:sz w:val="24"/>
          <w:highlight w:val="none"/>
          <w:lang w:val="en-US" w:eastAsia="zh-CN"/>
        </w:rPr>
        <w:t>总体定位为</w:t>
      </w:r>
      <w:r>
        <w:rPr>
          <w:rFonts w:hint="default" w:ascii="Times New Roman" w:hAnsi="Times New Roman" w:cs="Times New Roman"/>
          <w:bCs/>
          <w:color w:val="auto"/>
          <w:kern w:val="0"/>
          <w:sz w:val="24"/>
          <w:highlight w:val="none"/>
          <w:lang w:eastAsia="zh-CN"/>
        </w:rPr>
        <w:t>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将资源优势、生态优势转化为产业优势和发展优势。“三生融合”示范景区：生态保护标杆/生活体验窗口/生产创新样板。打造西藏首个森林康养旅游目的地，国家级森林徒步天堂。</w:t>
      </w:r>
    </w:p>
    <w:p w14:paraId="725DB1F2">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综上所述，本规划符合《关于促进森林康养产业发展的意见》（林改发〔2019〕20号）</w:t>
      </w:r>
      <w:r>
        <w:rPr>
          <w:rFonts w:hint="default" w:ascii="Times New Roman" w:hAnsi="Times New Roman" w:cs="Times New Roman"/>
          <w:color w:val="auto"/>
          <w:kern w:val="0"/>
          <w:sz w:val="24"/>
          <w:highlight w:val="none"/>
          <w:lang w:val="en-US" w:eastAsia="zh-CN"/>
        </w:rPr>
        <w:t>相关</w:t>
      </w:r>
      <w:r>
        <w:rPr>
          <w:rFonts w:hint="default" w:ascii="Times New Roman" w:hAnsi="Times New Roman" w:cs="Times New Roman"/>
          <w:color w:val="auto"/>
          <w:kern w:val="0"/>
          <w:sz w:val="24"/>
          <w:highlight w:val="none"/>
        </w:rPr>
        <w:t>要求。</w:t>
      </w:r>
    </w:p>
    <w:p w14:paraId="2EE21E16">
      <w:pPr>
        <w:pStyle w:val="5"/>
        <w:spacing w:before="156" w:after="15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与《西藏自治区文化旅游产业发展规划（2025-2035年）》符合性分析</w:t>
      </w:r>
    </w:p>
    <w:p w14:paraId="7A4F9FAE">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西藏自治区政府办公厅印发《西藏自治区文化旅游产业发展规划（2025-2035年）》（以下简称《规划》），旨在贯彻落实全国旅游发展大会精神，推动文化旅游产业高质量发展，加快打造重要支柱产业，为全区经济增长注入新活力。</w:t>
      </w:r>
    </w:p>
    <w:p w14:paraId="188C4534">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要求，坚持以文塑旅、以旅彰文，坚持守正创新、提质增效、融合发展，统筹政府与市场、供给与需求、保护与开发、国内与国际、发展与安全，聚焦“四件大事”、聚力“四个创建”，着力完善现代文化产业体系和旅游产业体系。创新发展思路，推动重点领域实现新突破；彰显区域特色，推动文化旅游创新发展；创新产品供给，满足多元化文旅消费要求；健全支撑体系，夯实文化旅游产业发展基础；创新发展机制，推进文化与相关产业融合发展；创新理念方法，提升文化旅游市场竞争力，将西藏建设成在全国具有重要影响力的文化强区、旅游强区。</w:t>
      </w:r>
    </w:p>
    <w:p w14:paraId="7F17E631">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明确，重点建设“一核、三廊、六区”，即拉萨国际文化旅游城市核心区，唐蕃古道、茶马古道、国之大道G219文化旅游走廊，林芝国际生态文化旅游区、珠峰文化旅游区、象雄文化旅游区、雅砻文化旅游区、康巴文化旅游区、羌塘文化旅游区。实施文化精品建设工程、精品景区建设工程、旅游名县建设工程、精品线路建设工程等。</w:t>
      </w:r>
    </w:p>
    <w:p w14:paraId="1C9D9207">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《规划》明确实施精品景区建设工程</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聚焦世界级旅游资源与产业发展水平还不适应问题，坚持提升品质、突出特色、因景施策，对标国家5A级旅游景区评定标准，通过完善配套设施、提升景区通达性、丰富产品和业态、加强景区管理等系列举措，综合施策，精准发力，推动景区转型升级，打造培育一批市场知名度高、综合效益好、人民群众满意的精品旅游景区。大力推动非遗、演艺、文创商品进景区，大力推进高等级A级旅游景区，打造民俗歌舞演出剧，建设民俗文化体验馆，开发深度娱乐体验项目，丰富景区业态，完善产业链条；逐步降低门票经济。</w:t>
      </w:r>
    </w:p>
    <w:p w14:paraId="2BB86EC8">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力争到2030年全区5A级旅游景区、国家级旅游度假区达到10个，4A级旅游景区达到50个；力争到2035年全区5A级旅游景区、国家级旅游度假区达到15个。</w:t>
      </w:r>
    </w:p>
    <w:p w14:paraId="2F083879">
      <w:pPr>
        <w:pStyle w:val="28"/>
        <w:tabs>
          <w:tab w:val="left" w:pos="840"/>
        </w:tabs>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本次规划区域位于</w:t>
      </w:r>
      <w:r>
        <w:rPr>
          <w:rFonts w:hint="default" w:ascii="Times New Roman" w:hAnsi="Times New Roman" w:cs="Times New Roman"/>
          <w:color w:val="auto"/>
          <w:kern w:val="0"/>
          <w:sz w:val="24"/>
          <w:highlight w:val="none"/>
        </w:rPr>
        <w:t>林芝国际生态文化旅游区</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规划</w:t>
      </w:r>
      <w:r>
        <w:rPr>
          <w:rFonts w:hint="default" w:ascii="Times New Roman" w:hAnsi="Times New Roman" w:cs="Times New Roman"/>
          <w:color w:val="auto"/>
          <w:kern w:val="0"/>
          <w:sz w:val="24"/>
          <w:highlight w:val="none"/>
          <w:lang w:val="en-US" w:eastAsia="zh-CN"/>
        </w:rPr>
        <w:t>总体定位为</w:t>
      </w:r>
      <w:r>
        <w:rPr>
          <w:rFonts w:hint="default" w:ascii="Times New Roman" w:hAnsi="Times New Roman" w:cs="Times New Roman"/>
          <w:bCs/>
          <w:color w:val="auto"/>
          <w:kern w:val="0"/>
          <w:sz w:val="24"/>
          <w:highlight w:val="none"/>
          <w:lang w:eastAsia="zh-CN"/>
        </w:rPr>
        <w:t>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w:t>
      </w:r>
      <w:r>
        <w:rPr>
          <w:rFonts w:hint="default" w:ascii="Times New Roman" w:hAnsi="Times New Roman" w:cs="Times New Roman"/>
          <w:bCs/>
          <w:color w:val="auto"/>
          <w:kern w:val="0"/>
          <w:sz w:val="24"/>
          <w:highlight w:val="none"/>
          <w:lang w:val="en-US" w:eastAsia="zh-CN"/>
        </w:rPr>
        <w:t>规划</w:t>
      </w:r>
      <w:r>
        <w:rPr>
          <w:rFonts w:hint="default" w:ascii="Times New Roman" w:hAnsi="Times New Roman" w:cs="Times New Roman"/>
          <w:bCs/>
          <w:color w:val="auto"/>
          <w:kern w:val="0"/>
          <w:sz w:val="24"/>
          <w:highlight w:val="none"/>
          <w:lang w:eastAsia="zh-CN"/>
        </w:rPr>
        <w:t>近期目标：国家4A级旅游景区。远期目标：自治区康养旅游示范基地</w:t>
      </w:r>
      <w:r>
        <w:rPr>
          <w:rFonts w:hint="eastAsia"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eastAsia="zh-CN"/>
        </w:rPr>
        <w:t>自治区级旅游度假区</w:t>
      </w:r>
      <w:r>
        <w:rPr>
          <w:rFonts w:hint="eastAsia"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eastAsia="zh-CN"/>
        </w:rPr>
        <w:t>国家研学旅游基地</w:t>
      </w:r>
      <w:r>
        <w:rPr>
          <w:rFonts w:hint="eastAsia"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eastAsia="zh-CN"/>
        </w:rPr>
        <w:t>西藏首个全域零碳旅游景区。</w:t>
      </w:r>
    </w:p>
    <w:p w14:paraId="06A8B228">
      <w:pPr>
        <w:pStyle w:val="28"/>
        <w:tabs>
          <w:tab w:val="left" w:pos="840"/>
        </w:tabs>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综上所述，本规划的实施与《西藏自治区文化旅游产业发展规划（2025-2035年）》相符。</w:t>
      </w:r>
    </w:p>
    <w:p w14:paraId="7068B0B6">
      <w:pPr>
        <w:pStyle w:val="5"/>
        <w:spacing w:before="156" w:after="15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与《中华人民共和国自然保护区条例》符合性分析</w:t>
      </w:r>
    </w:p>
    <w:p w14:paraId="1ED103C0">
      <w:pPr>
        <w:pStyle w:val="28"/>
        <w:tabs>
          <w:tab w:val="left" w:pos="840"/>
        </w:tabs>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本规划与《中华人民共和国自然保护区条例》符合性分析见下表：</w:t>
      </w:r>
    </w:p>
    <w:p w14:paraId="1774F3A7">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表2.1-18  本规划与《中华人民共和国自然保护区条例》符合性分析一览表</w:t>
      </w:r>
    </w:p>
    <w:tbl>
      <w:tblPr>
        <w:tblStyle w:val="5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591"/>
        <w:gridCol w:w="5004"/>
        <w:gridCol w:w="2624"/>
        <w:gridCol w:w="764"/>
      </w:tblGrid>
      <w:tr w14:paraId="6D4A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rPr>
        <w:tc>
          <w:tcPr>
            <w:tcW w:w="329" w:type="pct"/>
            <w:shd w:val="clear" w:color="auto" w:fill="FFFFFF"/>
            <w:vAlign w:val="center"/>
          </w:tcPr>
          <w:p w14:paraId="60724AC9">
            <w:pPr>
              <w:pStyle w:val="28"/>
              <w:tabs>
                <w:tab w:val="left" w:pos="840"/>
              </w:tabs>
              <w:jc w:val="center"/>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cs="Times New Roman"/>
                <w:bCs/>
                <w:color w:val="auto"/>
                <w:kern w:val="0"/>
                <w:sz w:val="21"/>
                <w:szCs w:val="21"/>
                <w:highlight w:val="none"/>
                <w:lang w:val="en-US" w:eastAsia="zh-CN" w:bidi="ar-SA"/>
              </w:rPr>
              <w:t>序号</w:t>
            </w:r>
          </w:p>
        </w:tc>
        <w:tc>
          <w:tcPr>
            <w:tcW w:w="2784" w:type="pct"/>
            <w:shd w:val="clear" w:color="auto" w:fill="FFFFFF"/>
            <w:vAlign w:val="center"/>
          </w:tcPr>
          <w:p w14:paraId="4204836E">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条例要求</w:t>
            </w:r>
          </w:p>
        </w:tc>
        <w:tc>
          <w:tcPr>
            <w:tcW w:w="1460" w:type="pct"/>
            <w:shd w:val="clear" w:color="auto" w:fill="FFFFFF"/>
            <w:vAlign w:val="center"/>
          </w:tcPr>
          <w:p w14:paraId="50337BB3">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本规划情况</w:t>
            </w:r>
          </w:p>
        </w:tc>
        <w:tc>
          <w:tcPr>
            <w:tcW w:w="425" w:type="pct"/>
            <w:shd w:val="clear" w:color="auto" w:fill="FFFFFF"/>
            <w:vAlign w:val="center"/>
          </w:tcPr>
          <w:p w14:paraId="1ADF3063">
            <w:pPr>
              <w:pStyle w:val="28"/>
              <w:tabs>
                <w:tab w:val="left" w:pos="840"/>
              </w:tabs>
              <w:jc w:val="center"/>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cs="Times New Roman"/>
                <w:bCs/>
                <w:color w:val="auto"/>
                <w:kern w:val="0"/>
                <w:sz w:val="21"/>
                <w:szCs w:val="21"/>
                <w:highlight w:val="none"/>
                <w:lang w:val="en-US" w:eastAsia="zh-CN" w:bidi="ar-SA"/>
              </w:rPr>
              <w:t>符合性</w:t>
            </w:r>
          </w:p>
        </w:tc>
      </w:tr>
      <w:tr w14:paraId="6A37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rPr>
        <w:tc>
          <w:tcPr>
            <w:tcW w:w="329" w:type="pct"/>
            <w:shd w:val="clear" w:color="auto" w:fill="FFFFFF"/>
            <w:vAlign w:val="center"/>
          </w:tcPr>
          <w:p w14:paraId="0DD89A34">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1</w:t>
            </w:r>
          </w:p>
        </w:tc>
        <w:tc>
          <w:tcPr>
            <w:tcW w:w="2784" w:type="pct"/>
            <w:shd w:val="clear" w:color="auto" w:fill="FFFFFF"/>
            <w:vAlign w:val="center"/>
          </w:tcPr>
          <w:p w14:paraId="466333C9">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第十六条：自然保护区划分为核心保护区和一般控制区，实行分区管控。核心保护区以外的区域划为一般控制区。</w:t>
            </w:r>
          </w:p>
        </w:tc>
        <w:tc>
          <w:tcPr>
            <w:tcW w:w="1460" w:type="pct"/>
            <w:shd w:val="clear" w:color="auto" w:fill="FFFFFF"/>
            <w:vAlign w:val="center"/>
          </w:tcPr>
          <w:p w14:paraId="0D2AB5CA">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本规划已避让核心保护区，所涉及的区域均属于一般控制区。</w:t>
            </w:r>
          </w:p>
        </w:tc>
        <w:tc>
          <w:tcPr>
            <w:tcW w:w="425" w:type="pct"/>
            <w:shd w:val="clear" w:color="auto" w:fill="FFFFFF"/>
            <w:vAlign w:val="center"/>
          </w:tcPr>
          <w:p w14:paraId="2A5D0A99">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符合</w:t>
            </w:r>
          </w:p>
        </w:tc>
      </w:tr>
      <w:tr w14:paraId="5176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rPr>
        <w:tc>
          <w:tcPr>
            <w:tcW w:w="329" w:type="pct"/>
            <w:shd w:val="clear" w:color="auto" w:fill="FFFFFF"/>
            <w:vAlign w:val="center"/>
          </w:tcPr>
          <w:p w14:paraId="5542B919">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2</w:t>
            </w:r>
          </w:p>
        </w:tc>
        <w:tc>
          <w:tcPr>
            <w:tcW w:w="2784" w:type="pct"/>
            <w:shd w:val="clear" w:color="auto" w:fill="FFFFFF"/>
            <w:vAlign w:val="center"/>
          </w:tcPr>
          <w:p w14:paraId="2F8BB300">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第二十七条</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eastAsia="宋体" w:cs="Times New Roman"/>
                <w:bCs/>
                <w:color w:val="auto"/>
                <w:kern w:val="0"/>
                <w:sz w:val="21"/>
                <w:szCs w:val="21"/>
                <w:highlight w:val="none"/>
                <w:lang w:val="zh-CN" w:eastAsia="zh-CN" w:bidi="ar-SA"/>
              </w:rPr>
              <w:t>自然保护区一般控制区内仅允许开展下列人为活动：</w:t>
            </w:r>
          </w:p>
          <w:p w14:paraId="154DAB3B">
            <w:pPr>
              <w:pStyle w:val="28"/>
              <w:numPr>
                <w:ilvl w:val="0"/>
                <w:numId w:val="4"/>
              </w:numPr>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核心保护区允许开展的活动；</w:t>
            </w:r>
          </w:p>
          <w:p w14:paraId="7F4595CB">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1</w:t>
            </w:r>
            <w:r>
              <w:rPr>
                <w:rFonts w:hint="default" w:ascii="Times New Roman" w:hAnsi="Times New Roman" w:eastAsia="宋体" w:cs="Times New Roman"/>
                <w:bCs/>
                <w:color w:val="auto"/>
                <w:kern w:val="0"/>
                <w:sz w:val="21"/>
                <w:szCs w:val="21"/>
                <w:highlight w:val="none"/>
                <w:lang w:val="zh-CN" w:eastAsia="zh-CN" w:bidi="ar-SA"/>
              </w:rPr>
              <w:t>）为保护自然保护区开展的调查监测、生态修复、管护巡护等活动，科研观测、基础测绘、文物和其他文化遗产保护、防灾减灾、应急救援活动，以及国家机关依法履行执法职责确需开展的活动；</w:t>
            </w:r>
          </w:p>
          <w:p w14:paraId="01840E67">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2</w:t>
            </w:r>
            <w:r>
              <w:rPr>
                <w:rFonts w:hint="default" w:ascii="Times New Roman" w:hAnsi="Times New Roman" w:eastAsia="宋体" w:cs="Times New Roman"/>
                <w:bCs/>
                <w:color w:val="auto"/>
                <w:kern w:val="0"/>
                <w:sz w:val="21"/>
                <w:szCs w:val="21"/>
                <w:highlight w:val="none"/>
                <w:lang w:val="zh-CN" w:eastAsia="zh-CN" w:bidi="ar-SA"/>
              </w:rPr>
              <w:t>）原有居民必要的生产生活活动，以及确需保留、无法避让的已有重要基础设施的运行、维护、改造；</w:t>
            </w:r>
          </w:p>
          <w:p w14:paraId="41FB04EB">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3</w:t>
            </w:r>
            <w:r>
              <w:rPr>
                <w:rFonts w:hint="default" w:ascii="Times New Roman" w:hAnsi="Times New Roman" w:eastAsia="宋体" w:cs="Times New Roman"/>
                <w:bCs/>
                <w:color w:val="auto"/>
                <w:kern w:val="0"/>
                <w:sz w:val="21"/>
                <w:szCs w:val="21"/>
                <w:highlight w:val="none"/>
                <w:lang w:val="zh-CN" w:eastAsia="zh-CN" w:bidi="ar-SA"/>
              </w:rPr>
              <w:t>）必须且无法避让、以生态环境无害化方式穿越地下、水下或者空中的线性基础设施建设；</w:t>
            </w:r>
          </w:p>
          <w:p w14:paraId="0CE5D1F6">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4</w:t>
            </w:r>
            <w:r>
              <w:rPr>
                <w:rFonts w:hint="default" w:ascii="Times New Roman" w:hAnsi="Times New Roman" w:eastAsia="宋体" w:cs="Times New Roman"/>
                <w:bCs/>
                <w:color w:val="auto"/>
                <w:kern w:val="0"/>
                <w:sz w:val="21"/>
                <w:szCs w:val="21"/>
                <w:highlight w:val="none"/>
                <w:lang w:val="zh-CN" w:eastAsia="zh-CN" w:bidi="ar-SA"/>
              </w:rPr>
              <w:t>）为维护国家安全、实施国家重大战略确需开展的活动，以及无法避让的国家重大项目建设；</w:t>
            </w:r>
          </w:p>
          <w:p w14:paraId="7E1E5E50">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5</w:t>
            </w:r>
            <w:r>
              <w:rPr>
                <w:rFonts w:hint="default" w:ascii="Times New Roman" w:hAnsi="Times New Roman" w:eastAsia="宋体" w:cs="Times New Roman"/>
                <w:bCs/>
                <w:color w:val="auto"/>
                <w:kern w:val="0"/>
                <w:sz w:val="21"/>
                <w:szCs w:val="21"/>
                <w:highlight w:val="none"/>
                <w:lang w:val="zh-CN" w:eastAsia="zh-CN" w:bidi="ar-SA"/>
              </w:rPr>
              <w:t>）法律、行政法规规定或者国务院批准的其他活动。</w:t>
            </w:r>
          </w:p>
          <w:p w14:paraId="5302D4AC">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（二）符合国土空间规划且无法避让的重要基础设施的建设、运行和维护；</w:t>
            </w:r>
          </w:p>
          <w:p w14:paraId="17F3B653">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（三）古生物化石调查发掘，基础地质调查，战略性矿产资源远景调查和规定范围内的战略性矿产资源勘查；</w:t>
            </w:r>
          </w:p>
          <w:p w14:paraId="757D45F0">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（四）珍稀濒危野生动植物的野化、繁殖，非破坏性的标本采集活动；</w:t>
            </w:r>
          </w:p>
          <w:p w14:paraId="1D7DD194">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（五）与自然保护区保护目标一致的人工商品林抚育、树种更新等森林经营活动；</w:t>
            </w:r>
          </w:p>
          <w:p w14:paraId="462B7760">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（六）科普宣传、生态旅游、教育文化体育等公共服务活动；</w:t>
            </w:r>
          </w:p>
          <w:p w14:paraId="78DE0377">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（七）法律、行政法规规定或者国务院批准的其他活动。</w:t>
            </w:r>
          </w:p>
        </w:tc>
        <w:tc>
          <w:tcPr>
            <w:tcW w:w="1460" w:type="pct"/>
            <w:shd w:val="clear" w:color="auto" w:fill="FFFFFF"/>
            <w:vAlign w:val="center"/>
          </w:tcPr>
          <w:p w14:paraId="695DDFE0">
            <w:pPr>
              <w:pStyle w:val="28"/>
              <w:tabs>
                <w:tab w:val="left" w:pos="840"/>
              </w:tabs>
              <w:jc w:val="both"/>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本项目规划区内拟实施的涉及</w:t>
            </w:r>
            <w:r>
              <w:rPr>
                <w:rFonts w:hint="default" w:ascii="Times New Roman" w:hAnsi="Times New Roman" w:cs="Times New Roman"/>
                <w:bCs/>
                <w:color w:val="auto"/>
                <w:kern w:val="0"/>
                <w:szCs w:val="21"/>
                <w:highlight w:val="none"/>
                <w:lang w:val="en-US" w:eastAsia="zh-CN"/>
              </w:rPr>
              <w:t>提升改造项目均属于</w:t>
            </w:r>
            <w:r>
              <w:rPr>
                <w:rFonts w:hint="default" w:ascii="Times New Roman" w:hAnsi="Times New Roman" w:eastAsia="宋体" w:cs="Times New Roman"/>
                <w:bCs/>
                <w:color w:val="auto"/>
                <w:kern w:val="0"/>
                <w:sz w:val="21"/>
                <w:szCs w:val="21"/>
                <w:highlight w:val="none"/>
                <w:lang w:val="zh-CN" w:eastAsia="zh-CN" w:bidi="ar-SA"/>
              </w:rPr>
              <w:t>原有居民必要的生产生活活动，以及确需保留、无法避让的已有重要基础设施的运行、维护、改造</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本规划涉及的</w:t>
            </w:r>
            <w:r>
              <w:rPr>
                <w:rFonts w:hint="default" w:ascii="Times New Roman" w:hAnsi="Times New Roman" w:cs="Times New Roman"/>
                <w:bCs/>
                <w:color w:val="auto"/>
                <w:kern w:val="0"/>
                <w:sz w:val="21"/>
                <w:szCs w:val="21"/>
                <w:highlight w:val="none"/>
                <w:lang w:val="zh-CN" w:eastAsia="zh-CN" w:bidi="ar-SA"/>
              </w:rPr>
              <w:t>重点地块指标控制</w:t>
            </w:r>
            <w:r>
              <w:rPr>
                <w:rFonts w:hint="default" w:ascii="Times New Roman" w:hAnsi="Times New Roman" w:cs="Times New Roman"/>
                <w:bCs/>
                <w:color w:val="auto"/>
                <w:kern w:val="0"/>
                <w:sz w:val="21"/>
                <w:szCs w:val="21"/>
                <w:highlight w:val="none"/>
                <w:lang w:val="en-US" w:eastAsia="zh-CN" w:bidi="ar-SA"/>
              </w:rPr>
              <w:t>涉及新建游客中心</w:t>
            </w:r>
            <w:r>
              <w:rPr>
                <w:rFonts w:hint="eastAsia" w:ascii="Times New Roman" w:hAnsi="Times New Roman" w:cs="Times New Roman"/>
                <w:bCs/>
                <w:color w:val="auto"/>
                <w:kern w:val="0"/>
                <w:sz w:val="21"/>
                <w:szCs w:val="21"/>
                <w:highlight w:val="none"/>
                <w:lang w:val="en-US" w:eastAsia="zh-CN" w:bidi="ar-SA"/>
              </w:rPr>
              <w:t>与提升改造</w:t>
            </w:r>
            <w:r>
              <w:rPr>
                <w:rFonts w:hint="default" w:ascii="Times New Roman" w:hAnsi="Times New Roman" w:cs="Times New Roman"/>
                <w:bCs/>
                <w:color w:val="auto"/>
                <w:kern w:val="0"/>
                <w:sz w:val="21"/>
                <w:szCs w:val="21"/>
                <w:highlight w:val="none"/>
                <w:lang w:val="en-US" w:eastAsia="zh-CN" w:bidi="ar-SA"/>
              </w:rPr>
              <w:t>岗巴检票口、低碳研学营地，其中岗巴检票口、低碳研学营地位于雅鲁藏布大峡谷国家级自然保护区</w:t>
            </w:r>
            <w:r>
              <w:rPr>
                <w:rFonts w:hint="default" w:ascii="Times New Roman" w:hAnsi="Times New Roman" w:eastAsia="宋体" w:cs="Times New Roman"/>
                <w:bCs/>
                <w:color w:val="auto"/>
                <w:kern w:val="0"/>
                <w:sz w:val="21"/>
                <w:szCs w:val="21"/>
                <w:highlight w:val="none"/>
                <w:lang w:val="zh-CN" w:eastAsia="zh-CN" w:bidi="ar-SA"/>
              </w:rPr>
              <w:t>一般控制区</w:t>
            </w:r>
            <w:r>
              <w:rPr>
                <w:rFonts w:hint="eastAsia" w:ascii="Times New Roman" w:hAnsi="Times New Roman" w:cs="Times New Roman"/>
                <w:bCs/>
                <w:color w:val="auto"/>
                <w:kern w:val="0"/>
                <w:sz w:val="21"/>
                <w:szCs w:val="21"/>
                <w:highlight w:val="none"/>
                <w:lang w:val="zh-CN" w:eastAsia="zh-CN" w:bidi="ar-SA"/>
              </w:rPr>
              <w:t>（</w:t>
            </w:r>
            <w:r>
              <w:rPr>
                <w:rFonts w:hint="eastAsia" w:ascii="Times New Roman" w:hAnsi="Times New Roman" w:cs="Times New Roman"/>
                <w:bCs/>
                <w:color w:val="auto"/>
                <w:kern w:val="0"/>
                <w:sz w:val="21"/>
                <w:szCs w:val="21"/>
                <w:highlight w:val="none"/>
                <w:lang w:val="en-US" w:eastAsia="zh-CN" w:bidi="ar-SA"/>
              </w:rPr>
              <w:t>试验区</w:t>
            </w:r>
            <w:r>
              <w:rPr>
                <w:rFonts w:hint="eastAsia" w:ascii="Times New Roman" w:hAnsi="Times New Roman"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属于允许开展的</w:t>
            </w:r>
            <w:r>
              <w:rPr>
                <w:rFonts w:hint="default" w:ascii="Times New Roman" w:hAnsi="Times New Roman" w:eastAsia="宋体" w:cs="Times New Roman"/>
                <w:bCs/>
                <w:color w:val="auto"/>
                <w:kern w:val="0"/>
                <w:sz w:val="21"/>
                <w:szCs w:val="21"/>
                <w:highlight w:val="none"/>
                <w:lang w:val="zh-CN" w:eastAsia="zh-CN" w:bidi="ar-SA"/>
              </w:rPr>
              <w:t>科普宣传、生态旅游、教育文化体育等公共服务活动</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新建游客中心</w:t>
            </w:r>
            <w:r>
              <w:rPr>
                <w:rFonts w:hint="eastAsia" w:ascii="Times New Roman" w:hAnsi="Times New Roman" w:cs="Times New Roman"/>
                <w:bCs/>
                <w:color w:val="auto"/>
                <w:kern w:val="0"/>
                <w:sz w:val="21"/>
                <w:szCs w:val="21"/>
                <w:highlight w:val="none"/>
                <w:lang w:val="en-US" w:eastAsia="zh-CN" w:bidi="ar-SA"/>
              </w:rPr>
              <w:t>位于雅鲁藏布大峡谷国家级自然保护区外。</w:t>
            </w:r>
          </w:p>
        </w:tc>
        <w:tc>
          <w:tcPr>
            <w:tcW w:w="425" w:type="pct"/>
            <w:shd w:val="clear" w:color="auto" w:fill="FFFFFF"/>
            <w:vAlign w:val="center"/>
          </w:tcPr>
          <w:p w14:paraId="49DDC38C">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符合</w:t>
            </w:r>
          </w:p>
        </w:tc>
      </w:tr>
      <w:tr w14:paraId="13D7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rPr>
        <w:tc>
          <w:tcPr>
            <w:tcW w:w="329" w:type="pct"/>
            <w:shd w:val="clear" w:color="auto" w:fill="FFFFFF"/>
            <w:vAlign w:val="center"/>
          </w:tcPr>
          <w:p w14:paraId="168E3D6E">
            <w:pPr>
              <w:pStyle w:val="28"/>
              <w:tabs>
                <w:tab w:val="left" w:pos="840"/>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3</w:t>
            </w:r>
          </w:p>
        </w:tc>
        <w:tc>
          <w:tcPr>
            <w:tcW w:w="2784" w:type="pct"/>
            <w:shd w:val="clear" w:color="auto" w:fill="FFFFFF"/>
            <w:vAlign w:val="center"/>
          </w:tcPr>
          <w:p w14:paraId="0A92AD67">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第二十九条</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eastAsia="宋体" w:cs="Times New Roman"/>
                <w:bCs/>
                <w:color w:val="auto"/>
                <w:kern w:val="0"/>
                <w:sz w:val="21"/>
                <w:szCs w:val="21"/>
                <w:highlight w:val="none"/>
                <w:lang w:val="zh-CN" w:eastAsia="zh-CN" w:bidi="ar-SA"/>
              </w:rPr>
              <w:t>自然保护区区域内原有居民的生产生活活动，应当以不超出现有规模和利用强度、合理改善生产生活条件为前提。</w:t>
            </w:r>
          </w:p>
        </w:tc>
        <w:tc>
          <w:tcPr>
            <w:tcW w:w="1460" w:type="pct"/>
            <w:shd w:val="clear" w:color="auto" w:fill="FFFFFF"/>
            <w:vAlign w:val="center"/>
          </w:tcPr>
          <w:p w14:paraId="0CAC1C9D">
            <w:pPr>
              <w:pStyle w:val="28"/>
              <w:tabs>
                <w:tab w:val="left" w:pos="840"/>
              </w:tabs>
              <w:jc w:val="both"/>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本规划坚持“景村一体”理念，强化村民在景区发展中的主动参与，以实现当地人口、经济和社会的协调发展。充分发挥政府的引导、监督和控制作用，规范发展机制</w:t>
            </w:r>
            <w:r>
              <w:rPr>
                <w:rFonts w:hint="eastAsia" w:ascii="Times New Roman" w:hAnsi="Times New Roman" w:cs="Times New Roman"/>
                <w:color w:val="auto"/>
                <w:kern w:val="0"/>
                <w:szCs w:val="21"/>
                <w:highlight w:val="none"/>
                <w:lang w:val="en-US" w:eastAsia="zh-CN"/>
              </w:rPr>
              <w:t>。</w:t>
            </w:r>
          </w:p>
          <w:p w14:paraId="56FD932E">
            <w:pPr>
              <w:pStyle w:val="28"/>
              <w:tabs>
                <w:tab w:val="left" w:pos="840"/>
              </w:tabs>
              <w:jc w:val="both"/>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政府、企业、集体组织三方共同参与运营。允许居民或集体经济参股，保障社区发展利益。多方联动、多方制衡、利益共享，实现政府、企业、社区、居民多方共赢。规划实施均主要为利用现有设施进行提升改造，未</w:t>
            </w:r>
            <w:r>
              <w:rPr>
                <w:rFonts w:hint="default" w:ascii="Times New Roman" w:hAnsi="Times New Roman" w:eastAsia="宋体" w:cs="Times New Roman"/>
                <w:bCs/>
                <w:color w:val="auto"/>
                <w:kern w:val="0"/>
                <w:sz w:val="21"/>
                <w:szCs w:val="21"/>
                <w:highlight w:val="none"/>
                <w:lang w:val="zh-CN" w:eastAsia="zh-CN" w:bidi="ar-SA"/>
              </w:rPr>
              <w:t>超出现有规模和利用强度</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能够</w:t>
            </w:r>
            <w:r>
              <w:rPr>
                <w:rFonts w:hint="default" w:ascii="Times New Roman" w:hAnsi="Times New Roman" w:eastAsia="宋体" w:cs="Times New Roman"/>
                <w:bCs/>
                <w:color w:val="auto"/>
                <w:kern w:val="0"/>
                <w:sz w:val="21"/>
                <w:szCs w:val="21"/>
                <w:highlight w:val="none"/>
                <w:lang w:val="zh-CN" w:eastAsia="zh-CN" w:bidi="ar-SA"/>
              </w:rPr>
              <w:t>合理</w:t>
            </w:r>
            <w:r>
              <w:rPr>
                <w:rFonts w:hint="default" w:ascii="Times New Roman" w:hAnsi="Times New Roman" w:cs="Times New Roman"/>
                <w:bCs/>
                <w:color w:val="auto"/>
                <w:kern w:val="0"/>
                <w:sz w:val="21"/>
                <w:szCs w:val="21"/>
                <w:highlight w:val="none"/>
                <w:lang w:val="zh-CN" w:eastAsia="zh-CN" w:bidi="ar-SA"/>
              </w:rPr>
              <w:t>的</w:t>
            </w:r>
            <w:r>
              <w:rPr>
                <w:rFonts w:hint="default" w:ascii="Times New Roman" w:hAnsi="Times New Roman" w:eastAsia="宋体" w:cs="Times New Roman"/>
                <w:bCs/>
                <w:color w:val="auto"/>
                <w:kern w:val="0"/>
                <w:sz w:val="21"/>
                <w:szCs w:val="21"/>
                <w:highlight w:val="none"/>
                <w:lang w:val="zh-CN" w:eastAsia="zh-CN" w:bidi="ar-SA"/>
              </w:rPr>
              <w:t>改善生产生活条件</w:t>
            </w:r>
            <w:r>
              <w:rPr>
                <w:rFonts w:hint="default" w:ascii="Times New Roman" w:hAnsi="Times New Roman" w:cs="Times New Roman"/>
                <w:bCs/>
                <w:color w:val="auto"/>
                <w:kern w:val="0"/>
                <w:sz w:val="21"/>
                <w:szCs w:val="21"/>
                <w:highlight w:val="none"/>
                <w:lang w:val="zh-CN" w:eastAsia="zh-CN" w:bidi="ar-SA"/>
              </w:rPr>
              <w:t>。</w:t>
            </w:r>
          </w:p>
        </w:tc>
        <w:tc>
          <w:tcPr>
            <w:tcW w:w="425" w:type="pct"/>
            <w:shd w:val="clear" w:color="auto" w:fill="FFFFFF"/>
            <w:vAlign w:val="center"/>
          </w:tcPr>
          <w:p w14:paraId="746826A6">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符合</w:t>
            </w:r>
          </w:p>
        </w:tc>
      </w:tr>
      <w:tr w14:paraId="63FC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trPr>
        <w:tc>
          <w:tcPr>
            <w:tcW w:w="329" w:type="pct"/>
            <w:shd w:val="clear" w:color="auto" w:fill="FFFFFF"/>
            <w:vAlign w:val="center"/>
          </w:tcPr>
          <w:p w14:paraId="63296279">
            <w:pPr>
              <w:pStyle w:val="28"/>
              <w:tabs>
                <w:tab w:val="left" w:pos="840"/>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4</w:t>
            </w:r>
          </w:p>
        </w:tc>
        <w:tc>
          <w:tcPr>
            <w:tcW w:w="2784" w:type="pct"/>
            <w:shd w:val="clear" w:color="auto" w:fill="FFFFFF"/>
            <w:vAlign w:val="center"/>
          </w:tcPr>
          <w:p w14:paraId="3339B537">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在自然保护区开展本条例第二十六条、第二十七条、第二十八条规定的活动，依法需要办理相关手续的，有关单位和个人应当依法办理；涉及修筑设施的，还应当经国务院林业草原主管部门或者所在地省、自治区、直辖市人民政府林业草原主管部门同意，但原有居民必要的生产生活活动、原有线性基础设施的运行维护活动以及自然保护区管理机构依据自然保护区规划修筑管护巡护、科研观测、科普宣传、防灾减灾等设施的除外。</w:t>
            </w:r>
          </w:p>
        </w:tc>
        <w:tc>
          <w:tcPr>
            <w:tcW w:w="1460" w:type="pct"/>
            <w:shd w:val="clear" w:color="auto" w:fill="FFFFFF"/>
            <w:vAlign w:val="center"/>
          </w:tcPr>
          <w:p w14:paraId="4D946692">
            <w:pPr>
              <w:pStyle w:val="28"/>
              <w:tabs>
                <w:tab w:val="left" w:pos="840"/>
              </w:tabs>
              <w:jc w:val="both"/>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本规划涉及的</w:t>
            </w:r>
            <w:r>
              <w:rPr>
                <w:rFonts w:hint="default" w:ascii="Times New Roman" w:hAnsi="Times New Roman" w:cs="Times New Roman"/>
                <w:bCs/>
                <w:color w:val="auto"/>
                <w:kern w:val="0"/>
                <w:sz w:val="21"/>
                <w:szCs w:val="21"/>
                <w:highlight w:val="none"/>
                <w:lang w:val="zh-CN" w:eastAsia="zh-CN" w:bidi="ar-SA"/>
              </w:rPr>
              <w:t>重点地块指标控制</w:t>
            </w:r>
            <w:r>
              <w:rPr>
                <w:rFonts w:hint="default" w:ascii="Times New Roman" w:hAnsi="Times New Roman" w:cs="Times New Roman"/>
                <w:bCs/>
                <w:color w:val="auto"/>
                <w:kern w:val="0"/>
                <w:sz w:val="21"/>
                <w:szCs w:val="21"/>
                <w:highlight w:val="none"/>
                <w:lang w:val="en-US" w:eastAsia="zh-CN" w:bidi="ar-SA"/>
              </w:rPr>
              <w:t>涉及新建游客中心、岗巴检票口、低碳研学营地，其中岗巴检票口、低碳研学营地位于雅鲁藏布大峡谷国家级自然保护区</w:t>
            </w:r>
            <w:r>
              <w:rPr>
                <w:rFonts w:hint="default" w:ascii="Times New Roman" w:hAnsi="Times New Roman" w:eastAsia="宋体" w:cs="Times New Roman"/>
                <w:bCs/>
                <w:color w:val="auto"/>
                <w:kern w:val="0"/>
                <w:sz w:val="21"/>
                <w:szCs w:val="21"/>
                <w:highlight w:val="none"/>
                <w:lang w:val="zh-CN" w:eastAsia="zh-CN" w:bidi="ar-SA"/>
              </w:rPr>
              <w:t>一般控制区</w:t>
            </w:r>
            <w:r>
              <w:rPr>
                <w:rFonts w:hint="eastAsia" w:ascii="Times New Roman" w:hAnsi="Times New Roman" w:cs="Times New Roman"/>
                <w:bCs/>
                <w:color w:val="auto"/>
                <w:kern w:val="0"/>
                <w:sz w:val="21"/>
                <w:szCs w:val="21"/>
                <w:highlight w:val="none"/>
                <w:lang w:val="zh-CN" w:eastAsia="zh-CN" w:bidi="ar-SA"/>
              </w:rPr>
              <w:t>（</w:t>
            </w:r>
            <w:r>
              <w:rPr>
                <w:rFonts w:hint="eastAsia" w:ascii="Times New Roman" w:hAnsi="Times New Roman" w:cs="Times New Roman"/>
                <w:bCs/>
                <w:color w:val="auto"/>
                <w:kern w:val="0"/>
                <w:sz w:val="21"/>
                <w:szCs w:val="21"/>
                <w:highlight w:val="none"/>
                <w:lang w:val="en-US" w:eastAsia="zh-CN" w:bidi="ar-SA"/>
              </w:rPr>
              <w:t>试验区</w:t>
            </w:r>
            <w:r>
              <w:rPr>
                <w:rFonts w:hint="eastAsia" w:ascii="Times New Roman" w:hAnsi="Times New Roman"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岗巴检票口为</w:t>
            </w:r>
            <w:r>
              <w:rPr>
                <w:rFonts w:hint="eastAsia" w:ascii="Times New Roman" w:hAnsi="Times New Roman" w:cs="Times New Roman"/>
                <w:bCs/>
                <w:color w:val="auto"/>
                <w:kern w:val="0"/>
                <w:sz w:val="21"/>
                <w:szCs w:val="21"/>
                <w:highlight w:val="none"/>
                <w:lang w:val="en-US" w:eastAsia="zh-CN" w:bidi="ar-SA"/>
              </w:rPr>
              <w:t>现状设施提升改造</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低碳研学营地属于</w:t>
            </w:r>
            <w:r>
              <w:rPr>
                <w:rFonts w:hint="eastAsia" w:ascii="Times New Roman" w:hAnsi="Times New Roman" w:cs="Times New Roman"/>
                <w:bCs/>
                <w:color w:val="auto"/>
                <w:kern w:val="0"/>
                <w:sz w:val="21"/>
                <w:szCs w:val="21"/>
                <w:highlight w:val="none"/>
                <w:lang w:val="en-US" w:eastAsia="zh-CN" w:bidi="ar-SA"/>
              </w:rPr>
              <w:t>现状设施提升改造且属于</w:t>
            </w:r>
            <w:r>
              <w:rPr>
                <w:rFonts w:hint="default" w:ascii="Times New Roman" w:hAnsi="Times New Roman" w:eastAsia="宋体" w:cs="Times New Roman"/>
                <w:bCs/>
                <w:color w:val="auto"/>
                <w:kern w:val="0"/>
                <w:sz w:val="21"/>
                <w:szCs w:val="21"/>
                <w:highlight w:val="none"/>
                <w:lang w:val="zh-CN" w:eastAsia="zh-CN" w:bidi="ar-SA"/>
              </w:rPr>
              <w:t>科普宣传</w:t>
            </w:r>
            <w:r>
              <w:rPr>
                <w:rFonts w:hint="default" w:ascii="Times New Roman" w:hAnsi="Times New Roman" w:cs="Times New Roman"/>
                <w:bCs/>
                <w:color w:val="auto"/>
                <w:kern w:val="0"/>
                <w:sz w:val="21"/>
                <w:szCs w:val="21"/>
                <w:highlight w:val="none"/>
                <w:lang w:val="en-US" w:eastAsia="zh-CN" w:bidi="ar-SA"/>
              </w:rPr>
              <w:t>设施。</w:t>
            </w:r>
          </w:p>
        </w:tc>
        <w:tc>
          <w:tcPr>
            <w:tcW w:w="425" w:type="pct"/>
            <w:shd w:val="clear" w:color="auto" w:fill="FFFFFF"/>
            <w:vAlign w:val="center"/>
          </w:tcPr>
          <w:p w14:paraId="61B615B5">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符合</w:t>
            </w:r>
          </w:p>
        </w:tc>
      </w:tr>
    </w:tbl>
    <w:p w14:paraId="7E32329D">
      <w:pPr>
        <w:pStyle w:val="28"/>
        <w:tabs>
          <w:tab w:val="left" w:pos="840"/>
        </w:tabs>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综上所述，本规划的实施与《中华人民共和国自然保护区条例》相符。</w:t>
      </w:r>
    </w:p>
    <w:p w14:paraId="0FAFEB59">
      <w:pPr>
        <w:pStyle w:val="5"/>
        <w:spacing w:before="156" w:after="15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与《国家湿地公园管理办法》</w:t>
      </w:r>
      <w:r>
        <w:rPr>
          <w:rFonts w:hint="default" w:ascii="Times New Roman" w:hAnsi="Times New Roman" w:cs="Times New Roman"/>
          <w:color w:val="auto"/>
          <w:szCs w:val="21"/>
          <w:highlight w:val="none"/>
          <w:lang w:eastAsia="zh-CN"/>
        </w:rPr>
        <w:t>（林湿规〔2022〕3号）</w:t>
      </w:r>
      <w:r>
        <w:rPr>
          <w:rFonts w:hint="default" w:ascii="Times New Roman" w:hAnsi="Times New Roman" w:cs="Times New Roman"/>
          <w:color w:val="auto"/>
          <w:szCs w:val="21"/>
          <w:highlight w:val="none"/>
        </w:rPr>
        <w:t>符合性分析</w:t>
      </w:r>
    </w:p>
    <w:p w14:paraId="3E72E346">
      <w:pPr>
        <w:pStyle w:val="28"/>
        <w:tabs>
          <w:tab w:val="left" w:pos="840"/>
        </w:tabs>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本规划与《国家湿地公园管理办法》符合性分析见下表：</w:t>
      </w:r>
    </w:p>
    <w:p w14:paraId="65499B79">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表2.1-19  本规划与《国家湿地公园管理办法》符合性分析一览表</w:t>
      </w:r>
    </w:p>
    <w:tbl>
      <w:tblPr>
        <w:tblStyle w:val="5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589"/>
        <w:gridCol w:w="4121"/>
        <w:gridCol w:w="3509"/>
        <w:gridCol w:w="764"/>
      </w:tblGrid>
      <w:tr w14:paraId="63DD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rPr>
        <w:tc>
          <w:tcPr>
            <w:tcW w:w="328" w:type="pct"/>
            <w:shd w:val="clear" w:color="auto" w:fill="FFFFFF"/>
            <w:vAlign w:val="center"/>
          </w:tcPr>
          <w:p w14:paraId="5825EC87">
            <w:pPr>
              <w:pStyle w:val="28"/>
              <w:tabs>
                <w:tab w:val="left" w:pos="840"/>
              </w:tabs>
              <w:jc w:val="center"/>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cs="Times New Roman"/>
                <w:bCs/>
                <w:color w:val="auto"/>
                <w:kern w:val="0"/>
                <w:sz w:val="21"/>
                <w:szCs w:val="21"/>
                <w:highlight w:val="none"/>
                <w:lang w:val="en-US" w:eastAsia="zh-CN" w:bidi="ar-SA"/>
              </w:rPr>
              <w:t>序号</w:t>
            </w:r>
          </w:p>
        </w:tc>
        <w:tc>
          <w:tcPr>
            <w:tcW w:w="2293" w:type="pct"/>
            <w:shd w:val="clear" w:color="auto" w:fill="FFFFFF"/>
            <w:vAlign w:val="center"/>
          </w:tcPr>
          <w:p w14:paraId="123F0225">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管理办法要求</w:t>
            </w:r>
          </w:p>
        </w:tc>
        <w:tc>
          <w:tcPr>
            <w:tcW w:w="1952" w:type="pct"/>
            <w:shd w:val="clear" w:color="auto" w:fill="FFFFFF"/>
            <w:vAlign w:val="center"/>
          </w:tcPr>
          <w:p w14:paraId="7CF6C6EF">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本规划情况</w:t>
            </w:r>
          </w:p>
        </w:tc>
        <w:tc>
          <w:tcPr>
            <w:tcW w:w="425" w:type="pct"/>
            <w:shd w:val="clear" w:color="auto" w:fill="FFFFFF"/>
            <w:vAlign w:val="center"/>
          </w:tcPr>
          <w:p w14:paraId="3B79B485">
            <w:pPr>
              <w:pStyle w:val="28"/>
              <w:tabs>
                <w:tab w:val="left" w:pos="840"/>
              </w:tabs>
              <w:jc w:val="center"/>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cs="Times New Roman"/>
                <w:bCs/>
                <w:color w:val="auto"/>
                <w:kern w:val="0"/>
                <w:sz w:val="21"/>
                <w:szCs w:val="21"/>
                <w:highlight w:val="none"/>
                <w:lang w:val="en-US" w:eastAsia="zh-CN" w:bidi="ar-SA"/>
              </w:rPr>
              <w:t>符合性</w:t>
            </w:r>
          </w:p>
        </w:tc>
      </w:tr>
      <w:tr w14:paraId="1046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rPr>
        <w:tc>
          <w:tcPr>
            <w:tcW w:w="328" w:type="pct"/>
            <w:shd w:val="clear" w:color="auto" w:fill="FFFFFF"/>
            <w:vAlign w:val="center"/>
          </w:tcPr>
          <w:p w14:paraId="26CCF066">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1</w:t>
            </w:r>
          </w:p>
        </w:tc>
        <w:tc>
          <w:tcPr>
            <w:tcW w:w="2293" w:type="pct"/>
            <w:shd w:val="clear" w:color="auto" w:fill="FFFFFF"/>
            <w:vAlign w:val="center"/>
          </w:tcPr>
          <w:p w14:paraId="17AEF6C4">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第十一条</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eastAsia="宋体" w:cs="Times New Roman"/>
                <w:bCs/>
                <w:color w:val="auto"/>
                <w:kern w:val="0"/>
                <w:sz w:val="21"/>
                <w:szCs w:val="21"/>
                <w:highlight w:val="none"/>
                <w:lang w:val="zh-CN" w:eastAsia="zh-CN" w:bidi="ar-SA"/>
              </w:rPr>
              <w:t>国家湿地公园应划定保育区。根据自然条件和管理需要，可划分恢复重建区、合理利用区，实行分区管理。</w:t>
            </w:r>
          </w:p>
          <w:p w14:paraId="12E7F13F">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保育区除开展保护、监测、科学研究等必需的保护管理活动外，不得进行任何与湿地生态系统保护和管理无关的其他活动。恢复重建区应当开展培育和恢复湿地的相关活动。合理利用区应当开展以生态展示、科普教育为主的宣教活动，可开展不损害湿地生态系统功能的生态体验及管理服务等活动。</w:t>
            </w:r>
          </w:p>
        </w:tc>
        <w:tc>
          <w:tcPr>
            <w:tcW w:w="1952" w:type="pct"/>
            <w:shd w:val="clear" w:color="auto" w:fill="FFFFFF"/>
            <w:vAlign w:val="center"/>
          </w:tcPr>
          <w:p w14:paraId="406CE874">
            <w:pPr>
              <w:pStyle w:val="28"/>
              <w:tabs>
                <w:tab w:val="left" w:pos="840"/>
              </w:tabs>
              <w:jc w:val="both"/>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西藏嘎朗国家湿地公园划定了湿地体验区、湿地保育区、湿地功能展示区、管理服务区，本规划</w:t>
            </w:r>
            <w:r>
              <w:rPr>
                <w:rFonts w:hint="eastAsia" w:ascii="Times New Roman" w:hAnsi="Times New Roman" w:cs="Times New Roman"/>
                <w:bCs/>
                <w:color w:val="auto"/>
                <w:kern w:val="0"/>
                <w:sz w:val="21"/>
                <w:szCs w:val="21"/>
                <w:highlight w:val="none"/>
                <w:lang w:val="en-US" w:eastAsia="zh-CN" w:bidi="ar-SA"/>
              </w:rPr>
              <w:t>不涉及</w:t>
            </w:r>
            <w:r>
              <w:rPr>
                <w:rFonts w:hint="default" w:ascii="Times New Roman" w:hAnsi="Times New Roman" w:eastAsia="宋体" w:cs="Times New Roman"/>
                <w:bCs/>
                <w:color w:val="auto"/>
                <w:kern w:val="0"/>
                <w:sz w:val="21"/>
                <w:szCs w:val="21"/>
                <w:highlight w:val="none"/>
                <w:lang w:val="zh-CN" w:eastAsia="zh-CN" w:bidi="ar-SA"/>
              </w:rPr>
              <w:t>保育区</w:t>
            </w:r>
            <w:r>
              <w:rPr>
                <w:rFonts w:hint="eastAsia" w:ascii="Times New Roman" w:hAnsi="Times New Roman" w:cs="Times New Roman"/>
                <w:bCs/>
                <w:color w:val="auto"/>
                <w:kern w:val="0"/>
                <w:sz w:val="21"/>
                <w:szCs w:val="21"/>
                <w:highlight w:val="none"/>
                <w:lang w:val="en-US" w:eastAsia="zh-CN" w:bidi="ar-SA"/>
              </w:rPr>
              <w:t>与</w:t>
            </w:r>
            <w:r>
              <w:rPr>
                <w:rFonts w:hint="default" w:ascii="Times New Roman" w:hAnsi="Times New Roman" w:eastAsia="宋体" w:cs="Times New Roman"/>
                <w:bCs/>
                <w:color w:val="auto"/>
                <w:kern w:val="0"/>
                <w:sz w:val="21"/>
                <w:szCs w:val="21"/>
                <w:highlight w:val="none"/>
                <w:lang w:val="zh-CN" w:eastAsia="zh-CN" w:bidi="ar-SA"/>
              </w:rPr>
              <w:t>恢复重建区</w:t>
            </w:r>
            <w:r>
              <w:rPr>
                <w:rFonts w:hint="eastAsia" w:ascii="Times New Roman" w:hAnsi="Times New Roman" w:cs="Times New Roman"/>
                <w:bCs/>
                <w:color w:val="auto"/>
                <w:kern w:val="0"/>
                <w:sz w:val="21"/>
                <w:szCs w:val="21"/>
                <w:highlight w:val="none"/>
                <w:lang w:val="en-US" w:eastAsia="zh-CN" w:bidi="ar-SA"/>
              </w:rPr>
              <w:t>，</w:t>
            </w:r>
            <w:r>
              <w:rPr>
                <w:rFonts w:hint="default" w:ascii="Times New Roman" w:hAnsi="Times New Roman" w:cs="Times New Roman"/>
                <w:bCs/>
                <w:color w:val="auto"/>
                <w:kern w:val="0"/>
                <w:sz w:val="21"/>
                <w:szCs w:val="21"/>
                <w:highlight w:val="none"/>
                <w:lang w:val="en-US" w:eastAsia="zh-CN" w:bidi="ar-SA"/>
              </w:rPr>
              <w:t>涉及湿地体验区、湿地功能展示区</w:t>
            </w:r>
            <w:r>
              <w:rPr>
                <w:rFonts w:hint="eastAsia" w:ascii="Times New Roman" w:hAnsi="Times New Roman" w:cs="Times New Roman"/>
                <w:bCs/>
                <w:color w:val="auto"/>
                <w:kern w:val="0"/>
                <w:sz w:val="21"/>
                <w:szCs w:val="21"/>
                <w:highlight w:val="none"/>
                <w:lang w:val="en-US" w:eastAsia="zh-CN" w:bidi="ar-SA"/>
              </w:rPr>
              <w:t>（及草湖四季(依托现有观景平台，打造网红拍照点)、草湖防火栈道项目（主要用途为森林防火））</w:t>
            </w:r>
            <w:r>
              <w:rPr>
                <w:rFonts w:hint="default" w:ascii="Times New Roman" w:hAnsi="Times New Roman" w:cs="Times New Roman"/>
                <w:bCs/>
                <w:color w:val="auto"/>
                <w:kern w:val="0"/>
                <w:sz w:val="21"/>
                <w:szCs w:val="21"/>
                <w:highlight w:val="none"/>
                <w:lang w:val="en-US" w:eastAsia="zh-CN" w:bidi="ar-SA"/>
              </w:rPr>
              <w:t>，属于</w:t>
            </w:r>
            <w:r>
              <w:rPr>
                <w:rFonts w:hint="default" w:ascii="Times New Roman" w:hAnsi="Times New Roman" w:eastAsia="宋体" w:cs="Times New Roman"/>
                <w:bCs/>
                <w:color w:val="auto"/>
                <w:kern w:val="0"/>
                <w:sz w:val="21"/>
                <w:szCs w:val="21"/>
                <w:highlight w:val="none"/>
                <w:lang w:val="zh-CN" w:eastAsia="zh-CN" w:bidi="ar-SA"/>
              </w:rPr>
              <w:t>合理利用区</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本规划为以“生态保护为核、高铁机遇为引、森林康养为本、两村联动为基”，立足“中国十大最美森林”生态本底，打造集生态观光、森林康养、户外运动、自然研学、民俗休闲于一体的综合性旅游景区，属于</w:t>
            </w:r>
            <w:r>
              <w:rPr>
                <w:rFonts w:hint="default" w:ascii="Times New Roman" w:hAnsi="Times New Roman" w:eastAsia="宋体" w:cs="Times New Roman"/>
                <w:bCs/>
                <w:color w:val="auto"/>
                <w:kern w:val="0"/>
                <w:sz w:val="21"/>
                <w:szCs w:val="21"/>
                <w:highlight w:val="none"/>
                <w:lang w:val="zh-CN" w:eastAsia="zh-CN" w:bidi="ar-SA"/>
              </w:rPr>
              <w:t>不损害湿地生态系统功能的生态体验及管理服务等活动</w:t>
            </w:r>
            <w:r>
              <w:rPr>
                <w:rFonts w:hint="default" w:ascii="Times New Roman" w:hAnsi="Times New Roman" w:cs="Times New Roman"/>
                <w:bCs/>
                <w:color w:val="auto"/>
                <w:kern w:val="0"/>
                <w:sz w:val="21"/>
                <w:szCs w:val="21"/>
                <w:highlight w:val="none"/>
                <w:lang w:val="en-US" w:eastAsia="zh-CN" w:bidi="ar-SA"/>
              </w:rPr>
              <w:t>。</w:t>
            </w:r>
          </w:p>
        </w:tc>
        <w:tc>
          <w:tcPr>
            <w:tcW w:w="425" w:type="pct"/>
            <w:shd w:val="clear" w:color="auto" w:fill="FFFFFF"/>
            <w:vAlign w:val="center"/>
          </w:tcPr>
          <w:p w14:paraId="0263E480">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符合</w:t>
            </w:r>
          </w:p>
        </w:tc>
      </w:tr>
      <w:tr w14:paraId="48EE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rPr>
        <w:tc>
          <w:tcPr>
            <w:tcW w:w="328" w:type="pct"/>
            <w:shd w:val="clear" w:color="auto" w:fill="FFFFFF"/>
            <w:vAlign w:val="center"/>
          </w:tcPr>
          <w:p w14:paraId="7C7AFE72">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2</w:t>
            </w:r>
          </w:p>
        </w:tc>
        <w:tc>
          <w:tcPr>
            <w:tcW w:w="2293" w:type="pct"/>
            <w:shd w:val="clear" w:color="auto" w:fill="FFFFFF"/>
            <w:vAlign w:val="center"/>
          </w:tcPr>
          <w:p w14:paraId="79D5A308">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第十九条</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eastAsia="宋体" w:cs="Times New Roman"/>
                <w:bCs/>
                <w:color w:val="auto"/>
                <w:kern w:val="0"/>
                <w:sz w:val="21"/>
                <w:szCs w:val="21"/>
                <w:highlight w:val="none"/>
                <w:lang w:val="zh-CN" w:eastAsia="zh-CN" w:bidi="ar-SA"/>
              </w:rPr>
              <w:t>除国家另有规定外，国家湿地公园内禁止下列行为：</w:t>
            </w:r>
          </w:p>
          <w:p w14:paraId="2BD55DDB">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（一）开（围）垦、填埋或者排干湿地。</w:t>
            </w:r>
          </w:p>
          <w:p w14:paraId="4F7C6236">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（二）截断湿地水源。</w:t>
            </w:r>
          </w:p>
          <w:p w14:paraId="5FD2ABD3">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（三）挖沙、采矿。</w:t>
            </w:r>
          </w:p>
          <w:p w14:paraId="2DB90058">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（四）倾倒有毒有害物质、废弃物、垃圾。</w:t>
            </w:r>
          </w:p>
          <w:p w14:paraId="37BC5E8E">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（五）从事房地产、度假村、高尔夫球场、风力发电、光伏发电等任何不符合主体功能定位的建设项目和开发活动。</w:t>
            </w:r>
          </w:p>
          <w:p w14:paraId="43F8534C">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（六）破坏野生动物栖息地和迁徙通道、鱼类洄游通道，滥采滥捕野生动植物。</w:t>
            </w:r>
          </w:p>
          <w:p w14:paraId="11ADB700">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（七）引入外来物种。</w:t>
            </w:r>
          </w:p>
          <w:p w14:paraId="26118058">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（八）擅自放牧、捕捞、取土、取水、排污、放生。</w:t>
            </w:r>
          </w:p>
          <w:p w14:paraId="27BBE1EB">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（九）其他破坏湿地及其生态功能的活动。</w:t>
            </w:r>
          </w:p>
        </w:tc>
        <w:tc>
          <w:tcPr>
            <w:tcW w:w="1952" w:type="pct"/>
            <w:shd w:val="clear" w:color="auto" w:fill="FFFFFF"/>
            <w:vAlign w:val="center"/>
          </w:tcPr>
          <w:p w14:paraId="516844BD">
            <w:pPr>
              <w:pStyle w:val="28"/>
              <w:tabs>
                <w:tab w:val="left" w:pos="840"/>
              </w:tabs>
              <w:jc w:val="both"/>
              <w:rPr>
                <w:rFonts w:hint="default" w:ascii="Times New Roman" w:hAnsi="Times New Roman" w:cs="Times New Roman"/>
                <w:bCs/>
                <w:color w:val="auto"/>
                <w:kern w:val="0"/>
                <w:sz w:val="21"/>
                <w:szCs w:val="21"/>
                <w:highlight w:val="none"/>
                <w:lang w:val="zh-CN" w:eastAsia="zh-CN" w:bidi="ar-SA"/>
              </w:rPr>
            </w:pPr>
            <w:r>
              <w:rPr>
                <w:rFonts w:hint="default" w:ascii="Times New Roman" w:hAnsi="Times New Roman" w:cs="Times New Roman"/>
                <w:bCs/>
                <w:color w:val="auto"/>
                <w:kern w:val="0"/>
                <w:sz w:val="21"/>
                <w:szCs w:val="21"/>
                <w:highlight w:val="none"/>
                <w:lang w:val="en-US" w:eastAsia="zh-CN" w:bidi="ar-SA"/>
              </w:rPr>
              <w:t>（一）本规划不涉及</w:t>
            </w:r>
            <w:r>
              <w:rPr>
                <w:rFonts w:hint="default" w:ascii="Times New Roman" w:hAnsi="Times New Roman" w:eastAsia="宋体" w:cs="Times New Roman"/>
                <w:bCs/>
                <w:color w:val="auto"/>
                <w:kern w:val="0"/>
                <w:sz w:val="21"/>
                <w:szCs w:val="21"/>
                <w:highlight w:val="none"/>
                <w:lang w:val="zh-CN" w:eastAsia="zh-CN" w:bidi="ar-SA"/>
              </w:rPr>
              <w:t>开（围）垦、填埋或者排干湿地</w:t>
            </w:r>
            <w:r>
              <w:rPr>
                <w:rFonts w:hint="default" w:ascii="Times New Roman" w:hAnsi="Times New Roman" w:cs="Times New Roman"/>
                <w:bCs/>
                <w:color w:val="auto"/>
                <w:kern w:val="0"/>
                <w:sz w:val="21"/>
                <w:szCs w:val="21"/>
                <w:highlight w:val="none"/>
                <w:lang w:val="zh-CN" w:eastAsia="zh-CN" w:bidi="ar-SA"/>
              </w:rPr>
              <w:t>。</w:t>
            </w:r>
          </w:p>
          <w:p w14:paraId="7B943ABB">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（二）</w:t>
            </w:r>
            <w:r>
              <w:rPr>
                <w:rFonts w:hint="default" w:ascii="Times New Roman" w:hAnsi="Times New Roman" w:cs="Times New Roman"/>
                <w:bCs/>
                <w:color w:val="auto"/>
                <w:kern w:val="0"/>
                <w:sz w:val="21"/>
                <w:szCs w:val="21"/>
                <w:highlight w:val="none"/>
                <w:lang w:val="en-US" w:eastAsia="zh-CN" w:bidi="ar-SA"/>
              </w:rPr>
              <w:t>本规划不涉及</w:t>
            </w:r>
            <w:r>
              <w:rPr>
                <w:rFonts w:hint="default" w:ascii="Times New Roman" w:hAnsi="Times New Roman" w:eastAsia="宋体" w:cs="Times New Roman"/>
                <w:bCs/>
                <w:color w:val="auto"/>
                <w:kern w:val="0"/>
                <w:sz w:val="21"/>
                <w:szCs w:val="21"/>
                <w:highlight w:val="none"/>
                <w:lang w:val="zh-CN" w:eastAsia="zh-CN" w:bidi="ar-SA"/>
              </w:rPr>
              <w:t>截断湿地水源。</w:t>
            </w:r>
          </w:p>
          <w:p w14:paraId="55593EEA">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（三）</w:t>
            </w:r>
            <w:r>
              <w:rPr>
                <w:rFonts w:hint="default" w:ascii="Times New Roman" w:hAnsi="Times New Roman" w:cs="Times New Roman"/>
                <w:bCs/>
                <w:color w:val="auto"/>
                <w:kern w:val="0"/>
                <w:sz w:val="21"/>
                <w:szCs w:val="21"/>
                <w:highlight w:val="none"/>
                <w:lang w:val="en-US" w:eastAsia="zh-CN" w:bidi="ar-SA"/>
              </w:rPr>
              <w:t>本规划不涉及</w:t>
            </w:r>
            <w:r>
              <w:rPr>
                <w:rFonts w:hint="default" w:ascii="Times New Roman" w:hAnsi="Times New Roman" w:eastAsia="宋体" w:cs="Times New Roman"/>
                <w:bCs/>
                <w:color w:val="auto"/>
                <w:kern w:val="0"/>
                <w:sz w:val="21"/>
                <w:szCs w:val="21"/>
                <w:highlight w:val="none"/>
                <w:lang w:val="zh-CN" w:eastAsia="zh-CN" w:bidi="ar-SA"/>
              </w:rPr>
              <w:t>挖沙、采矿。</w:t>
            </w:r>
          </w:p>
          <w:p w14:paraId="5F57D507">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（四）</w:t>
            </w:r>
            <w:r>
              <w:rPr>
                <w:rFonts w:hint="default" w:ascii="Times New Roman" w:hAnsi="Times New Roman" w:cs="Times New Roman"/>
                <w:bCs/>
                <w:color w:val="auto"/>
                <w:kern w:val="0"/>
                <w:sz w:val="21"/>
                <w:szCs w:val="21"/>
                <w:highlight w:val="none"/>
                <w:lang w:val="en-US" w:eastAsia="zh-CN" w:bidi="ar-SA"/>
              </w:rPr>
              <w:t>本规划不涉及</w:t>
            </w:r>
            <w:r>
              <w:rPr>
                <w:rFonts w:hint="default" w:ascii="Times New Roman" w:hAnsi="Times New Roman" w:eastAsia="宋体" w:cs="Times New Roman"/>
                <w:bCs/>
                <w:color w:val="auto"/>
                <w:kern w:val="0"/>
                <w:sz w:val="21"/>
                <w:szCs w:val="21"/>
                <w:highlight w:val="none"/>
                <w:lang w:val="zh-CN" w:eastAsia="zh-CN" w:bidi="ar-SA"/>
              </w:rPr>
              <w:t>倾倒有毒有害物质、废弃物、垃圾</w:t>
            </w:r>
            <w:r>
              <w:rPr>
                <w:rFonts w:hint="default" w:ascii="Times New Roman" w:hAnsi="Times New Roman" w:cs="Times New Roman"/>
                <w:bCs/>
                <w:color w:val="auto"/>
                <w:kern w:val="0"/>
                <w:sz w:val="21"/>
                <w:szCs w:val="21"/>
                <w:highlight w:val="none"/>
                <w:lang w:val="zh-CN" w:eastAsia="zh-CN" w:bidi="ar-SA"/>
              </w:rPr>
              <w:t>，</w:t>
            </w:r>
            <w:r>
              <w:rPr>
                <w:rFonts w:hint="default" w:ascii="Times New Roman" w:hAnsi="Times New Roman" w:cs="Times New Roman"/>
                <w:bCs/>
                <w:color w:val="auto"/>
                <w:kern w:val="0"/>
                <w:sz w:val="21"/>
                <w:szCs w:val="21"/>
                <w:highlight w:val="none"/>
                <w:lang w:val="en-US" w:eastAsia="zh-CN" w:bidi="ar-SA"/>
              </w:rPr>
              <w:t>产生的生活垃圾均妥善收集后由环卫部门清运统一处置</w:t>
            </w:r>
            <w:r>
              <w:rPr>
                <w:rFonts w:hint="default" w:ascii="Times New Roman" w:hAnsi="Times New Roman" w:eastAsia="宋体" w:cs="Times New Roman"/>
                <w:bCs/>
                <w:color w:val="auto"/>
                <w:kern w:val="0"/>
                <w:sz w:val="21"/>
                <w:szCs w:val="21"/>
                <w:highlight w:val="none"/>
                <w:lang w:val="zh-CN" w:eastAsia="zh-CN" w:bidi="ar-SA"/>
              </w:rPr>
              <w:t>。</w:t>
            </w:r>
          </w:p>
          <w:p w14:paraId="6B37AFC6">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（五）</w:t>
            </w:r>
            <w:r>
              <w:rPr>
                <w:rFonts w:hint="default" w:ascii="Times New Roman" w:hAnsi="Times New Roman" w:cs="Times New Roman"/>
                <w:bCs/>
                <w:color w:val="auto"/>
                <w:kern w:val="0"/>
                <w:sz w:val="21"/>
                <w:szCs w:val="21"/>
                <w:highlight w:val="none"/>
                <w:lang w:val="en-US" w:eastAsia="zh-CN" w:bidi="ar-SA"/>
              </w:rPr>
              <w:t>本规划不属于</w:t>
            </w:r>
            <w:r>
              <w:rPr>
                <w:rFonts w:hint="default" w:ascii="Times New Roman" w:hAnsi="Times New Roman" w:eastAsia="宋体" w:cs="Times New Roman"/>
                <w:bCs/>
                <w:color w:val="auto"/>
                <w:kern w:val="0"/>
                <w:sz w:val="21"/>
                <w:szCs w:val="21"/>
                <w:highlight w:val="none"/>
                <w:lang w:val="zh-CN" w:eastAsia="zh-CN" w:bidi="ar-SA"/>
              </w:rPr>
              <w:t>不符合主体功能定位的建设项目和开发活动。</w:t>
            </w:r>
          </w:p>
          <w:p w14:paraId="69A771FC">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（六）</w:t>
            </w:r>
            <w:r>
              <w:rPr>
                <w:rFonts w:hint="default" w:ascii="Times New Roman" w:hAnsi="Times New Roman" w:cs="Times New Roman"/>
                <w:bCs/>
                <w:color w:val="auto"/>
                <w:kern w:val="0"/>
                <w:sz w:val="21"/>
                <w:szCs w:val="21"/>
                <w:highlight w:val="none"/>
                <w:lang w:val="en-US" w:eastAsia="zh-CN" w:bidi="ar-SA"/>
              </w:rPr>
              <w:t>本规划不涉及</w:t>
            </w:r>
            <w:r>
              <w:rPr>
                <w:rFonts w:hint="default" w:ascii="Times New Roman" w:hAnsi="Times New Roman" w:eastAsia="宋体" w:cs="Times New Roman"/>
                <w:bCs/>
                <w:color w:val="auto"/>
                <w:kern w:val="0"/>
                <w:sz w:val="21"/>
                <w:szCs w:val="21"/>
                <w:highlight w:val="none"/>
                <w:lang w:val="zh-CN" w:eastAsia="zh-CN" w:bidi="ar-SA"/>
              </w:rPr>
              <w:t>破坏野生动物栖息地和迁徙通道、鱼类洄游通道，滥采滥捕野生动植物。</w:t>
            </w:r>
          </w:p>
          <w:p w14:paraId="339E508E">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（七）</w:t>
            </w:r>
            <w:r>
              <w:rPr>
                <w:rFonts w:hint="default" w:ascii="Times New Roman" w:hAnsi="Times New Roman" w:cs="Times New Roman"/>
                <w:bCs/>
                <w:color w:val="auto"/>
                <w:kern w:val="0"/>
                <w:sz w:val="21"/>
                <w:szCs w:val="21"/>
                <w:highlight w:val="none"/>
                <w:lang w:val="en-US" w:eastAsia="zh-CN" w:bidi="ar-SA"/>
              </w:rPr>
              <w:t>本规划不涉及</w:t>
            </w:r>
            <w:r>
              <w:rPr>
                <w:rFonts w:hint="default" w:ascii="Times New Roman" w:hAnsi="Times New Roman" w:eastAsia="宋体" w:cs="Times New Roman"/>
                <w:bCs/>
                <w:color w:val="auto"/>
                <w:kern w:val="0"/>
                <w:sz w:val="21"/>
                <w:szCs w:val="21"/>
                <w:highlight w:val="none"/>
                <w:lang w:val="zh-CN" w:eastAsia="zh-CN" w:bidi="ar-SA"/>
              </w:rPr>
              <w:t>引入外来物种。</w:t>
            </w:r>
          </w:p>
          <w:p w14:paraId="65FFB665">
            <w:pPr>
              <w:pStyle w:val="28"/>
              <w:tabs>
                <w:tab w:val="left" w:pos="840"/>
              </w:tabs>
              <w:jc w:val="both"/>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zh-CN" w:eastAsia="zh-CN" w:bidi="ar-SA"/>
              </w:rPr>
              <w:t>（八）</w:t>
            </w:r>
            <w:r>
              <w:rPr>
                <w:rFonts w:hint="default" w:ascii="Times New Roman" w:hAnsi="Times New Roman" w:cs="Times New Roman"/>
                <w:bCs/>
                <w:color w:val="auto"/>
                <w:kern w:val="0"/>
                <w:sz w:val="21"/>
                <w:szCs w:val="21"/>
                <w:highlight w:val="none"/>
                <w:lang w:val="en-US" w:eastAsia="zh-CN" w:bidi="ar-SA"/>
              </w:rPr>
              <w:t>本规划不涉及</w:t>
            </w:r>
            <w:r>
              <w:rPr>
                <w:rFonts w:hint="default" w:ascii="Times New Roman" w:hAnsi="Times New Roman" w:eastAsia="宋体" w:cs="Times New Roman"/>
                <w:bCs/>
                <w:color w:val="auto"/>
                <w:kern w:val="0"/>
                <w:sz w:val="21"/>
                <w:szCs w:val="21"/>
                <w:highlight w:val="none"/>
                <w:lang w:val="zh-CN" w:eastAsia="zh-CN" w:bidi="ar-SA"/>
              </w:rPr>
              <w:t>擅自放牧、捕捞、取土、取水、排污、放生。</w:t>
            </w:r>
            <w:r>
              <w:rPr>
                <w:rFonts w:hint="default" w:ascii="Times New Roman" w:hAnsi="Times New Roman" w:cs="Times New Roman"/>
                <w:bCs/>
                <w:color w:val="auto"/>
                <w:kern w:val="0"/>
                <w:sz w:val="21"/>
                <w:szCs w:val="21"/>
                <w:highlight w:val="none"/>
                <w:lang w:val="en-US" w:eastAsia="zh-CN" w:bidi="ar-SA"/>
              </w:rPr>
              <w:t>生活用水取水点均为规划区南侧的山泉水，不涉及在湿地公园内取水。</w:t>
            </w:r>
          </w:p>
          <w:p w14:paraId="4CE3049F">
            <w:pPr>
              <w:pStyle w:val="28"/>
              <w:tabs>
                <w:tab w:val="left" w:pos="840"/>
              </w:tabs>
              <w:jc w:val="both"/>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zh-CN" w:eastAsia="zh-CN" w:bidi="ar-SA"/>
              </w:rPr>
              <w:t>（九）</w:t>
            </w:r>
            <w:r>
              <w:rPr>
                <w:rFonts w:hint="default" w:ascii="Times New Roman" w:hAnsi="Times New Roman" w:cs="Times New Roman"/>
                <w:bCs/>
                <w:color w:val="auto"/>
                <w:kern w:val="0"/>
                <w:sz w:val="21"/>
                <w:szCs w:val="21"/>
                <w:highlight w:val="none"/>
                <w:lang w:val="en-US" w:eastAsia="zh-CN" w:bidi="ar-SA"/>
              </w:rPr>
              <w:t>本规划不涉及</w:t>
            </w:r>
            <w:r>
              <w:rPr>
                <w:rFonts w:hint="default" w:ascii="Times New Roman" w:hAnsi="Times New Roman" w:eastAsia="宋体" w:cs="Times New Roman"/>
                <w:bCs/>
                <w:color w:val="auto"/>
                <w:kern w:val="0"/>
                <w:sz w:val="21"/>
                <w:szCs w:val="21"/>
                <w:highlight w:val="none"/>
                <w:lang w:val="zh-CN" w:eastAsia="zh-CN" w:bidi="ar-SA"/>
              </w:rPr>
              <w:t>破坏湿地及其生态功能的活动。</w:t>
            </w:r>
          </w:p>
        </w:tc>
        <w:tc>
          <w:tcPr>
            <w:tcW w:w="425" w:type="pct"/>
            <w:shd w:val="clear" w:color="auto" w:fill="FFFFFF"/>
            <w:vAlign w:val="center"/>
          </w:tcPr>
          <w:p w14:paraId="2BB53BCA">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符合</w:t>
            </w:r>
          </w:p>
        </w:tc>
      </w:tr>
    </w:tbl>
    <w:p w14:paraId="3168AC26">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综上所述，本规划的实施与《国家湿地公园管理办法》相符。</w:t>
      </w:r>
    </w:p>
    <w:p w14:paraId="18C2528F">
      <w:pPr>
        <w:pStyle w:val="5"/>
        <w:spacing w:before="156" w:after="15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与《中华人民共和国青藏高原生态保护法》（2023年9月1日执行）符合性分析</w:t>
      </w:r>
    </w:p>
    <w:p w14:paraId="08AC41AD">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《中华人民共和国青藏高原生态保护法》（2023年9月1日执行）规定：</w:t>
      </w:r>
    </w:p>
    <w:p w14:paraId="04CA499F">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第十七条　青藏高原产业结构和布局应当与青藏高原生态系统和资源环境承载能力相适应。国务院有关部门和青藏高原县级以上地方人民政府应当按照国土空间规划要求，调整产业结构，优化生产力布局，优先发展资源节约型、环境友好型产业，适度发展生态旅游、特色文化、特色农牧业、民族特色手工业等区域特色生态产业，建立健全绿色、低碳、循环经济体系。</w:t>
      </w:r>
    </w:p>
    <w:p w14:paraId="7485F30A">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第四十六条　在青藏高原发展生态旅游应当符合资源和生态保护要求，尊重和维护当地传统文化和习俗，保护和合理利用旅游资源。</w:t>
      </w:r>
    </w:p>
    <w:p w14:paraId="43A47FA9">
      <w:pPr>
        <w:pStyle w:val="28"/>
        <w:tabs>
          <w:tab w:val="left" w:pos="840"/>
        </w:tabs>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本规划主要发展乡村旅游和生态旅游，</w:t>
      </w:r>
      <w:r>
        <w:rPr>
          <w:rFonts w:hint="default" w:ascii="Times New Roman" w:hAnsi="Times New Roman" w:cs="Times New Roman"/>
          <w:bCs/>
          <w:color w:val="auto"/>
          <w:kern w:val="0"/>
          <w:sz w:val="24"/>
          <w:highlight w:val="none"/>
          <w:lang w:eastAsia="zh-CN"/>
        </w:rPr>
        <w:t>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将资源优势、生态优势转化为产业优势和发展优势。“三生融合”示范景区：生态保护标杆/生活体验窗口/生产创新样板。打造西藏首个森林康养旅游目的地，国家级森林徒步天堂。</w:t>
      </w:r>
      <w:r>
        <w:rPr>
          <w:rFonts w:hint="default" w:ascii="Times New Roman" w:hAnsi="Times New Roman" w:cs="Times New Roman"/>
          <w:color w:val="auto"/>
          <w:sz w:val="24"/>
          <w:highlight w:val="none"/>
        </w:rPr>
        <w:t>因此，规划符合</w:t>
      </w:r>
      <w:r>
        <w:rPr>
          <w:rFonts w:hint="default" w:ascii="Times New Roman" w:hAnsi="Times New Roman" w:cs="Times New Roman"/>
          <w:color w:val="auto"/>
          <w:kern w:val="0"/>
          <w:sz w:val="24"/>
          <w:highlight w:val="none"/>
        </w:rPr>
        <w:t>《中华人民共和国青藏高原生态保护法》中的相关要求。</w:t>
      </w:r>
    </w:p>
    <w:p w14:paraId="0974311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与相关政策符合性分析</w:t>
      </w:r>
    </w:p>
    <w:p w14:paraId="498C610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与《产业结构调整指导目录（2024年本）》</w:t>
      </w:r>
      <w:r>
        <w:rPr>
          <w:rFonts w:hint="default" w:ascii="Times New Roman" w:hAnsi="Times New Roman" w:cs="Times New Roman"/>
          <w:color w:val="auto"/>
          <w:szCs w:val="21"/>
          <w:highlight w:val="none"/>
        </w:rPr>
        <w:t>符合性分析</w:t>
      </w:r>
    </w:p>
    <w:p w14:paraId="2974145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本规划主要发展乡村旅游和生态旅游，根据《产业结构调整指导目录（2024年本）》，属鼓励类“第三十四、旅游业——2、旅游新业态</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文化旅游、康养旅游、乡村旅游、生态旅游海洋旅游、森林旅游、草原旅游、湿地旅游、湖泊旅游、冰雪旅游、红色旅游、城市旅游、工业旅游、体育旅游、游乐及其他旅游资源综合开发、旅游基础设施建设和运营、旅游信息等服务，智慧旅游、科技旅游、休闲度假旅游、自驾游、低空旅游、邮轮游艇旅游及其他新兴旅游方式服务体系建设”，符合国家产业政策。</w:t>
      </w:r>
    </w:p>
    <w:p w14:paraId="653C2876">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与《国务院关于促进旅游业改革发展的若干意见》（国发[2014]31号）</w:t>
      </w:r>
      <w:r>
        <w:rPr>
          <w:rFonts w:hint="default" w:ascii="Times New Roman" w:hAnsi="Times New Roman" w:cs="Times New Roman"/>
          <w:color w:val="auto"/>
          <w:szCs w:val="21"/>
          <w:highlight w:val="none"/>
        </w:rPr>
        <w:t>符合性分析</w:t>
      </w:r>
    </w:p>
    <w:p w14:paraId="4FE92A2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《国务院关于促进旅游业改革发展的若干意见》“</w:t>
      </w:r>
      <w:r>
        <w:rPr>
          <w:rFonts w:hint="default" w:ascii="Times New Roman" w:hAnsi="Times New Roman" w:cs="Times New Roman"/>
          <w:bCs/>
          <w:color w:val="auto"/>
          <w:sz w:val="24"/>
          <w:highlight w:val="none"/>
        </w:rPr>
        <w:t>三、拓展旅游发展空间——（七）</w:t>
      </w:r>
      <w:r>
        <w:rPr>
          <w:rFonts w:hint="default" w:ascii="Times New Roman" w:hAnsi="Times New Roman" w:cs="Times New Roman"/>
          <w:color w:val="auto"/>
          <w:sz w:val="24"/>
          <w:highlight w:val="none"/>
        </w:rPr>
        <w:t>大力发展乡村旅游”中指出：依托当地区位条件、资源特色和市场需求，挖掘文化内涵，发挥生态优势，突出乡村特点，开发一批形式多样、特色鲜明的乡村旅游产品。推动乡村旅游与新型城镇化有机结合，合理利用民族村寨、古村古镇，发展有历史记忆、地域特色、民族特点的旅游小镇，建设一批特色景观旅游名镇名村。加强规划引导，提高组织化程度，规范乡村旅游开发建设，保持传统乡村风貌。加强乡村旅游精准扶贫，扎实推进乡村旅游富民工程，带动贫困地区脱贫致富。统筹利用惠农资金加强卫生、环保、道路等基础设施建设，完善乡村旅游服务体系。加强乡村旅游从业人员培训，鼓励旅游专业毕业生、专业志愿者、艺术和科技工作者驻村帮扶，为乡村旅游发展提供智力支持。</w:t>
      </w:r>
    </w:p>
    <w:p w14:paraId="3F04157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本规划位于西藏</w:t>
      </w:r>
      <w:r>
        <w:rPr>
          <w:rFonts w:hint="default" w:ascii="Times New Roman" w:hAnsi="Times New Roman" w:cs="Times New Roman"/>
          <w:color w:val="auto"/>
          <w:sz w:val="24"/>
          <w:highlight w:val="none"/>
          <w:lang w:eastAsia="zh-CN"/>
        </w:rPr>
        <w:t>林芝市波密县扎木镇、古乡</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岗云杉林景区</w:t>
      </w:r>
      <w:r>
        <w:rPr>
          <w:rFonts w:hint="default" w:ascii="Times New Roman" w:hAnsi="Times New Roman" w:cs="Times New Roman"/>
          <w:color w:val="auto"/>
          <w:sz w:val="24"/>
          <w:highlight w:val="none"/>
        </w:rPr>
        <w:t>紧邻</w:t>
      </w:r>
      <w:r>
        <w:rPr>
          <w:rFonts w:hint="default" w:ascii="Times New Roman" w:hAnsi="Times New Roman" w:cs="Times New Roman"/>
          <w:color w:val="auto"/>
          <w:sz w:val="24"/>
          <w:highlight w:val="none"/>
          <w:lang w:val="en-US" w:eastAsia="zh-CN"/>
        </w:rPr>
        <w:t>G318国道</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规划</w:t>
      </w:r>
      <w:r>
        <w:rPr>
          <w:rFonts w:hint="default" w:ascii="Times New Roman" w:hAnsi="Times New Roman" w:cs="Times New Roman"/>
          <w:bCs/>
          <w:color w:val="auto"/>
          <w:kern w:val="0"/>
          <w:sz w:val="24"/>
          <w:highlight w:val="none"/>
          <w:lang w:eastAsia="zh-CN"/>
        </w:rPr>
        <w:t>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w:t>
      </w:r>
      <w:r>
        <w:rPr>
          <w:rFonts w:hint="default" w:ascii="Times New Roman" w:hAnsi="Times New Roman" w:cs="Times New Roman"/>
          <w:color w:val="auto"/>
          <w:sz w:val="24"/>
          <w:highlight w:val="none"/>
        </w:rPr>
        <w:t>。本规划以保护生态环境为前提，依托良好的自然生态环境和独特的人文生态系统，发展生态旅游，在为广大群众提供旅游圣地的同时带动了当地经济发展，符合《国务院关于促进旅游业改革发展的若干意见》（国发[2014]31号）的指导思想。</w:t>
      </w:r>
    </w:p>
    <w:p w14:paraId="31296B33">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与《关于加强生态保护红线管理的通知（试行）》（自然资发〔2022〕142号）</w:t>
      </w:r>
      <w:r>
        <w:rPr>
          <w:rFonts w:hint="default" w:ascii="Times New Roman" w:hAnsi="Times New Roman" w:cs="Times New Roman"/>
          <w:color w:val="auto"/>
          <w:szCs w:val="21"/>
          <w:highlight w:val="none"/>
        </w:rPr>
        <w:t>符合性分析</w:t>
      </w:r>
    </w:p>
    <w:p w14:paraId="7DDAE69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本规划与《关于加强生态保护红线管理的通知（试行）》（自然资发〔2022〕142号）符合性分析如下表所示：</w:t>
      </w:r>
    </w:p>
    <w:p w14:paraId="7475E8E5">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表2.1-19  本规划与《关于加强生态保护红线管理的通知（试行）》符合性分析一览表</w:t>
      </w:r>
    </w:p>
    <w:tbl>
      <w:tblPr>
        <w:tblStyle w:val="5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589"/>
        <w:gridCol w:w="4121"/>
        <w:gridCol w:w="3509"/>
        <w:gridCol w:w="764"/>
      </w:tblGrid>
      <w:tr w14:paraId="06CA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rPr>
        <w:tc>
          <w:tcPr>
            <w:tcW w:w="328" w:type="pct"/>
            <w:shd w:val="clear" w:color="auto" w:fill="FFFFFF"/>
            <w:vAlign w:val="center"/>
          </w:tcPr>
          <w:p w14:paraId="1965A9B7">
            <w:pPr>
              <w:pStyle w:val="28"/>
              <w:tabs>
                <w:tab w:val="left" w:pos="840"/>
              </w:tabs>
              <w:jc w:val="center"/>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cs="Times New Roman"/>
                <w:bCs/>
                <w:color w:val="auto"/>
                <w:kern w:val="0"/>
                <w:sz w:val="21"/>
                <w:szCs w:val="21"/>
                <w:highlight w:val="none"/>
                <w:lang w:val="en-US" w:eastAsia="zh-CN" w:bidi="ar-SA"/>
              </w:rPr>
              <w:t>序号</w:t>
            </w:r>
          </w:p>
        </w:tc>
        <w:tc>
          <w:tcPr>
            <w:tcW w:w="2293" w:type="pct"/>
            <w:shd w:val="clear" w:color="auto" w:fill="FFFFFF"/>
            <w:vAlign w:val="center"/>
          </w:tcPr>
          <w:p w14:paraId="70D64805">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SA"/>
              </w:rPr>
              <w:t>通知</w:t>
            </w:r>
            <w:r>
              <w:rPr>
                <w:rFonts w:hint="default" w:ascii="Times New Roman" w:hAnsi="Times New Roman" w:cs="Times New Roman"/>
                <w:bCs/>
                <w:color w:val="auto"/>
                <w:kern w:val="0"/>
                <w:sz w:val="21"/>
                <w:szCs w:val="21"/>
                <w:highlight w:val="none"/>
                <w:lang w:val="en-US" w:eastAsia="zh-CN" w:bidi="ar-SA"/>
              </w:rPr>
              <w:t>要求</w:t>
            </w:r>
          </w:p>
        </w:tc>
        <w:tc>
          <w:tcPr>
            <w:tcW w:w="1952" w:type="pct"/>
            <w:shd w:val="clear" w:color="auto" w:fill="FFFFFF"/>
            <w:vAlign w:val="center"/>
          </w:tcPr>
          <w:p w14:paraId="19759AC1">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本规划情况</w:t>
            </w:r>
          </w:p>
        </w:tc>
        <w:tc>
          <w:tcPr>
            <w:tcW w:w="425" w:type="pct"/>
            <w:shd w:val="clear" w:color="auto" w:fill="FFFFFF"/>
            <w:vAlign w:val="center"/>
          </w:tcPr>
          <w:p w14:paraId="4536CCAE">
            <w:pPr>
              <w:pStyle w:val="28"/>
              <w:tabs>
                <w:tab w:val="left" w:pos="840"/>
              </w:tabs>
              <w:jc w:val="center"/>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cs="Times New Roman"/>
                <w:bCs/>
                <w:color w:val="auto"/>
                <w:kern w:val="0"/>
                <w:sz w:val="21"/>
                <w:szCs w:val="21"/>
                <w:highlight w:val="none"/>
                <w:lang w:val="en-US" w:eastAsia="zh-CN" w:bidi="ar-SA"/>
              </w:rPr>
              <w:t>符合性</w:t>
            </w:r>
          </w:p>
        </w:tc>
      </w:tr>
      <w:tr w14:paraId="5FFB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rPr>
        <w:tc>
          <w:tcPr>
            <w:tcW w:w="328" w:type="pct"/>
            <w:shd w:val="clear" w:color="auto" w:fill="FFFFFF"/>
            <w:vAlign w:val="center"/>
          </w:tcPr>
          <w:p w14:paraId="68C79D19">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1</w:t>
            </w:r>
          </w:p>
        </w:tc>
        <w:tc>
          <w:tcPr>
            <w:tcW w:w="2293" w:type="pct"/>
            <w:shd w:val="clear" w:color="auto" w:fill="FFFFFF"/>
            <w:vAlign w:val="center"/>
          </w:tcPr>
          <w:p w14:paraId="532F0E82">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p w14:paraId="06EBF861">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1、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51231E73">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w:t>
            </w:r>
          </w:p>
          <w:p w14:paraId="0E6FDBF7">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5、不破坏生态功能的适度参观旅游、科普宣教及符合相关规划的配套性服务设施和相关的必要公共设施建设及维护。</w:t>
            </w:r>
          </w:p>
          <w:p w14:paraId="4EE70DC5">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6、必须且无法避让、符合县级以上国土空间规划的线性基础设施、通讯和防洪、供水设施建设和船舶航行、航道疏浚清淤等活动；已有的合法水利、交通运输等设施运行维护改造。</w:t>
            </w:r>
          </w:p>
          <w:p w14:paraId="42B028E0">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7、依据县级以上国土空间规划和生态保护修复专项规划开展的生态修复。</w:t>
            </w:r>
          </w:p>
        </w:tc>
        <w:tc>
          <w:tcPr>
            <w:tcW w:w="1952" w:type="pct"/>
            <w:shd w:val="clear" w:color="auto" w:fill="FFFFFF"/>
            <w:vAlign w:val="center"/>
          </w:tcPr>
          <w:p w14:paraId="0000A186">
            <w:pPr>
              <w:pStyle w:val="28"/>
              <w:tabs>
                <w:tab w:val="left" w:pos="840"/>
              </w:tabs>
              <w:jc w:val="both"/>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SA"/>
              </w:rPr>
              <w:t>本规划</w:t>
            </w:r>
            <w:r>
              <w:rPr>
                <w:rFonts w:hint="default" w:ascii="Times New Roman" w:hAnsi="Times New Roman" w:eastAsia="宋体" w:cs="Times New Roman"/>
                <w:bCs/>
                <w:color w:val="auto"/>
                <w:kern w:val="0"/>
                <w:sz w:val="21"/>
                <w:szCs w:val="21"/>
                <w:highlight w:val="none"/>
                <w:lang w:val="en-US" w:eastAsia="zh-CN" w:bidi="ar-SA"/>
              </w:rPr>
              <w:t>景区新增建设用地不占用生态保护红线</w:t>
            </w:r>
            <w:r>
              <w:rPr>
                <w:rFonts w:hint="eastAsia" w:ascii="Times New Roman" w:hAnsi="Times New Roman" w:cs="Times New Roman"/>
                <w:bCs/>
                <w:color w:val="auto"/>
                <w:kern w:val="0"/>
                <w:sz w:val="21"/>
                <w:szCs w:val="21"/>
                <w:highlight w:val="none"/>
                <w:lang w:val="en-US" w:eastAsia="zh-CN" w:bidi="ar-SA"/>
              </w:rPr>
              <w:t>，</w:t>
            </w:r>
            <w:r>
              <w:rPr>
                <w:rFonts w:hint="default" w:ascii="Times New Roman" w:hAnsi="Times New Roman" w:eastAsia="宋体" w:cs="Times New Roman"/>
                <w:bCs/>
                <w:color w:val="auto"/>
                <w:kern w:val="0"/>
                <w:sz w:val="21"/>
                <w:szCs w:val="21"/>
                <w:highlight w:val="none"/>
                <w:lang w:val="en-US" w:eastAsia="zh-CN" w:bidi="ar-SA"/>
              </w:rPr>
              <w:t>景区范围不涉及生态保护红线中的核心保护区</w:t>
            </w:r>
            <w:r>
              <w:rPr>
                <w:rFonts w:hint="eastAsia" w:ascii="Times New Roman" w:hAnsi="Times New Roman" w:cs="Times New Roman"/>
                <w:bCs/>
                <w:color w:val="auto"/>
                <w:kern w:val="0"/>
                <w:sz w:val="21"/>
                <w:szCs w:val="21"/>
                <w:highlight w:val="none"/>
                <w:lang w:val="en-US" w:eastAsia="zh-CN" w:bidi="ar-SA"/>
              </w:rPr>
              <w:t>，</w:t>
            </w:r>
            <w:r>
              <w:rPr>
                <w:rFonts w:hint="default" w:ascii="Times New Roman" w:hAnsi="Times New Roman" w:eastAsia="宋体" w:cs="Times New Roman"/>
                <w:bCs/>
                <w:color w:val="auto"/>
                <w:kern w:val="0"/>
                <w:sz w:val="21"/>
                <w:szCs w:val="21"/>
                <w:highlight w:val="none"/>
                <w:lang w:val="en-US" w:eastAsia="zh-CN" w:bidi="ar-SA"/>
              </w:rPr>
              <w:t>生态保护红线中的一般控制区涉及有观光项目，为森林景观提升和保留的草湖防火栈道。</w:t>
            </w:r>
            <w:r>
              <w:rPr>
                <w:rFonts w:hint="eastAsia" w:ascii="Times New Roman" w:hAnsi="Times New Roman" w:cs="Times New Roman"/>
                <w:bCs/>
                <w:color w:val="auto"/>
                <w:kern w:val="0"/>
                <w:sz w:val="21"/>
                <w:szCs w:val="21"/>
                <w:highlight w:val="none"/>
                <w:lang w:val="en-US" w:eastAsia="zh-CN" w:bidi="ar-SA"/>
              </w:rPr>
              <w:t>属于允许的建设活动。规划后期对生态保护红线内的生态修复工作需</w:t>
            </w:r>
            <w:r>
              <w:rPr>
                <w:rFonts w:hint="default" w:ascii="Times New Roman" w:hAnsi="Times New Roman" w:eastAsia="宋体" w:cs="Times New Roman"/>
                <w:bCs/>
                <w:color w:val="auto"/>
                <w:kern w:val="0"/>
                <w:sz w:val="21"/>
                <w:szCs w:val="21"/>
                <w:highlight w:val="none"/>
                <w:lang w:val="zh-CN" w:eastAsia="zh-CN" w:bidi="ar-SA"/>
              </w:rPr>
              <w:t>依据县级以上国土空间规划和生态保护修复专项规划开展</w:t>
            </w:r>
            <w:r>
              <w:rPr>
                <w:rFonts w:hint="eastAsia" w:ascii="Times New Roman" w:hAnsi="Times New Roman" w:cs="Times New Roman"/>
                <w:bCs/>
                <w:color w:val="auto"/>
                <w:kern w:val="0"/>
                <w:sz w:val="21"/>
                <w:szCs w:val="21"/>
                <w:highlight w:val="none"/>
                <w:lang w:val="zh-CN" w:eastAsia="zh-CN" w:bidi="ar-SA"/>
              </w:rPr>
              <w:t>。</w:t>
            </w:r>
          </w:p>
        </w:tc>
        <w:tc>
          <w:tcPr>
            <w:tcW w:w="425" w:type="pct"/>
            <w:shd w:val="clear" w:color="auto" w:fill="FFFFFF"/>
            <w:vAlign w:val="center"/>
          </w:tcPr>
          <w:p w14:paraId="400A828E">
            <w:pPr>
              <w:pStyle w:val="28"/>
              <w:tabs>
                <w:tab w:val="left" w:pos="840"/>
              </w:tabs>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符合</w:t>
            </w:r>
          </w:p>
        </w:tc>
      </w:tr>
      <w:tr w14:paraId="3E8E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trPr>
        <w:tc>
          <w:tcPr>
            <w:tcW w:w="328" w:type="pct"/>
            <w:shd w:val="clear" w:color="auto" w:fill="FFFFFF"/>
            <w:vAlign w:val="center"/>
          </w:tcPr>
          <w:p w14:paraId="6D095B4D">
            <w:pPr>
              <w:pStyle w:val="28"/>
              <w:tabs>
                <w:tab w:val="left" w:pos="840"/>
              </w:tabs>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SA"/>
              </w:rPr>
              <w:t>2</w:t>
            </w:r>
          </w:p>
        </w:tc>
        <w:tc>
          <w:tcPr>
            <w:tcW w:w="2293" w:type="pct"/>
            <w:shd w:val="clear" w:color="auto" w:fill="FFFFFF"/>
            <w:vAlign w:val="center"/>
          </w:tcPr>
          <w:p w14:paraId="64DF2C64">
            <w:pPr>
              <w:pStyle w:val="28"/>
              <w:tabs>
                <w:tab w:val="left" w:pos="840"/>
              </w:tabs>
              <w:jc w:val="both"/>
              <w:rPr>
                <w:rFonts w:hint="default" w:ascii="Times New Roman" w:hAnsi="Times New Roman" w:eastAsia="宋体" w:cs="Times New Roman"/>
                <w:bCs/>
                <w:color w:val="auto"/>
                <w:kern w:val="0"/>
                <w:sz w:val="21"/>
                <w:szCs w:val="21"/>
                <w:highlight w:val="none"/>
                <w:lang w:val="zh-CN" w:eastAsia="zh-CN" w:bidi="ar-SA"/>
              </w:rPr>
            </w:pPr>
            <w:r>
              <w:rPr>
                <w:rFonts w:hint="default" w:ascii="Times New Roman" w:hAnsi="Times New Roman" w:eastAsia="宋体" w:cs="Times New Roman"/>
                <w:bCs/>
                <w:color w:val="auto"/>
                <w:kern w:val="0"/>
                <w:sz w:val="21"/>
                <w:szCs w:val="21"/>
                <w:highlight w:val="none"/>
                <w:lang w:val="zh-CN" w:eastAsia="zh-CN" w:bidi="ar-SA"/>
              </w:rPr>
              <w:t>（二）加强有限人为活动管理。上述生态保护红线管控范围内有限人为活动，涉及新增建设用地、用海用岛审批的，在报批农用地转用、土地征收、海域使用权、无居民海岛开发利用时，附省级人民政府出具符合生态保护红线内允许有限人为活动的认定意见；不涉及新增建设用地、用海用岛审批的，按有关规定进行管理，无明确规定的由省级人民政府制定具体监管办法。上述活动涉及自然保护地的，应征求林业和草原主管部门或自然保护地管理机构意见。</w:t>
            </w:r>
          </w:p>
        </w:tc>
        <w:tc>
          <w:tcPr>
            <w:tcW w:w="1952" w:type="pct"/>
            <w:shd w:val="clear" w:color="auto" w:fill="FFFFFF"/>
            <w:vAlign w:val="center"/>
          </w:tcPr>
          <w:p w14:paraId="31548E0E">
            <w:pPr>
              <w:pStyle w:val="28"/>
              <w:tabs>
                <w:tab w:val="left" w:pos="840"/>
              </w:tabs>
              <w:jc w:val="both"/>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cs="Times New Roman"/>
                <w:bCs/>
                <w:color w:val="auto"/>
                <w:kern w:val="0"/>
                <w:sz w:val="21"/>
                <w:szCs w:val="21"/>
                <w:highlight w:val="none"/>
                <w:lang w:val="en-US" w:eastAsia="zh-CN" w:bidi="ar-SA"/>
              </w:rPr>
              <w:t>本规划实施过程中，对于</w:t>
            </w:r>
            <w:r>
              <w:rPr>
                <w:rFonts w:hint="default" w:ascii="Times New Roman" w:hAnsi="Times New Roman" w:eastAsia="宋体" w:cs="Times New Roman"/>
                <w:bCs/>
                <w:color w:val="auto"/>
                <w:kern w:val="0"/>
                <w:sz w:val="21"/>
                <w:szCs w:val="21"/>
                <w:highlight w:val="none"/>
                <w:lang w:val="zh-CN" w:eastAsia="zh-CN" w:bidi="ar-SA"/>
              </w:rPr>
              <w:t>涉及新增建设用地</w:t>
            </w:r>
            <w:r>
              <w:rPr>
                <w:rFonts w:hint="eastAsia" w:ascii="Times New Roman" w:hAnsi="Times New Roman" w:cs="Times New Roman"/>
                <w:bCs/>
                <w:color w:val="auto"/>
                <w:kern w:val="0"/>
                <w:sz w:val="21"/>
                <w:szCs w:val="21"/>
                <w:highlight w:val="none"/>
                <w:lang w:val="en-US" w:eastAsia="zh-CN" w:bidi="ar-SA"/>
              </w:rPr>
              <w:t>审批的项目，需</w:t>
            </w:r>
            <w:r>
              <w:rPr>
                <w:rFonts w:hint="default" w:ascii="Times New Roman" w:hAnsi="Times New Roman" w:eastAsia="宋体" w:cs="Times New Roman"/>
                <w:bCs/>
                <w:color w:val="auto"/>
                <w:kern w:val="0"/>
                <w:sz w:val="21"/>
                <w:szCs w:val="21"/>
                <w:highlight w:val="none"/>
                <w:lang w:val="zh-CN" w:eastAsia="zh-CN" w:bidi="ar-SA"/>
              </w:rPr>
              <w:t>附省级人民政府出具符合生态保护红线内允许有限人为活动的认定意见</w:t>
            </w:r>
            <w:r>
              <w:rPr>
                <w:rFonts w:hint="eastAsia" w:ascii="Times New Roman" w:hAnsi="Times New Roman" w:cs="Times New Roman"/>
                <w:bCs/>
                <w:color w:val="auto"/>
                <w:kern w:val="0"/>
                <w:sz w:val="21"/>
                <w:szCs w:val="21"/>
                <w:highlight w:val="none"/>
                <w:lang w:val="zh-CN" w:eastAsia="zh-CN" w:bidi="ar-SA"/>
              </w:rPr>
              <w:t>；</w:t>
            </w:r>
            <w:r>
              <w:rPr>
                <w:rFonts w:hint="eastAsia" w:ascii="Times New Roman" w:hAnsi="Times New Roman" w:cs="Times New Roman"/>
                <w:bCs/>
                <w:color w:val="auto"/>
                <w:kern w:val="0"/>
                <w:sz w:val="21"/>
                <w:szCs w:val="21"/>
                <w:highlight w:val="none"/>
                <w:lang w:val="en-US" w:eastAsia="zh-CN" w:bidi="ar-SA"/>
              </w:rPr>
              <w:t>对于</w:t>
            </w:r>
            <w:r>
              <w:rPr>
                <w:rFonts w:hint="default" w:ascii="Times New Roman" w:hAnsi="Times New Roman" w:eastAsia="宋体" w:cs="Times New Roman"/>
                <w:bCs/>
                <w:color w:val="auto"/>
                <w:kern w:val="0"/>
                <w:sz w:val="21"/>
                <w:szCs w:val="21"/>
                <w:highlight w:val="none"/>
                <w:lang w:val="zh-CN" w:eastAsia="zh-CN" w:bidi="ar-SA"/>
              </w:rPr>
              <w:t>涉及</w:t>
            </w:r>
            <w:r>
              <w:rPr>
                <w:rFonts w:hint="default" w:ascii="Times New Roman" w:hAnsi="Times New Roman" w:cs="Times New Roman"/>
                <w:bCs/>
                <w:color w:val="auto"/>
                <w:kern w:val="0"/>
                <w:sz w:val="21"/>
                <w:szCs w:val="21"/>
                <w:highlight w:val="none"/>
                <w:lang w:val="en-US" w:eastAsia="zh-CN" w:bidi="ar-SA"/>
              </w:rPr>
              <w:t>雅鲁藏布大峡谷国家级自然保护区</w:t>
            </w:r>
            <w:r>
              <w:rPr>
                <w:rFonts w:hint="eastAsia" w:ascii="Times New Roman" w:hAnsi="Times New Roman" w:cs="Times New Roman"/>
                <w:bCs/>
                <w:color w:val="auto"/>
                <w:kern w:val="0"/>
                <w:sz w:val="21"/>
                <w:szCs w:val="21"/>
                <w:highlight w:val="none"/>
                <w:lang w:val="en-US" w:eastAsia="zh-CN" w:bidi="ar-SA"/>
              </w:rPr>
              <w:t>、</w:t>
            </w:r>
            <w:r>
              <w:rPr>
                <w:rFonts w:hint="default" w:ascii="Times New Roman" w:hAnsi="Times New Roman" w:cs="Times New Roman"/>
                <w:bCs/>
                <w:color w:val="auto"/>
                <w:kern w:val="0"/>
                <w:sz w:val="21"/>
                <w:szCs w:val="21"/>
                <w:highlight w:val="none"/>
                <w:lang w:val="en-US" w:eastAsia="zh-CN" w:bidi="ar-SA"/>
              </w:rPr>
              <w:t>西藏嘎朗国家湿地公园</w:t>
            </w:r>
            <w:r>
              <w:rPr>
                <w:rFonts w:hint="default" w:ascii="Times New Roman" w:hAnsi="Times New Roman" w:eastAsia="宋体" w:cs="Times New Roman"/>
                <w:bCs/>
                <w:color w:val="auto"/>
                <w:kern w:val="0"/>
                <w:sz w:val="21"/>
                <w:szCs w:val="21"/>
                <w:highlight w:val="none"/>
                <w:lang w:val="zh-CN" w:eastAsia="zh-CN" w:bidi="ar-SA"/>
              </w:rPr>
              <w:t>的</w:t>
            </w:r>
            <w:r>
              <w:rPr>
                <w:rFonts w:hint="eastAsia" w:ascii="Times New Roman" w:hAnsi="Times New Roman" w:cs="Times New Roman"/>
                <w:bCs/>
                <w:color w:val="auto"/>
                <w:kern w:val="0"/>
                <w:sz w:val="21"/>
                <w:szCs w:val="21"/>
                <w:highlight w:val="none"/>
                <w:lang w:val="en-US" w:eastAsia="zh-CN" w:bidi="ar-SA"/>
              </w:rPr>
              <w:t>建设内容</w:t>
            </w:r>
            <w:r>
              <w:rPr>
                <w:rFonts w:hint="default" w:ascii="Times New Roman" w:hAnsi="Times New Roman" w:eastAsia="宋体" w:cs="Times New Roman"/>
                <w:bCs/>
                <w:color w:val="auto"/>
                <w:kern w:val="0"/>
                <w:sz w:val="21"/>
                <w:szCs w:val="21"/>
                <w:highlight w:val="none"/>
                <w:lang w:val="zh-CN" w:eastAsia="zh-CN" w:bidi="ar-SA"/>
              </w:rPr>
              <w:t>，应</w:t>
            </w:r>
            <w:r>
              <w:rPr>
                <w:rFonts w:hint="eastAsia" w:ascii="Times New Roman" w:hAnsi="Times New Roman" w:cs="Times New Roman"/>
                <w:bCs/>
                <w:color w:val="auto"/>
                <w:kern w:val="0"/>
                <w:sz w:val="21"/>
                <w:szCs w:val="21"/>
                <w:highlight w:val="none"/>
                <w:lang w:val="en-US" w:eastAsia="zh-CN" w:bidi="ar-SA"/>
              </w:rPr>
              <w:t>取得</w:t>
            </w:r>
            <w:r>
              <w:rPr>
                <w:rFonts w:hint="default" w:ascii="Times New Roman" w:hAnsi="Times New Roman" w:eastAsia="宋体" w:cs="Times New Roman"/>
                <w:bCs/>
                <w:color w:val="auto"/>
                <w:kern w:val="0"/>
                <w:sz w:val="21"/>
                <w:szCs w:val="21"/>
                <w:highlight w:val="none"/>
                <w:lang w:val="zh-CN" w:eastAsia="zh-CN" w:bidi="ar-SA"/>
              </w:rPr>
              <w:t>林业和草原主管部门或自然保护地管理机构意见。</w:t>
            </w:r>
          </w:p>
        </w:tc>
        <w:tc>
          <w:tcPr>
            <w:tcW w:w="425" w:type="pct"/>
            <w:shd w:val="clear" w:color="auto" w:fill="FFFFFF"/>
            <w:vAlign w:val="center"/>
          </w:tcPr>
          <w:p w14:paraId="7CE57BE2">
            <w:pPr>
              <w:pStyle w:val="28"/>
              <w:tabs>
                <w:tab w:val="left" w:pos="840"/>
              </w:tabs>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 w:val="21"/>
                <w:szCs w:val="21"/>
                <w:highlight w:val="none"/>
                <w:lang w:val="en-US" w:eastAsia="zh-CN" w:bidi="ar-SA"/>
              </w:rPr>
              <w:t>符合</w:t>
            </w:r>
          </w:p>
        </w:tc>
      </w:tr>
    </w:tbl>
    <w:p w14:paraId="4A86EC48">
      <w:pPr>
        <w:adjustRightInd w:val="0"/>
        <w:spacing w:line="360" w:lineRule="auto"/>
        <w:ind w:firstLine="480" w:firstLineChars="200"/>
        <w:contextualSpacing/>
        <w:rPr>
          <w:rFonts w:hint="eastAsia"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color w:val="auto"/>
          <w:sz w:val="24"/>
          <w:highlight w:val="none"/>
          <w:lang w:val="en-US" w:eastAsia="zh-CN"/>
        </w:rPr>
        <w:t>采取上述措施后，本规划的实施与</w:t>
      </w:r>
      <w:r>
        <w:rPr>
          <w:rFonts w:hint="default" w:ascii="Times New Roman" w:hAnsi="Times New Roman" w:cs="Times New Roman" w:eastAsiaTheme="minorEastAsia"/>
          <w:color w:val="auto"/>
          <w:sz w:val="24"/>
          <w:highlight w:val="none"/>
          <w:lang w:eastAsia="zh-CN"/>
        </w:rPr>
        <w:t>《关于加强生态保护红线管理的通知（试行）》（自然资发〔2022〕142号）</w:t>
      </w:r>
      <w:r>
        <w:rPr>
          <w:rFonts w:hint="eastAsia" w:ascii="Times New Roman" w:hAnsi="Times New Roman" w:cs="Times New Roman" w:eastAsiaTheme="minorEastAsia"/>
          <w:color w:val="auto"/>
          <w:sz w:val="24"/>
          <w:highlight w:val="none"/>
          <w:lang w:val="en-US" w:eastAsia="zh-CN"/>
        </w:rPr>
        <w:t>相符。</w:t>
      </w:r>
    </w:p>
    <w:p w14:paraId="783C34C2">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与相关规划符合性分析</w:t>
      </w:r>
    </w:p>
    <w:p w14:paraId="38C0EE70">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与《全国生态旅游发展规划（2016-2025年）》</w:t>
      </w:r>
      <w:r>
        <w:rPr>
          <w:rFonts w:hint="default" w:ascii="Times New Roman" w:hAnsi="Times New Roman" w:cs="Times New Roman"/>
          <w:bCs w:val="0"/>
          <w:color w:val="auto"/>
          <w:szCs w:val="20"/>
          <w:highlight w:val="none"/>
        </w:rPr>
        <w:t>符合性分析</w:t>
      </w:r>
    </w:p>
    <w:p w14:paraId="5C88112F">
      <w:pPr>
        <w:adjustRightInd w:val="0"/>
        <w:spacing w:line="360" w:lineRule="auto"/>
        <w:ind w:firstLine="480" w:firstLineChars="200"/>
        <w:contextualSpacing/>
        <w:rPr>
          <w:rFonts w:hint="default" w:ascii="Times New Roman" w:hAnsi="Times New Roman" w:cs="Times New Roman" w:eastAsiaTheme="minorEastAsia"/>
          <w:color w:val="auto"/>
          <w:sz w:val="24"/>
          <w:highlight w:val="none"/>
        </w:rPr>
      </w:pPr>
      <w:r>
        <w:rPr>
          <w:rStyle w:val="103"/>
          <w:rFonts w:hint="default" w:ascii="Times New Roman" w:hAnsi="Times New Roman" w:cs="Times New Roman"/>
          <w:color w:val="auto"/>
          <w:highlight w:val="none"/>
        </w:rPr>
        <w:t>本规划</w:t>
      </w:r>
      <w:r>
        <w:rPr>
          <w:rFonts w:hint="default" w:ascii="Times New Roman" w:hAnsi="Times New Roman" w:cs="Times New Roman" w:eastAsiaTheme="minorEastAsia"/>
          <w:color w:val="auto"/>
          <w:sz w:val="24"/>
          <w:highlight w:val="none"/>
        </w:rPr>
        <w:t>位于西藏</w:t>
      </w:r>
      <w:r>
        <w:rPr>
          <w:rFonts w:hint="default" w:ascii="Times New Roman" w:hAnsi="Times New Roman" w:cs="Times New Roman" w:eastAsiaTheme="minorEastAsia"/>
          <w:color w:val="auto"/>
          <w:sz w:val="24"/>
          <w:highlight w:val="none"/>
          <w:lang w:eastAsia="zh-CN"/>
        </w:rPr>
        <w:t>林芝市波密县扎木镇、古乡</w:t>
      </w:r>
      <w:r>
        <w:rPr>
          <w:rFonts w:hint="default" w:ascii="Times New Roman" w:hAnsi="Times New Roman" w:cs="Times New Roman" w:eastAsiaTheme="minorEastAsia"/>
          <w:color w:val="auto"/>
          <w:sz w:val="24"/>
          <w:highlight w:val="none"/>
        </w:rPr>
        <w:t>，</w:t>
      </w:r>
      <w:r>
        <w:rPr>
          <w:rStyle w:val="103"/>
          <w:rFonts w:hint="default" w:ascii="Times New Roman" w:hAnsi="Times New Roman" w:cs="Times New Roman"/>
          <w:color w:val="auto"/>
          <w:highlight w:val="none"/>
        </w:rPr>
        <w:t>根据《全国生态旅游发展规划（2016-2025年）》，</w:t>
      </w:r>
      <w:r>
        <w:rPr>
          <w:rStyle w:val="103"/>
          <w:rFonts w:hint="default" w:ascii="Times New Roman" w:hAnsi="Times New Roman" w:eastAsia="楷体" w:cs="Times New Roman"/>
          <w:b/>
          <w:bCs/>
          <w:color w:val="auto"/>
          <w:highlight w:val="none"/>
        </w:rPr>
        <w:t>规划区域</w:t>
      </w:r>
      <w:r>
        <w:rPr>
          <w:rFonts w:hint="default" w:ascii="Times New Roman" w:hAnsi="Times New Roman" w:eastAsia="楷体" w:cs="Times New Roman"/>
          <w:b/>
          <w:bCs/>
          <w:color w:val="auto"/>
          <w:sz w:val="24"/>
          <w:highlight w:val="none"/>
        </w:rPr>
        <w:t>属青藏高原生态旅游片区，青甘川三江源区生态旅游协作区。</w:t>
      </w:r>
    </w:p>
    <w:p w14:paraId="6B081163">
      <w:pPr>
        <w:adjustRightInd w:val="0"/>
        <w:spacing w:line="360" w:lineRule="auto"/>
        <w:ind w:firstLine="482" w:firstLineChars="200"/>
        <w:contextualSpacing/>
        <w:rPr>
          <w:rStyle w:val="103"/>
          <w:rFonts w:hint="default" w:ascii="Times New Roman" w:hAnsi="Times New Roman" w:cs="Times New Roman"/>
          <w:color w:val="auto"/>
          <w:highlight w:val="none"/>
        </w:rPr>
      </w:pPr>
      <w:r>
        <w:rPr>
          <w:rStyle w:val="103"/>
          <w:rFonts w:hint="default" w:ascii="Times New Roman" w:hAnsi="Times New Roman" w:cs="Times New Roman"/>
          <w:b/>
          <w:color w:val="auto"/>
          <w:highlight w:val="none"/>
        </w:rPr>
        <w:t>青藏高原生态旅游片区：</w:t>
      </w:r>
      <w:r>
        <w:rPr>
          <w:rStyle w:val="103"/>
          <w:rFonts w:hint="default" w:ascii="Times New Roman" w:hAnsi="Times New Roman" w:cs="Times New Roman"/>
          <w:color w:val="auto"/>
          <w:highlight w:val="none"/>
        </w:rPr>
        <w:t>重点发展方向是依托青藏高原高大山脉、江河源区、高寒草原大体量自然生态资源和神秘多姿的人文生态资源，打造具有高原生态观光与休闲、户外运动、文化生态体验、冰川科考、峡谷探险等特色的生态旅游片区。加强基础设施、旅游公共服务设施和生态环保设施建设，强化生态补偿。促进生态旅游业对特色农牧业及其加工业的融合带动作用。</w:t>
      </w:r>
    </w:p>
    <w:p w14:paraId="400D7A71">
      <w:pPr>
        <w:adjustRightInd w:val="0"/>
        <w:spacing w:line="360" w:lineRule="auto"/>
        <w:ind w:firstLine="480" w:firstLineChars="200"/>
        <w:contextualSpacing/>
        <w:rPr>
          <w:rStyle w:val="103"/>
          <w:rFonts w:hint="default" w:ascii="Times New Roman" w:hAnsi="Times New Roman" w:cs="Times New Roman"/>
          <w:color w:val="auto"/>
          <w:highlight w:val="none"/>
        </w:rPr>
      </w:pPr>
      <w:r>
        <w:rPr>
          <w:rFonts w:hint="default" w:ascii="Times New Roman" w:hAnsi="Times New Roman" w:cs="Times New Roman"/>
          <w:color w:val="auto"/>
          <w:sz w:val="24"/>
          <w:highlight w:val="none"/>
        </w:rPr>
        <w:t>规划</w:t>
      </w:r>
      <w:r>
        <w:rPr>
          <w:rFonts w:hint="default" w:ascii="Times New Roman" w:hAnsi="Times New Roman" w:cs="Times New Roman"/>
          <w:bCs/>
          <w:color w:val="auto"/>
          <w:kern w:val="0"/>
          <w:sz w:val="24"/>
          <w:highlight w:val="none"/>
          <w:lang w:eastAsia="zh-CN"/>
        </w:rPr>
        <w:t>以“生态保护为核、高铁机遇为引、森林康养为本、两村联动为基”，立足“中国十大最美森林”生态本底，打造集生态观光、森林康养、户外运动、自然研学、民俗休闲于一体的综合性旅游景区，</w:t>
      </w:r>
      <w:r>
        <w:rPr>
          <w:rFonts w:hint="default" w:ascii="Times New Roman" w:hAnsi="Times New Roman" w:cs="Times New Roman"/>
          <w:bCs/>
          <w:color w:val="auto"/>
          <w:kern w:val="0"/>
          <w:sz w:val="24"/>
          <w:highlight w:val="none"/>
          <w:lang w:val="en-US" w:eastAsia="zh-CN"/>
        </w:rPr>
        <w:t>属于</w:t>
      </w:r>
      <w:r>
        <w:rPr>
          <w:rStyle w:val="103"/>
          <w:rFonts w:hint="default" w:ascii="Times New Roman" w:hAnsi="Times New Roman" w:cs="Times New Roman"/>
          <w:color w:val="auto"/>
          <w:highlight w:val="none"/>
        </w:rPr>
        <w:t>打造具有高原生态观光与休闲、户外运动、文化生态体验、冰川科考、峡谷探险等特色的生态旅游片区。符合《全国生态旅游发展规划（2016-2025年）》总体布局和重点任务要求。</w:t>
      </w:r>
    </w:p>
    <w:p w14:paraId="4BC1477F">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与《西藏自治区主体功能区规划》</w:t>
      </w:r>
      <w:r>
        <w:rPr>
          <w:rFonts w:hint="default" w:ascii="Times New Roman" w:hAnsi="Times New Roman" w:cs="Times New Roman"/>
          <w:bCs w:val="0"/>
          <w:color w:val="auto"/>
          <w:szCs w:val="20"/>
          <w:highlight w:val="none"/>
        </w:rPr>
        <w:t>符合性分析</w:t>
      </w:r>
    </w:p>
    <w:p w14:paraId="50E0A748">
      <w:pPr>
        <w:adjustRightInd w:val="0"/>
        <w:spacing w:line="360" w:lineRule="auto"/>
        <w:ind w:firstLine="480" w:firstLineChars="200"/>
        <w:contextualSpacing/>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根据西藏自治区人民政府关于印发《西藏自治区主体功能区规划》的通知（藏政发[2014]108号）：</w:t>
      </w:r>
    </w:p>
    <w:p w14:paraId="557E4E52">
      <w:pPr>
        <w:adjustRightInd w:val="0"/>
        <w:spacing w:line="360" w:lineRule="auto"/>
        <w:ind w:firstLine="480" w:firstLineChars="200"/>
        <w:contextualSpacing/>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规划区位于西藏</w:t>
      </w:r>
      <w:r>
        <w:rPr>
          <w:rStyle w:val="103"/>
          <w:rFonts w:hint="default" w:ascii="Times New Roman" w:hAnsi="Times New Roman" w:cs="Times New Roman"/>
          <w:color w:val="auto"/>
          <w:highlight w:val="none"/>
          <w:lang w:eastAsia="zh-CN"/>
        </w:rPr>
        <w:t>林芝市波密县扎木镇、古乡</w:t>
      </w:r>
      <w:r>
        <w:rPr>
          <w:rStyle w:val="103"/>
          <w:rFonts w:hint="default" w:ascii="Times New Roman" w:hAnsi="Times New Roman" w:cs="Times New Roman"/>
          <w:color w:val="auto"/>
          <w:highlight w:val="none"/>
        </w:rPr>
        <w:t>，属国家层面禁止开发区域——</w:t>
      </w:r>
      <w:r>
        <w:rPr>
          <w:rStyle w:val="103"/>
          <w:rFonts w:hint="default" w:ascii="Times New Roman" w:hAnsi="Times New Roman" w:cs="Times New Roman"/>
          <w:color w:val="auto"/>
          <w:highlight w:val="none"/>
          <w:lang w:eastAsia="zh-CN"/>
        </w:rPr>
        <w:t>雅鲁藏布大峡谷国家级自然保护区</w:t>
      </w:r>
      <w:r>
        <w:rPr>
          <w:rStyle w:val="103"/>
          <w:rFonts w:hint="default" w:ascii="Times New Roman" w:hAnsi="Times New Roman" w:cs="Times New Roman"/>
          <w:color w:val="auto"/>
          <w:highlight w:val="none"/>
          <w:lang w:val="en-US" w:eastAsia="zh-CN"/>
        </w:rPr>
        <w:t>和自治区</w:t>
      </w:r>
      <w:r>
        <w:rPr>
          <w:rStyle w:val="103"/>
          <w:rFonts w:hint="default" w:ascii="Times New Roman" w:hAnsi="Times New Roman" w:cs="Times New Roman"/>
          <w:color w:val="auto"/>
          <w:highlight w:val="none"/>
        </w:rPr>
        <w:t>层面禁止开发区域</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lang w:eastAsia="zh-CN"/>
        </w:rPr>
        <w:t>西藏嘎朗国家湿地公园</w:t>
      </w:r>
      <w:r>
        <w:rPr>
          <w:rStyle w:val="103"/>
          <w:rFonts w:hint="default" w:ascii="Times New Roman" w:hAnsi="Times New Roman" w:cs="Times New Roman"/>
          <w:color w:val="auto"/>
          <w:highlight w:val="none"/>
        </w:rPr>
        <w:t>。</w:t>
      </w:r>
    </w:p>
    <w:p w14:paraId="2935DF24">
      <w:pPr>
        <w:adjustRightInd w:val="0"/>
        <w:spacing w:line="360" w:lineRule="auto"/>
        <w:ind w:firstLine="480" w:firstLineChars="200"/>
        <w:contextualSpacing/>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国家层面禁止开发区域——</w:t>
      </w:r>
      <w:r>
        <w:rPr>
          <w:rStyle w:val="103"/>
          <w:rFonts w:hint="default" w:ascii="Times New Roman" w:hAnsi="Times New Roman" w:cs="Times New Roman"/>
          <w:color w:val="auto"/>
          <w:highlight w:val="none"/>
          <w:lang w:eastAsia="zh-CN"/>
        </w:rPr>
        <w:t>雅鲁藏布大峡谷国家级自然保护区：</w:t>
      </w:r>
      <w:r>
        <w:rPr>
          <w:rStyle w:val="103"/>
          <w:rFonts w:hint="default" w:ascii="Times New Roman" w:hAnsi="Times New Roman" w:cs="Times New Roman"/>
          <w:color w:val="auto"/>
          <w:highlight w:val="none"/>
        </w:rPr>
        <w:t>要依据自然保护区条例、本规划确定的原则和自然保护区规划进行管理。一是按核心区、缓冲区和实验区分类管理。核心区，严禁任何生产建设活动；缓冲区，除必要的科学实验活动外，严禁其他任何生产建设活动；实验区，除必要的科学实验以及符合自然保护区规划的旅游、种植业和畜牧业等活动外，严禁其他生产建设活动。二是按先核心区后缓冲区、实验区的顺序，逐步转移自然保护区的人口。绝大多数自然保护区核心区应逐步实现无人居住，缓冲区和实验区也应较大幅度减少人口。三是根据自然保护区的实际情况，实行异地转移或就地转移两种转移方式，一部分人口要转移到自然保护区以外，一部分人口就地转为自然保护区管护人员。四是在不影响保护区主体功能的前提下，对范围较大、目前核心区人口较多的区域，可以保持适量的人口规模和适度的农林牧业活动，同时通过生活补助等途径，确保人民生活水平稳步提高。五是交通、通信、电网等基础设施要慎重建设，能避则避，必须穿越的，要符合自然保护区规划，并进行保护区影响专题评价。新建公路、铁路和其他基础设施不得穿越自然保护区核心区，尽量避免穿越缓冲区。</w:t>
      </w:r>
    </w:p>
    <w:p w14:paraId="16D4227C">
      <w:pPr>
        <w:adjustRightInd w:val="0"/>
        <w:spacing w:line="360" w:lineRule="auto"/>
        <w:ind w:firstLine="480" w:firstLineChars="200"/>
        <w:contextualSpacing/>
        <w:rPr>
          <w:rStyle w:val="103"/>
          <w:rFonts w:hint="default" w:ascii="Times New Roman" w:hAnsi="Times New Roman" w:cs="Times New Roman"/>
          <w:color w:val="auto"/>
          <w:highlight w:val="none"/>
          <w:lang w:eastAsia="zh-CN"/>
        </w:rPr>
      </w:pPr>
      <w:r>
        <w:rPr>
          <w:rStyle w:val="103"/>
          <w:rFonts w:hint="default" w:ascii="Times New Roman" w:hAnsi="Times New Roman" w:cs="Times New Roman"/>
          <w:color w:val="auto"/>
          <w:highlight w:val="none"/>
          <w:lang w:val="en-US" w:eastAsia="zh-CN"/>
        </w:rPr>
        <w:t>自治区</w:t>
      </w:r>
      <w:r>
        <w:rPr>
          <w:rStyle w:val="103"/>
          <w:rFonts w:hint="default" w:ascii="Times New Roman" w:hAnsi="Times New Roman" w:cs="Times New Roman"/>
          <w:color w:val="auto"/>
          <w:highlight w:val="none"/>
        </w:rPr>
        <w:t>层面禁止开发区域</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lang w:eastAsia="zh-CN"/>
        </w:rPr>
        <w:t>西藏嘎朗国家湿地公园：在其范围内，除必要的保护和附属设施外，禁止其他任何生产建设活动。禁止开垦占用、随意改变湿地用途以及损害保护对象等破坏湿地的行为。不得随意占用、征用和转让湿地。</w:t>
      </w:r>
    </w:p>
    <w:p w14:paraId="20550818">
      <w:pPr>
        <w:adjustRightInd w:val="0"/>
        <w:spacing w:line="360" w:lineRule="auto"/>
        <w:ind w:firstLine="480" w:firstLineChars="200"/>
        <w:contextualSpacing/>
        <w:rPr>
          <w:rStyle w:val="103"/>
          <w:rFonts w:hint="default" w:ascii="Times New Roman" w:hAnsi="Times New Roman" w:eastAsia="宋体" w:cs="Times New Roman"/>
          <w:color w:val="auto"/>
          <w:highlight w:val="none"/>
          <w:lang w:val="en-US" w:eastAsia="zh-CN"/>
        </w:rPr>
      </w:pPr>
      <w:r>
        <w:rPr>
          <w:rStyle w:val="103"/>
          <w:rFonts w:hint="default" w:ascii="Times New Roman" w:hAnsi="Times New Roman" w:cs="Times New Roman"/>
          <w:color w:val="auto"/>
          <w:highlight w:val="none"/>
          <w:lang w:val="en-US" w:eastAsia="zh-CN"/>
        </w:rPr>
        <w:t>本规划为</w:t>
      </w:r>
      <w:r>
        <w:rPr>
          <w:rStyle w:val="103"/>
          <w:rFonts w:hint="default" w:ascii="Times New Roman" w:hAnsi="Times New Roman" w:cs="Times New Roman"/>
          <w:color w:val="auto"/>
          <w:highlight w:val="none"/>
        </w:rPr>
        <w:t>符合自然保护区规划的旅游</w:t>
      </w:r>
      <w:r>
        <w:rPr>
          <w:rStyle w:val="103"/>
          <w:rFonts w:hint="default" w:ascii="Times New Roman" w:hAnsi="Times New Roman" w:cs="Times New Roman"/>
          <w:color w:val="auto"/>
          <w:highlight w:val="none"/>
          <w:lang w:val="en-US" w:eastAsia="zh-CN"/>
        </w:rPr>
        <w:t>规划，规划区严格控制区域人口数量，规划区部分人口</w:t>
      </w:r>
      <w:r>
        <w:rPr>
          <w:rStyle w:val="103"/>
          <w:rFonts w:hint="default" w:ascii="Times New Roman" w:hAnsi="Times New Roman" w:cs="Times New Roman"/>
          <w:color w:val="auto"/>
          <w:highlight w:val="none"/>
        </w:rPr>
        <w:t>为自然保护区管护人员</w:t>
      </w:r>
      <w:r>
        <w:rPr>
          <w:rStyle w:val="103"/>
          <w:rFonts w:hint="default" w:ascii="Times New Roman" w:hAnsi="Times New Roman" w:cs="Times New Roman"/>
          <w:color w:val="auto"/>
          <w:highlight w:val="none"/>
          <w:lang w:eastAsia="zh-CN"/>
        </w:rPr>
        <w:t>，</w:t>
      </w:r>
      <w:r>
        <w:rPr>
          <w:rStyle w:val="103"/>
          <w:rFonts w:hint="default" w:ascii="Times New Roman" w:hAnsi="Times New Roman" w:cs="Times New Roman"/>
          <w:color w:val="auto"/>
          <w:highlight w:val="none"/>
          <w:lang w:val="en-US" w:eastAsia="zh-CN"/>
        </w:rPr>
        <w:t>本规划的实施旨在进行提升改造，</w:t>
      </w:r>
      <w:r>
        <w:rPr>
          <w:rStyle w:val="103"/>
          <w:rFonts w:hint="default" w:ascii="Times New Roman" w:hAnsi="Times New Roman" w:cs="Times New Roman"/>
          <w:color w:val="auto"/>
          <w:highlight w:val="none"/>
        </w:rPr>
        <w:t>不</w:t>
      </w:r>
      <w:r>
        <w:rPr>
          <w:rStyle w:val="103"/>
          <w:rFonts w:hint="default" w:ascii="Times New Roman" w:hAnsi="Times New Roman" w:cs="Times New Roman"/>
          <w:color w:val="auto"/>
          <w:highlight w:val="none"/>
          <w:lang w:val="en-US" w:eastAsia="zh-CN"/>
        </w:rPr>
        <w:t>会</w:t>
      </w:r>
      <w:r>
        <w:rPr>
          <w:rStyle w:val="103"/>
          <w:rFonts w:hint="default" w:ascii="Times New Roman" w:hAnsi="Times New Roman" w:cs="Times New Roman"/>
          <w:color w:val="auto"/>
          <w:highlight w:val="none"/>
        </w:rPr>
        <w:t>影响保护区主体功能</w:t>
      </w:r>
      <w:r>
        <w:rPr>
          <w:rStyle w:val="103"/>
          <w:rFonts w:hint="default" w:ascii="Times New Roman" w:hAnsi="Times New Roman" w:cs="Times New Roman"/>
          <w:color w:val="auto"/>
          <w:highlight w:val="none"/>
          <w:lang w:eastAsia="zh-CN"/>
        </w:rPr>
        <w:t>，</w:t>
      </w:r>
      <w:r>
        <w:rPr>
          <w:rStyle w:val="103"/>
          <w:rFonts w:hint="default" w:ascii="Times New Roman" w:hAnsi="Times New Roman" w:cs="Times New Roman"/>
          <w:color w:val="auto"/>
          <w:highlight w:val="none"/>
          <w:lang w:val="en-US" w:eastAsia="zh-CN"/>
        </w:rPr>
        <w:t>随着规划的实施，</w:t>
      </w:r>
      <w:r>
        <w:rPr>
          <w:rStyle w:val="103"/>
          <w:rFonts w:hint="default" w:ascii="Times New Roman" w:hAnsi="Times New Roman" w:cs="Times New Roman"/>
          <w:color w:val="auto"/>
          <w:highlight w:val="none"/>
        </w:rPr>
        <w:t>人民生活水平</w:t>
      </w:r>
      <w:r>
        <w:rPr>
          <w:rStyle w:val="103"/>
          <w:rFonts w:hint="default" w:ascii="Times New Roman" w:hAnsi="Times New Roman" w:cs="Times New Roman"/>
          <w:color w:val="auto"/>
          <w:highlight w:val="none"/>
          <w:lang w:val="en-US" w:eastAsia="zh-CN"/>
        </w:rPr>
        <w:t>能得到</w:t>
      </w:r>
      <w:r>
        <w:rPr>
          <w:rStyle w:val="103"/>
          <w:rFonts w:hint="default" w:ascii="Times New Roman" w:hAnsi="Times New Roman" w:cs="Times New Roman"/>
          <w:color w:val="auto"/>
          <w:highlight w:val="none"/>
        </w:rPr>
        <w:t>稳步提高。</w:t>
      </w:r>
      <w:r>
        <w:rPr>
          <w:rStyle w:val="103"/>
          <w:rFonts w:hint="default" w:ascii="Times New Roman" w:hAnsi="Times New Roman" w:cs="Times New Roman"/>
          <w:color w:val="auto"/>
          <w:highlight w:val="none"/>
          <w:lang w:val="en-US" w:eastAsia="zh-CN"/>
        </w:rPr>
        <w:t>规划区内实施的道路均为对既有道路进行提升改造；</w:t>
      </w:r>
      <w:r>
        <w:rPr>
          <w:rFonts w:hint="default" w:ascii="Times New Roman" w:hAnsi="Times New Roman" w:cs="Times New Roman"/>
          <w:bCs/>
          <w:color w:val="auto"/>
          <w:kern w:val="0"/>
          <w:sz w:val="24"/>
          <w:highlight w:val="none"/>
        </w:rPr>
        <w:t>结合村委会配套建设邮政代办点2处，不单独占地</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通信管线</w:t>
      </w:r>
      <w:r>
        <w:rPr>
          <w:rFonts w:hint="default" w:ascii="Times New Roman" w:hAnsi="Times New Roman" w:cs="Times New Roman"/>
          <w:bCs/>
          <w:color w:val="auto"/>
          <w:kern w:val="0"/>
          <w:sz w:val="24"/>
          <w:highlight w:val="none"/>
          <w:lang w:val="en-US" w:eastAsia="zh-CN"/>
        </w:rPr>
        <w:t>在现有基础上进行完善，主要沿现有道路埋地布设；电网</w:t>
      </w:r>
      <w:r>
        <w:rPr>
          <w:rFonts w:hint="default" w:ascii="Times New Roman" w:hAnsi="Times New Roman" w:cs="Times New Roman"/>
          <w:b w:val="0"/>
          <w:bCs/>
          <w:color w:val="auto"/>
          <w:kern w:val="0"/>
          <w:sz w:val="24"/>
          <w:highlight w:val="none"/>
          <w:lang w:val="en-US" w:eastAsia="zh-CN"/>
        </w:rPr>
        <w:t>入户电压为220V-380V，380V/220V电力线路除有条件的可入地敷设外，均采用架空方式，电力线路的布置应沿主要道路进行，应根据地形条件因地制宜地选择架空或地下明设方式。</w:t>
      </w:r>
    </w:p>
    <w:p w14:paraId="4EC81F47">
      <w:pPr>
        <w:adjustRightInd w:val="0"/>
        <w:spacing w:line="360" w:lineRule="auto"/>
        <w:ind w:firstLine="480" w:firstLineChars="200"/>
        <w:contextualSpacing/>
        <w:rPr>
          <w:rStyle w:val="103"/>
          <w:rFonts w:hint="default" w:ascii="Times New Roman" w:hAnsi="Times New Roman" w:cs="Times New Roman"/>
          <w:color w:val="auto"/>
          <w:highlight w:val="none"/>
          <w:lang w:val="en-US"/>
        </w:rPr>
      </w:pPr>
      <w:r>
        <w:rPr>
          <w:rStyle w:val="103"/>
          <w:rFonts w:hint="default" w:ascii="Times New Roman" w:hAnsi="Times New Roman" w:cs="Times New Roman"/>
          <w:color w:val="auto"/>
          <w:highlight w:val="none"/>
          <w:lang w:val="en-US" w:eastAsia="zh-CN"/>
        </w:rPr>
        <w:t>自治区</w:t>
      </w:r>
      <w:r>
        <w:rPr>
          <w:rStyle w:val="103"/>
          <w:rFonts w:hint="default" w:ascii="Times New Roman" w:hAnsi="Times New Roman" w:cs="Times New Roman"/>
          <w:color w:val="auto"/>
          <w:highlight w:val="none"/>
        </w:rPr>
        <w:t>层面禁止开发区域</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lang w:eastAsia="zh-CN"/>
        </w:rPr>
        <w:t>西藏嘎朗国家湿地公园：在其范围内，</w:t>
      </w:r>
      <w:r>
        <w:rPr>
          <w:rStyle w:val="103"/>
          <w:rFonts w:hint="default" w:ascii="Times New Roman" w:hAnsi="Times New Roman" w:cs="Times New Roman"/>
          <w:color w:val="auto"/>
          <w:highlight w:val="none"/>
          <w:lang w:val="en-US" w:eastAsia="zh-CN"/>
        </w:rPr>
        <w:t>处建设远期的游客中心（仿自然外观，兼具科普研学、环境教育）外，其余设施均为对现在进行提升改造，不涉及其他生产建设活动，规划不涉及</w:t>
      </w:r>
      <w:r>
        <w:rPr>
          <w:rStyle w:val="103"/>
          <w:rFonts w:hint="default" w:ascii="Times New Roman" w:hAnsi="Times New Roman" w:cs="Times New Roman"/>
          <w:color w:val="auto"/>
          <w:highlight w:val="none"/>
          <w:lang w:eastAsia="zh-CN"/>
        </w:rPr>
        <w:t>开垦占用、随意改变湿地用途以及损害保护对象等破坏湿地的行为，</w:t>
      </w:r>
      <w:r>
        <w:rPr>
          <w:rStyle w:val="103"/>
          <w:rFonts w:hint="default" w:ascii="Times New Roman" w:hAnsi="Times New Roman" w:cs="Times New Roman"/>
          <w:color w:val="auto"/>
          <w:highlight w:val="none"/>
          <w:lang w:val="en-US" w:eastAsia="zh-CN"/>
        </w:rPr>
        <w:t>不涉及</w:t>
      </w:r>
      <w:r>
        <w:rPr>
          <w:rStyle w:val="103"/>
          <w:rFonts w:hint="default" w:ascii="Times New Roman" w:hAnsi="Times New Roman" w:cs="Times New Roman"/>
          <w:color w:val="auto"/>
          <w:highlight w:val="none"/>
          <w:lang w:eastAsia="zh-CN"/>
        </w:rPr>
        <w:t>随意占用、征用和转让湿地。</w:t>
      </w:r>
    </w:p>
    <w:p w14:paraId="4184869D">
      <w:pPr>
        <w:adjustRightInd w:val="0"/>
        <w:spacing w:line="360" w:lineRule="auto"/>
        <w:ind w:firstLine="480" w:firstLineChars="200"/>
        <w:contextualSpacing/>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本</w:t>
      </w:r>
      <w:r>
        <w:rPr>
          <w:rStyle w:val="103"/>
          <w:rFonts w:hint="default" w:ascii="Times New Roman" w:hAnsi="Times New Roman" w:cs="Times New Roman"/>
          <w:color w:val="auto"/>
          <w:highlight w:val="none"/>
          <w:lang w:val="en-US" w:eastAsia="zh-CN"/>
        </w:rPr>
        <w:t>规划</w:t>
      </w:r>
      <w:r>
        <w:rPr>
          <w:rStyle w:val="103"/>
          <w:rFonts w:hint="default" w:ascii="Times New Roman" w:hAnsi="Times New Roman" w:cs="Times New Roman"/>
          <w:color w:val="auto"/>
          <w:highlight w:val="none"/>
        </w:rPr>
        <w:t>符合</w:t>
      </w:r>
      <w:r>
        <w:rPr>
          <w:rFonts w:hint="default" w:ascii="Times New Roman" w:hAnsi="Times New Roman" w:cs="Times New Roman"/>
          <w:bCs/>
          <w:color w:val="auto"/>
          <w:sz w:val="24"/>
          <w:szCs w:val="20"/>
          <w:highlight w:val="none"/>
        </w:rPr>
        <w:t>《</w:t>
      </w:r>
      <w:r>
        <w:rPr>
          <w:rFonts w:hint="default" w:ascii="Times New Roman" w:hAnsi="Times New Roman" w:cs="Times New Roman"/>
          <w:bCs/>
          <w:color w:val="auto"/>
          <w:sz w:val="24"/>
          <w:szCs w:val="20"/>
          <w:highlight w:val="none"/>
          <w:lang w:eastAsia="zh-CN"/>
        </w:rPr>
        <w:t>雅鲁藏布大峡谷国家级自然保护区</w:t>
      </w:r>
      <w:r>
        <w:rPr>
          <w:rFonts w:hint="default" w:ascii="Times New Roman" w:hAnsi="Times New Roman" w:cs="Times New Roman"/>
          <w:bCs/>
          <w:color w:val="auto"/>
          <w:sz w:val="24"/>
          <w:szCs w:val="20"/>
          <w:highlight w:val="none"/>
        </w:rPr>
        <w:t>总体规划（</w:t>
      </w:r>
      <w:r>
        <w:rPr>
          <w:rFonts w:hint="default" w:ascii="Times New Roman" w:hAnsi="Times New Roman" w:cs="Times New Roman"/>
          <w:bCs/>
          <w:color w:val="auto"/>
          <w:sz w:val="24"/>
          <w:szCs w:val="20"/>
          <w:highlight w:val="none"/>
          <w:lang w:val="en-US" w:eastAsia="zh-CN"/>
        </w:rPr>
        <w:t>2000</w:t>
      </w:r>
      <w:r>
        <w:rPr>
          <w:rFonts w:hint="default" w:ascii="Times New Roman" w:hAnsi="Times New Roman" w:cs="Times New Roman"/>
          <w:bCs/>
          <w:color w:val="auto"/>
          <w:sz w:val="24"/>
          <w:szCs w:val="20"/>
          <w:highlight w:val="none"/>
        </w:rPr>
        <w:t>-20</w:t>
      </w:r>
      <w:r>
        <w:rPr>
          <w:rFonts w:hint="default" w:ascii="Times New Roman" w:hAnsi="Times New Roman" w:cs="Times New Roman"/>
          <w:bCs/>
          <w:color w:val="auto"/>
          <w:sz w:val="24"/>
          <w:szCs w:val="20"/>
          <w:highlight w:val="none"/>
          <w:lang w:val="en-US" w:eastAsia="zh-CN"/>
        </w:rPr>
        <w:t>1</w:t>
      </w:r>
      <w:r>
        <w:rPr>
          <w:rFonts w:hint="default" w:ascii="Times New Roman" w:hAnsi="Times New Roman" w:cs="Times New Roman"/>
          <w:bCs/>
          <w:color w:val="auto"/>
          <w:sz w:val="24"/>
          <w:szCs w:val="20"/>
          <w:highlight w:val="none"/>
        </w:rPr>
        <w:t>0）</w:t>
      </w:r>
      <w:r>
        <w:rPr>
          <w:rFonts w:hint="default" w:ascii="Times New Roman" w:hAnsi="Times New Roman" w:cs="Times New Roman"/>
          <w:bCs/>
          <w:color w:val="auto"/>
          <w:sz w:val="24"/>
          <w:szCs w:val="20"/>
          <w:highlight w:val="none"/>
          <w:lang w:eastAsia="zh-CN"/>
        </w:rPr>
        <w:t>》</w:t>
      </w:r>
      <w:r>
        <w:rPr>
          <w:rFonts w:hint="default" w:ascii="Times New Roman" w:hAnsi="Times New Roman" w:cs="Times New Roman"/>
          <w:bCs/>
          <w:color w:val="auto"/>
          <w:sz w:val="24"/>
          <w:szCs w:val="20"/>
          <w:highlight w:val="none"/>
        </w:rPr>
        <w:t>《</w:t>
      </w:r>
      <w:r>
        <w:rPr>
          <w:rFonts w:hint="default" w:ascii="Times New Roman" w:hAnsi="Times New Roman" w:cs="Times New Roman"/>
          <w:bCs/>
          <w:color w:val="auto"/>
          <w:sz w:val="24"/>
          <w:szCs w:val="20"/>
          <w:highlight w:val="none"/>
          <w:lang w:eastAsia="zh-CN"/>
        </w:rPr>
        <w:t>西藏嘎朗国家湿地公园</w:t>
      </w:r>
      <w:r>
        <w:rPr>
          <w:rFonts w:hint="default" w:ascii="Times New Roman" w:hAnsi="Times New Roman" w:cs="Times New Roman"/>
          <w:bCs/>
          <w:color w:val="auto"/>
          <w:sz w:val="24"/>
          <w:szCs w:val="20"/>
          <w:highlight w:val="none"/>
        </w:rPr>
        <w:t>总体规划（</w:t>
      </w:r>
      <w:r>
        <w:rPr>
          <w:rFonts w:hint="default" w:ascii="Times New Roman" w:hAnsi="Times New Roman" w:cs="Times New Roman"/>
          <w:bCs/>
          <w:color w:val="auto"/>
          <w:sz w:val="24"/>
          <w:szCs w:val="20"/>
          <w:highlight w:val="none"/>
          <w:lang w:val="en-US" w:eastAsia="zh-CN"/>
        </w:rPr>
        <w:t>2009</w:t>
      </w:r>
      <w:r>
        <w:rPr>
          <w:rFonts w:hint="default" w:ascii="Times New Roman" w:hAnsi="Times New Roman" w:cs="Times New Roman"/>
          <w:bCs/>
          <w:color w:val="auto"/>
          <w:sz w:val="24"/>
          <w:szCs w:val="20"/>
          <w:highlight w:val="none"/>
        </w:rPr>
        <w:t>-20</w:t>
      </w:r>
      <w:r>
        <w:rPr>
          <w:rFonts w:hint="default" w:ascii="Times New Roman" w:hAnsi="Times New Roman" w:cs="Times New Roman"/>
          <w:bCs/>
          <w:color w:val="auto"/>
          <w:sz w:val="24"/>
          <w:szCs w:val="20"/>
          <w:highlight w:val="none"/>
          <w:lang w:val="en-US" w:eastAsia="zh-CN"/>
        </w:rPr>
        <w:t>20</w:t>
      </w:r>
      <w:r>
        <w:rPr>
          <w:rFonts w:hint="default" w:ascii="Times New Roman" w:hAnsi="Times New Roman" w:cs="Times New Roman"/>
          <w:bCs/>
          <w:color w:val="auto"/>
          <w:sz w:val="24"/>
          <w:szCs w:val="20"/>
          <w:highlight w:val="none"/>
        </w:rPr>
        <w:t>）</w:t>
      </w:r>
      <w:r>
        <w:rPr>
          <w:rFonts w:hint="default" w:ascii="Times New Roman" w:hAnsi="Times New Roman" w:cs="Times New Roman"/>
          <w:bCs/>
          <w:color w:val="auto"/>
          <w:sz w:val="24"/>
          <w:szCs w:val="20"/>
          <w:highlight w:val="none"/>
          <w:lang w:eastAsia="zh-CN"/>
        </w:rPr>
        <w:t>》</w:t>
      </w:r>
      <w:r>
        <w:rPr>
          <w:rFonts w:hint="default" w:ascii="Times New Roman" w:hAnsi="Times New Roman" w:cs="Times New Roman"/>
          <w:bCs/>
          <w:color w:val="auto"/>
          <w:sz w:val="24"/>
          <w:szCs w:val="20"/>
          <w:highlight w:val="none"/>
        </w:rPr>
        <w:t>对</w:t>
      </w:r>
      <w:r>
        <w:rPr>
          <w:rFonts w:hint="default" w:ascii="Times New Roman" w:hAnsi="Times New Roman" w:cs="Times New Roman"/>
          <w:bCs/>
          <w:color w:val="auto"/>
          <w:sz w:val="24"/>
          <w:szCs w:val="20"/>
          <w:highlight w:val="none"/>
          <w:lang w:eastAsia="zh-CN"/>
        </w:rPr>
        <w:t>雅鲁藏布大峡谷国家级自然保护区、西藏嘎朗国家湿地公园</w:t>
      </w:r>
      <w:r>
        <w:rPr>
          <w:rFonts w:hint="default" w:ascii="Times New Roman" w:hAnsi="Times New Roman" w:cs="Times New Roman"/>
          <w:bCs/>
          <w:color w:val="auto"/>
          <w:sz w:val="24"/>
          <w:szCs w:val="20"/>
          <w:highlight w:val="none"/>
        </w:rPr>
        <w:t>的保护要求，符合《中华人民共和国自然保护区条例》《国家湿地公园管理办法》相关要求</w:t>
      </w:r>
      <w:r>
        <w:rPr>
          <w:rFonts w:hint="default" w:ascii="Times New Roman" w:hAnsi="Times New Roman" w:cs="Times New Roman"/>
          <w:color w:val="auto"/>
          <w:sz w:val="24"/>
          <w:szCs w:val="20"/>
          <w:highlight w:val="none"/>
        </w:rPr>
        <w:t>。因此</w:t>
      </w:r>
      <w:r>
        <w:rPr>
          <w:rStyle w:val="103"/>
          <w:rFonts w:hint="default" w:ascii="Times New Roman" w:hAnsi="Times New Roman" w:cs="Times New Roman"/>
          <w:color w:val="auto"/>
          <w:highlight w:val="none"/>
        </w:rPr>
        <w:t>符合《西藏自治区主体功能区规划》相关要求。</w:t>
      </w:r>
    </w:p>
    <w:p w14:paraId="22079D60">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与《西藏自治区生态功能区划》</w:t>
      </w:r>
      <w:r>
        <w:rPr>
          <w:rFonts w:hint="default" w:ascii="Times New Roman" w:hAnsi="Times New Roman" w:cs="Times New Roman"/>
          <w:bCs w:val="0"/>
          <w:color w:val="auto"/>
          <w:szCs w:val="20"/>
          <w:highlight w:val="none"/>
        </w:rPr>
        <w:t>符合性分析</w:t>
      </w:r>
    </w:p>
    <w:p w14:paraId="192D1F5A">
      <w:pPr>
        <w:adjustRightInd w:val="0"/>
        <w:spacing w:line="360" w:lineRule="auto"/>
        <w:ind w:firstLine="480" w:firstLineChars="200"/>
        <w:contextualSpacing/>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根据《西藏自治区生态功能区划》，规划区所在地属</w:t>
      </w:r>
      <w:r>
        <w:rPr>
          <w:rStyle w:val="103"/>
          <w:rFonts w:hint="default" w:ascii="Times New Roman" w:hAnsi="Times New Roman" w:cs="Times New Roman"/>
          <w:color w:val="auto"/>
          <w:highlight w:val="none"/>
          <w:lang w:val="en-US" w:eastAsia="zh-CN"/>
        </w:rPr>
        <w:t>-II-藏东高山深谷温带半湿润常绿阔叶林—暗针叶林生态区、</w:t>
      </w:r>
      <w:r>
        <w:rPr>
          <w:rStyle w:val="103"/>
          <w:rFonts w:hint="default" w:ascii="Times New Roman" w:hAnsi="Times New Roman" w:cs="Times New Roman"/>
          <w:color w:val="auto"/>
          <w:highlight w:val="none"/>
        </w:rPr>
        <w:t>II</w:t>
      </w:r>
      <w:r>
        <w:rPr>
          <w:rStyle w:val="103"/>
          <w:rFonts w:hint="default" w:ascii="Times New Roman" w:hAnsi="Times New Roman" w:cs="Times New Roman"/>
          <w:color w:val="auto"/>
          <w:highlight w:val="none"/>
          <w:vertAlign w:val="subscript"/>
        </w:rPr>
        <w:t>1</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rPr>
        <w:t>念青唐古拉山南翼常绿阔叶林、云冷杉林生态亚区—</w:t>
      </w:r>
      <w:r>
        <w:rPr>
          <w:rStyle w:val="103"/>
          <w:rFonts w:hint="default" w:ascii="Times New Roman" w:hAnsi="Times New Roman" w:cs="Times New Roman"/>
          <w:color w:val="auto"/>
          <w:highlight w:val="none"/>
          <w:lang w:eastAsia="zh-CN"/>
        </w:rPr>
        <w:t>II</w:t>
      </w:r>
      <w:r>
        <w:rPr>
          <w:rStyle w:val="103"/>
          <w:rFonts w:hint="default" w:ascii="Times New Roman" w:hAnsi="Times New Roman" w:cs="Times New Roman"/>
          <w:color w:val="auto"/>
          <w:highlight w:val="none"/>
          <w:vertAlign w:val="subscript"/>
          <w:lang w:eastAsia="zh-CN"/>
        </w:rPr>
        <w:t>1-1</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lang w:eastAsia="zh-CN"/>
        </w:rPr>
        <w:t>帕隆—易贡藏布山地灾害敏感性与生物多样性保护生态功能区</w:t>
      </w:r>
      <w:r>
        <w:rPr>
          <w:rStyle w:val="103"/>
          <w:rFonts w:hint="default" w:ascii="Times New Roman" w:hAnsi="Times New Roman" w:cs="Times New Roman"/>
          <w:color w:val="auto"/>
          <w:highlight w:val="none"/>
        </w:rPr>
        <w:t>。</w:t>
      </w:r>
    </w:p>
    <w:p w14:paraId="7318915D">
      <w:pPr>
        <w:adjustRightInd w:val="0"/>
        <w:spacing w:line="360" w:lineRule="auto"/>
        <w:ind w:firstLine="480" w:firstLineChars="200"/>
        <w:contextualSpacing/>
        <w:rPr>
          <w:rStyle w:val="103"/>
          <w:rFonts w:hint="default" w:ascii="Times New Roman" w:hAnsi="Times New Roman" w:cs="Times New Roman"/>
          <w:color w:val="auto"/>
          <w:kern w:val="0"/>
          <w:highlight w:val="none"/>
        </w:rPr>
      </w:pPr>
      <w:r>
        <w:rPr>
          <w:rStyle w:val="103"/>
          <w:rFonts w:hint="default" w:ascii="Times New Roman" w:hAnsi="Times New Roman" w:cs="Times New Roman"/>
          <w:color w:val="auto"/>
          <w:kern w:val="0"/>
          <w:highlight w:val="none"/>
        </w:rPr>
        <w:t>生态功能范围：</w:t>
      </w:r>
      <w:r>
        <w:rPr>
          <w:rFonts w:hint="default" w:ascii="Times New Roman" w:hAnsi="Times New Roman" w:cs="Times New Roman"/>
          <w:color w:val="auto"/>
          <w:sz w:val="24"/>
          <w:highlight w:val="none"/>
        </w:rPr>
        <w:t>该区地处西藏东南雅鲁藏布江一级支流帕隆藏布及其支流易贡藏布中下游流域，包括波密县的全境。面积19043.34km</w:t>
      </w:r>
      <w:r>
        <w:rPr>
          <w:rFonts w:hint="default" w:ascii="Times New Roman" w:hAnsi="Times New Roman" w:cs="Times New Roman"/>
          <w:color w:val="auto"/>
          <w:sz w:val="24"/>
          <w:highlight w:val="none"/>
          <w:vertAlign w:val="superscript"/>
        </w:rPr>
        <w:t>2</w:t>
      </w:r>
      <w:r>
        <w:rPr>
          <w:rStyle w:val="103"/>
          <w:rFonts w:hint="default" w:ascii="Times New Roman" w:hAnsi="Times New Roman" w:cs="Times New Roman"/>
          <w:color w:val="auto"/>
          <w:kern w:val="0"/>
          <w:highlight w:val="none"/>
        </w:rPr>
        <w:t>。</w:t>
      </w:r>
    </w:p>
    <w:p w14:paraId="108D9C8B">
      <w:pPr>
        <w:adjustRightInd w:val="0"/>
        <w:spacing w:line="360" w:lineRule="auto"/>
        <w:ind w:firstLine="480" w:firstLineChars="200"/>
        <w:contextualSpacing/>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生态功能定位：山地灾害预防和生物多样性保护，其次为水源涵养。</w:t>
      </w:r>
    </w:p>
    <w:p w14:paraId="29710465">
      <w:pPr>
        <w:adjustRightInd w:val="0"/>
        <w:spacing w:line="360" w:lineRule="auto"/>
        <w:ind w:firstLine="480" w:firstLineChars="200"/>
        <w:contextualSpacing/>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发展与保护方向及对策：该区森林植被类型的多样性，为多种动物的繁衍生息创造了有利的条件，主要动物种类有羚牛、赤斑羚、豹、盘羊、黑熊、猕猴、雪鸡等。该区是西藏山地生态系统类型多样性和生物多样性比较丰富的地区之一。在人类活动影响较小的地区，生物多样性保存较好，其中波密岗乡以云杉林为主的原始森林生态系统拥有丰富的动植物物种，云杉林生物生产力很高，林木生长速度、持续生长期和单位蓄积量大大超过国内外同类林分，每公顷蓄积量高达1500～2000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前已述及，该区主要生态环境问题是以崩塌、滑坡和泥石流为主的山地灾害，具有易发性特点，且灾害主要危害公路交通，造成的危害和损失严重。因此，该区的主要生态功能是生物多样性的保护和山地灾害的预防。</w:t>
      </w:r>
    </w:p>
    <w:p w14:paraId="498BB55A">
      <w:pPr>
        <w:adjustRightInd w:val="0"/>
        <w:spacing w:line="360" w:lineRule="auto"/>
        <w:ind w:firstLine="480" w:firstLineChars="200"/>
        <w:contextualSpacing/>
        <w:rPr>
          <w:rFonts w:hint="default" w:ascii="Times New Roman" w:hAnsi="Times New Roman" w:cs="Times New Roman"/>
          <w:bCs/>
          <w:color w:val="auto"/>
          <w:highlight w:val="none"/>
        </w:rPr>
      </w:pPr>
      <w:r>
        <w:rPr>
          <w:rFonts w:hint="default" w:ascii="Times New Roman" w:hAnsi="Times New Roman" w:cs="Times New Roman"/>
          <w:bCs/>
          <w:color w:val="auto"/>
          <w:sz w:val="24"/>
          <w:highlight w:val="none"/>
        </w:rPr>
        <w:t>鉴于该区河谷地带水热条件好，交通方便，具有发展农业和林果业的有利条件。因此，今后可适度开展具有地方特色的农林产业的开发，25°以上的陡坡山地禁止开垦，加强亚高山暗针叶林的管护和公路沿线山地灾害防治力度，加强自然保护区的管理和建设。</w:t>
      </w:r>
    </w:p>
    <w:p w14:paraId="4FC2883D">
      <w:pPr>
        <w:adjustRightInd w:val="0"/>
        <w:spacing w:line="360" w:lineRule="auto"/>
        <w:ind w:firstLine="480" w:firstLineChars="200"/>
        <w:contextualSpacing/>
        <w:rPr>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本规划为</w:t>
      </w:r>
      <w:r>
        <w:rPr>
          <w:rFonts w:hint="default" w:ascii="Times New Roman" w:hAnsi="Times New Roman" w:cs="Times New Roman"/>
          <w:bCs/>
          <w:color w:val="auto"/>
          <w:sz w:val="24"/>
          <w:highlight w:val="none"/>
          <w:lang w:eastAsia="zh-CN"/>
        </w:rPr>
        <w:t>岗云杉林</w:t>
      </w:r>
      <w:r>
        <w:rPr>
          <w:rStyle w:val="103"/>
          <w:rFonts w:hint="default" w:ascii="Times New Roman" w:hAnsi="Times New Roman" w:cs="Times New Roman"/>
          <w:color w:val="auto"/>
          <w:highlight w:val="none"/>
        </w:rPr>
        <w:t>旅游景区规划，</w:t>
      </w:r>
      <w:r>
        <w:rPr>
          <w:rStyle w:val="103"/>
          <w:rFonts w:hint="default" w:ascii="Times New Roman" w:hAnsi="Times New Roman" w:cs="Times New Roman"/>
          <w:color w:val="auto"/>
          <w:highlight w:val="none"/>
          <w:lang w:val="en-US" w:eastAsia="zh-CN"/>
        </w:rPr>
        <w:t>规划的实施严格以</w:t>
      </w:r>
      <w:r>
        <w:rPr>
          <w:rFonts w:hint="default" w:ascii="Times New Roman" w:hAnsi="Times New Roman" w:cs="Times New Roman"/>
          <w:bCs/>
          <w:color w:val="auto"/>
          <w:sz w:val="24"/>
          <w:highlight w:val="none"/>
        </w:rPr>
        <w:t>生物多样性的保护和山地灾害的预防</w:t>
      </w:r>
      <w:r>
        <w:rPr>
          <w:rFonts w:hint="default" w:ascii="Times New Roman" w:hAnsi="Times New Roman" w:cs="Times New Roman"/>
          <w:bCs/>
          <w:color w:val="auto"/>
          <w:sz w:val="24"/>
          <w:highlight w:val="none"/>
          <w:lang w:val="en-US" w:eastAsia="zh-CN"/>
        </w:rPr>
        <w:t>为规划红线，不涉及农业开垦，严格</w:t>
      </w:r>
      <w:r>
        <w:rPr>
          <w:rFonts w:hint="default" w:ascii="Times New Roman" w:hAnsi="Times New Roman" w:cs="Times New Roman"/>
          <w:bCs/>
          <w:color w:val="auto"/>
          <w:sz w:val="24"/>
          <w:highlight w:val="none"/>
        </w:rPr>
        <w:t>加强亚高山暗针叶林的管护和公路沿线山地灾害防治力度，</w:t>
      </w:r>
      <w:r>
        <w:rPr>
          <w:rFonts w:hint="default" w:ascii="Times New Roman" w:hAnsi="Times New Roman" w:cs="Times New Roman"/>
          <w:bCs/>
          <w:color w:val="auto"/>
          <w:sz w:val="24"/>
          <w:highlight w:val="none"/>
          <w:lang w:val="en-US" w:eastAsia="zh-CN"/>
        </w:rPr>
        <w:t>严格规范游客行为，随着规划的实施，可进一步</w:t>
      </w:r>
      <w:r>
        <w:rPr>
          <w:rFonts w:hint="default" w:ascii="Times New Roman" w:hAnsi="Times New Roman" w:cs="Times New Roman"/>
          <w:bCs/>
          <w:color w:val="auto"/>
          <w:sz w:val="24"/>
          <w:highlight w:val="none"/>
        </w:rPr>
        <w:t>加强</w:t>
      </w:r>
      <w:r>
        <w:rPr>
          <w:rFonts w:hint="default" w:ascii="Times New Roman" w:hAnsi="Times New Roman" w:cs="Times New Roman"/>
          <w:bCs/>
          <w:color w:val="auto"/>
          <w:sz w:val="24"/>
          <w:highlight w:val="none"/>
          <w:lang w:val="en-US" w:eastAsia="zh-CN"/>
        </w:rPr>
        <w:t>和完善</w:t>
      </w:r>
      <w:r>
        <w:rPr>
          <w:rFonts w:hint="default" w:ascii="Times New Roman" w:hAnsi="Times New Roman" w:cs="Times New Roman"/>
          <w:bCs/>
          <w:color w:val="auto"/>
          <w:sz w:val="24"/>
          <w:highlight w:val="none"/>
        </w:rPr>
        <w:t>自然保护区的管理。</w:t>
      </w:r>
      <w:r>
        <w:rPr>
          <w:rFonts w:hint="default" w:ascii="Times New Roman" w:hAnsi="Times New Roman" w:cs="Times New Roman"/>
          <w:bCs/>
          <w:color w:val="auto"/>
          <w:sz w:val="24"/>
          <w:highlight w:val="none"/>
          <w:lang w:val="en-US" w:eastAsia="zh-CN"/>
        </w:rPr>
        <w:t>因此</w:t>
      </w:r>
      <w:r>
        <w:rPr>
          <w:rStyle w:val="103"/>
          <w:rFonts w:hint="default" w:ascii="Times New Roman" w:hAnsi="Times New Roman" w:cs="Times New Roman"/>
          <w:color w:val="auto"/>
          <w:highlight w:val="none"/>
        </w:rPr>
        <w:t>符合《西藏自治区生态功能区划》功能定位要求。</w:t>
      </w:r>
    </w:p>
    <w:p w14:paraId="7742A25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rPr>
        <w:t>与《西藏自治区“十四五”时期旅游综合发展规划》</w:t>
      </w:r>
      <w:r>
        <w:rPr>
          <w:rFonts w:hint="default" w:ascii="Times New Roman" w:hAnsi="Times New Roman" w:cs="Times New Roman"/>
          <w:bCs w:val="0"/>
          <w:color w:val="auto"/>
          <w:szCs w:val="20"/>
          <w:highlight w:val="none"/>
        </w:rPr>
        <w:t>符合性分析</w:t>
      </w:r>
    </w:p>
    <w:p w14:paraId="68E817A1">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《西藏自治区“十四五”时期旅游综合发展规划》综合发展目标：</w:t>
      </w:r>
    </w:p>
    <w:p w14:paraId="2ADF6271">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十四五”期间，旅游与文化全面融合，建设重要的世界旅游目的地与建设重要的中华民族特色文化保护地互为支撑；旅游发展与生态文明建设相协调，推进创建第三极国家公园群，生态旅游成为全区建设全国生态文明高地的重要推动力量；旅游文化与高原生物、绿色工业、现代服务业、高新数字、边贸物流等产业深度融合，与体育、医疗、教育等事业产业有序融合，“旅游+”“+旅游”融合发展效益持续凸显；着力推进打造一批西藏特色景区乡镇、景区村庄、休闲农牧业和乡村旅游示范点，支持创建一批中国美丽休闲乡村、全国“一村一品”示范村镇，旅游业成为全区乡村振兴、巩固脱贫攻坚成果、建设幸福家园的重要抓手；主客共享的旅游基础设施和公共服务体系更加健全，居民和游客满意度持续提升，旅游业在深化以爱国主义为核心的民族团结教育、中华民族特色文化保护、铸牢中华民族共同体意识工作中发挥更加积极作用。</w:t>
      </w:r>
    </w:p>
    <w:p w14:paraId="56D0528E">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第六章 空间优化构建新时期旅游综合发展新格局。全面构建“1234”旅游发展空间布局：一心（以拉萨为中心）、两带（G219沿边大通道旅游经济带、高原丝绸之路旅游区域经济带）、三区（冈底斯国际旅游合作区、大香格里拉旅游合作区、林芝国际生态旅游区）、四环（东、西、南、北四条旅游环线）。</w:t>
      </w:r>
    </w:p>
    <w:p w14:paraId="2C9A59BA">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在第七章 创新驱动高质量发展高原特色旅游产业中要求推进旅游文化深度融合，其中要求：活化精品文化旅游产品，提升发展民族文化旅游，打造民族交往交流交融、民族团结进步教育重要平台，创新发展历史文化旅游，打响西藏世界文化遗产旅游及唐蕃古道、茶马古道、高原丝绸之路、象雄文明、藏源</w:t>
      </w:r>
      <w:r>
        <w:rPr>
          <w:rStyle w:val="103"/>
          <w:rFonts w:hint="default" w:ascii="Times New Roman" w:hAnsi="Times New Roman" w:cs="Times New Roman"/>
          <w:color w:val="auto"/>
          <w:highlight w:val="none"/>
          <w:lang w:eastAsia="zh-CN"/>
        </w:rPr>
        <w:t>波密</w:t>
      </w:r>
      <w:r>
        <w:rPr>
          <w:rStyle w:val="103"/>
          <w:rFonts w:hint="default" w:ascii="Times New Roman" w:hAnsi="Times New Roman" w:cs="Times New Roman"/>
          <w:color w:val="auto"/>
          <w:highlight w:val="none"/>
        </w:rPr>
        <w:t>等文化旅游品牌。</w:t>
      </w:r>
    </w:p>
    <w:p w14:paraId="1819F413">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本规划所在区位于高原丝绸之路旅游区域经济带</w:t>
      </w:r>
      <w:r>
        <w:rPr>
          <w:rStyle w:val="103"/>
          <w:rFonts w:hint="default" w:ascii="Times New Roman" w:hAnsi="Times New Roman" w:cs="Times New Roman"/>
          <w:color w:val="auto"/>
          <w:highlight w:val="none"/>
          <w:lang w:eastAsia="zh-CN"/>
        </w:rPr>
        <w:t>、</w:t>
      </w:r>
      <w:r>
        <w:rPr>
          <w:rStyle w:val="103"/>
          <w:rFonts w:hint="default" w:ascii="Times New Roman" w:hAnsi="Times New Roman" w:cs="Times New Roman"/>
          <w:color w:val="auto"/>
          <w:highlight w:val="none"/>
        </w:rPr>
        <w:t>林芝国际生态旅游区</w:t>
      </w:r>
      <w:r>
        <w:rPr>
          <w:rStyle w:val="103"/>
          <w:rFonts w:hint="default" w:ascii="Times New Roman" w:hAnsi="Times New Roman" w:cs="Times New Roman"/>
          <w:color w:val="auto"/>
          <w:highlight w:val="none"/>
          <w:lang w:eastAsia="zh-CN"/>
        </w:rPr>
        <w:t>、</w:t>
      </w:r>
      <w:r>
        <w:rPr>
          <w:rStyle w:val="103"/>
          <w:rFonts w:hint="default" w:ascii="Times New Roman" w:hAnsi="Times New Roman" w:cs="Times New Roman"/>
          <w:color w:val="auto"/>
          <w:highlight w:val="none"/>
        </w:rPr>
        <w:t>东旅游环线</w:t>
      </w:r>
      <w:r>
        <w:rPr>
          <w:rStyle w:val="103"/>
          <w:rFonts w:hint="default" w:ascii="Times New Roman" w:hAnsi="Times New Roman" w:cs="Times New Roman"/>
          <w:color w:val="auto"/>
          <w:highlight w:val="none"/>
          <w:lang w:val="en-US" w:eastAsia="zh-CN"/>
        </w:rPr>
        <w:t>交汇区域</w:t>
      </w:r>
      <w:r>
        <w:rPr>
          <w:rStyle w:val="103"/>
          <w:rFonts w:hint="default" w:ascii="Times New Roman" w:hAnsi="Times New Roman" w:cs="Times New Roman"/>
          <w:color w:val="auto"/>
          <w:highlight w:val="none"/>
        </w:rPr>
        <w:t>，</w:t>
      </w:r>
      <w:r>
        <w:rPr>
          <w:rFonts w:hint="default" w:ascii="Times New Roman" w:hAnsi="Times New Roman" w:cs="Times New Roman"/>
          <w:color w:val="auto"/>
          <w:sz w:val="24"/>
          <w:highlight w:val="none"/>
        </w:rPr>
        <w:t>规划</w:t>
      </w:r>
      <w:r>
        <w:rPr>
          <w:rFonts w:hint="default" w:ascii="Times New Roman" w:hAnsi="Times New Roman" w:cs="Times New Roman"/>
          <w:bCs/>
          <w:color w:val="auto"/>
          <w:kern w:val="0"/>
          <w:sz w:val="24"/>
          <w:highlight w:val="none"/>
          <w:lang w:eastAsia="zh-CN"/>
        </w:rPr>
        <w:t>以“生态保护为核、高铁机遇为引、森林康养为本、两村联动为基”，立足“中国十大最美森林”生态本底，打造集生态观光、森林康养、户外运动、自然研学、民俗休闲于一体的综合性旅游景区，</w:t>
      </w:r>
      <w:r>
        <w:rPr>
          <w:rStyle w:val="103"/>
          <w:rFonts w:hint="default" w:ascii="Times New Roman" w:hAnsi="Times New Roman" w:cs="Times New Roman"/>
          <w:color w:val="auto"/>
          <w:highlight w:val="none"/>
        </w:rPr>
        <w:t>与西藏自治区“十四五”旅游综合发展发展规划中“藏源</w:t>
      </w:r>
      <w:r>
        <w:rPr>
          <w:rStyle w:val="103"/>
          <w:rFonts w:hint="default" w:ascii="Times New Roman" w:hAnsi="Times New Roman" w:cs="Times New Roman"/>
          <w:color w:val="auto"/>
          <w:highlight w:val="none"/>
          <w:lang w:eastAsia="zh-CN"/>
        </w:rPr>
        <w:t>波密</w:t>
      </w:r>
      <w:r>
        <w:rPr>
          <w:rStyle w:val="103"/>
          <w:rFonts w:hint="default" w:ascii="Times New Roman" w:hAnsi="Times New Roman" w:cs="Times New Roman"/>
          <w:color w:val="auto"/>
          <w:highlight w:val="none"/>
        </w:rPr>
        <w:t>”文化旅游品牌相一致。故规划与《西藏自治区“十四五”时期旅游综合发展规划》相符合。</w:t>
      </w:r>
    </w:p>
    <w:p w14:paraId="4C8370C3">
      <w:pPr>
        <w:pStyle w:val="5"/>
        <w:spacing w:before="156" w:after="156"/>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与《</w:t>
      </w:r>
      <w:r>
        <w:rPr>
          <w:rFonts w:hint="default" w:ascii="Times New Roman" w:hAnsi="Times New Roman" w:cs="Times New Roman"/>
          <w:color w:val="auto"/>
          <w:spacing w:val="-6"/>
          <w:highlight w:val="none"/>
          <w:lang w:val="en-US"/>
        </w:rPr>
        <w:t>西藏自治区国民经济和社会发展第十四个五年规划和二〇三五年远景目标纲要</w:t>
      </w:r>
      <w:r>
        <w:rPr>
          <w:rFonts w:hint="default" w:ascii="Times New Roman" w:hAnsi="Times New Roman" w:cs="Times New Roman"/>
          <w:color w:val="auto"/>
          <w:spacing w:val="-6"/>
          <w:highlight w:val="none"/>
        </w:rPr>
        <w:t>》</w:t>
      </w:r>
      <w:r>
        <w:rPr>
          <w:rFonts w:hint="default" w:ascii="Times New Roman" w:hAnsi="Times New Roman" w:cs="Times New Roman"/>
          <w:bCs w:val="0"/>
          <w:color w:val="auto"/>
          <w:szCs w:val="20"/>
          <w:highlight w:val="none"/>
        </w:rPr>
        <w:t>符合性分析</w:t>
      </w:r>
    </w:p>
    <w:p w14:paraId="6989DA0E">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w:t>
      </w:r>
      <w:r>
        <w:rPr>
          <w:rFonts w:hint="default" w:ascii="Times New Roman" w:hAnsi="Times New Roman" w:cs="Times New Roman"/>
          <w:color w:val="auto"/>
          <w:sz w:val="24"/>
          <w:highlight w:val="none"/>
        </w:rPr>
        <w:t>西藏自治区国民经济和社会发展第十四个五年规划和二〇三五年远景目标纲要</w:t>
      </w:r>
      <w:r>
        <w:rPr>
          <w:rStyle w:val="103"/>
          <w:rFonts w:hint="default" w:ascii="Times New Roman" w:hAnsi="Times New Roman" w:cs="Times New Roman"/>
          <w:color w:val="auto"/>
          <w:highlight w:val="none"/>
        </w:rPr>
        <w:t>》</w:t>
      </w:r>
      <w:r>
        <w:rPr>
          <w:rStyle w:val="103"/>
          <w:rFonts w:hint="default" w:ascii="Times New Roman" w:hAnsi="Times New Roman" w:cs="Times New Roman" w:eastAsiaTheme="minorEastAsia"/>
          <w:color w:val="auto"/>
          <w:highlight w:val="none"/>
        </w:rPr>
        <w:t>“</w:t>
      </w:r>
      <w:r>
        <w:rPr>
          <w:rStyle w:val="103"/>
          <w:rFonts w:hint="default" w:ascii="Times New Roman" w:hAnsi="Times New Roman" w:cs="Times New Roman"/>
          <w:color w:val="auto"/>
          <w:highlight w:val="none"/>
        </w:rPr>
        <w:t>第十一章 推动七大产业高质量发展</w:t>
      </w:r>
      <w:r>
        <w:rPr>
          <w:rStyle w:val="103"/>
          <w:rFonts w:hint="default" w:ascii="Times New Roman" w:hAnsi="Times New Roman" w:cs="Times New Roman" w:eastAsiaTheme="minorEastAsia"/>
          <w:color w:val="auto"/>
          <w:highlight w:val="none"/>
        </w:rPr>
        <w:t>”</w:t>
      </w:r>
      <w:r>
        <w:rPr>
          <w:rStyle w:val="103"/>
          <w:rFonts w:hint="default" w:ascii="Times New Roman" w:hAnsi="Times New Roman" w:cs="Times New Roman"/>
          <w:color w:val="auto"/>
          <w:highlight w:val="none"/>
        </w:rPr>
        <w:t>中提出：推动特色旅游文化产业全域发展。坚持以文塑旅、以旅彰文，推动文化和旅游深度融合，持续推进文创西藏区域公用品牌建设，推动文化旅游创意园区规范发展、提档升级，加快“中国西藏特色文化产业之窗”建设，大力培育文化产业新业态，“十四五”时期文化产业产值年均增速15%以上。坚持“特色、高端、精品”定位，加快推进重要世界旅游目的地和全域旅游示范区建设，全力推进G219沿边大通道、高原丝绸之路、拉萨国际文化旅游城市、林芝生态旅游、冈底斯国际旅游合作等建设，加大旅游文化基础设施补短板力度，大力发展乡村旅游，创新有利于农牧民广泛深入参与的业态模式。强化旅游公共服务能力，推动智慧旅游发展，优化提升游客服务中心功能，提升驿站、民宿等标准化水平，建设自驾车营地、观景台等基础设施和公共服务设施，创新旅游营销模式，加强区内外旅游合作，探索联合打造跨省（区、市）精品旅游线路，推动旅游文化产业优质全域全时发展。</w:t>
      </w:r>
    </w:p>
    <w:p w14:paraId="687F3688">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lang w:eastAsia="zh-CN"/>
        </w:rPr>
        <w:t>岗云杉林景区</w:t>
      </w:r>
      <w:r>
        <w:rPr>
          <w:rStyle w:val="103"/>
          <w:rFonts w:hint="default" w:ascii="Times New Roman" w:hAnsi="Times New Roman" w:cs="Times New Roman"/>
          <w:color w:val="auto"/>
          <w:highlight w:val="none"/>
        </w:rPr>
        <w:t>位于西藏</w:t>
      </w:r>
      <w:r>
        <w:rPr>
          <w:rStyle w:val="103"/>
          <w:rFonts w:hint="default" w:ascii="Times New Roman" w:hAnsi="Times New Roman" w:cs="Times New Roman"/>
          <w:color w:val="auto"/>
          <w:highlight w:val="none"/>
          <w:lang w:eastAsia="zh-CN"/>
        </w:rPr>
        <w:t>林芝市波密县扎木镇、古乡</w:t>
      </w:r>
      <w:r>
        <w:rPr>
          <w:rStyle w:val="103"/>
          <w:rFonts w:hint="default" w:ascii="Times New Roman" w:hAnsi="Times New Roman" w:cs="Times New Roman"/>
          <w:color w:val="auto"/>
          <w:highlight w:val="none"/>
        </w:rPr>
        <w:t>，位于高原丝绸之路旅游区域经济带</w:t>
      </w:r>
      <w:r>
        <w:rPr>
          <w:rStyle w:val="103"/>
          <w:rFonts w:hint="default" w:ascii="Times New Roman" w:hAnsi="Times New Roman" w:cs="Times New Roman"/>
          <w:color w:val="auto"/>
          <w:highlight w:val="none"/>
          <w:lang w:eastAsia="zh-CN"/>
        </w:rPr>
        <w:t>、</w:t>
      </w:r>
      <w:r>
        <w:rPr>
          <w:rStyle w:val="103"/>
          <w:rFonts w:hint="default" w:ascii="Times New Roman" w:hAnsi="Times New Roman" w:cs="Times New Roman"/>
          <w:color w:val="auto"/>
          <w:highlight w:val="none"/>
        </w:rPr>
        <w:t>林芝国际生态旅游区</w:t>
      </w:r>
      <w:r>
        <w:rPr>
          <w:rStyle w:val="103"/>
          <w:rFonts w:hint="default" w:ascii="Times New Roman" w:hAnsi="Times New Roman" w:cs="Times New Roman"/>
          <w:color w:val="auto"/>
          <w:highlight w:val="none"/>
          <w:lang w:eastAsia="zh-CN"/>
        </w:rPr>
        <w:t>、</w:t>
      </w:r>
      <w:r>
        <w:rPr>
          <w:rStyle w:val="103"/>
          <w:rFonts w:hint="default" w:ascii="Times New Roman" w:hAnsi="Times New Roman" w:cs="Times New Roman"/>
          <w:color w:val="auto"/>
          <w:highlight w:val="none"/>
        </w:rPr>
        <w:t>东旅游环线</w:t>
      </w:r>
      <w:r>
        <w:rPr>
          <w:rStyle w:val="103"/>
          <w:rFonts w:hint="default" w:ascii="Times New Roman" w:hAnsi="Times New Roman" w:cs="Times New Roman"/>
          <w:color w:val="auto"/>
          <w:highlight w:val="none"/>
          <w:lang w:val="en-US" w:eastAsia="zh-CN"/>
        </w:rPr>
        <w:t>交汇区域</w:t>
      </w:r>
      <w:r>
        <w:rPr>
          <w:rStyle w:val="103"/>
          <w:rFonts w:hint="default" w:ascii="Times New Roman" w:hAnsi="Times New Roman" w:cs="Times New Roman"/>
          <w:color w:val="auto"/>
          <w:highlight w:val="none"/>
        </w:rPr>
        <w:t>。属于西藏自治区</w:t>
      </w:r>
      <w:r>
        <w:rPr>
          <w:rStyle w:val="103"/>
          <w:rFonts w:hint="default" w:ascii="Times New Roman" w:hAnsi="Times New Roman" w:cs="Times New Roman" w:eastAsiaTheme="minorEastAsia"/>
          <w:color w:val="auto"/>
          <w:highlight w:val="none"/>
        </w:rPr>
        <w:t>“十四五”</w:t>
      </w:r>
      <w:r>
        <w:rPr>
          <w:rStyle w:val="103"/>
          <w:rFonts w:hint="default" w:ascii="Times New Roman" w:hAnsi="Times New Roman" w:cs="Times New Roman"/>
          <w:color w:val="auto"/>
          <w:highlight w:val="none"/>
        </w:rPr>
        <w:t>时期旅游业全力推进任务，</w:t>
      </w:r>
      <w:r>
        <w:rPr>
          <w:rStyle w:val="103"/>
          <w:rFonts w:hint="default" w:ascii="Times New Roman" w:hAnsi="Times New Roman" w:cs="Times New Roman"/>
          <w:color w:val="auto"/>
          <w:highlight w:val="none"/>
          <w:lang w:eastAsia="zh-CN"/>
        </w:rPr>
        <w:t>岗云杉林景区</w:t>
      </w:r>
      <w:r>
        <w:rPr>
          <w:rFonts w:hint="default" w:ascii="Times New Roman" w:hAnsi="Times New Roman" w:cs="Times New Roman"/>
          <w:color w:val="auto"/>
          <w:sz w:val="24"/>
          <w:highlight w:val="none"/>
        </w:rPr>
        <w:t>规划的实施对西藏旅游业及自治区经济发展有促进作用，</w:t>
      </w:r>
      <w:r>
        <w:rPr>
          <w:rStyle w:val="103"/>
          <w:rFonts w:hint="default" w:ascii="Times New Roman" w:hAnsi="Times New Roman" w:cs="Times New Roman"/>
          <w:color w:val="auto"/>
          <w:highlight w:val="none"/>
        </w:rPr>
        <w:t>因此本规划符合《</w:t>
      </w:r>
      <w:r>
        <w:rPr>
          <w:rFonts w:hint="default" w:ascii="Times New Roman" w:hAnsi="Times New Roman" w:cs="Times New Roman"/>
          <w:color w:val="auto"/>
          <w:sz w:val="24"/>
          <w:highlight w:val="none"/>
        </w:rPr>
        <w:t>西藏自治区国民经济和社会发展第十四个五年规划和二〇三五年远景目标纲要</w:t>
      </w:r>
      <w:r>
        <w:rPr>
          <w:rStyle w:val="103"/>
          <w:rFonts w:hint="default" w:ascii="Times New Roman" w:hAnsi="Times New Roman" w:cs="Times New Roman"/>
          <w:color w:val="auto"/>
          <w:highlight w:val="none"/>
        </w:rPr>
        <w:t>》指导思想。</w:t>
      </w:r>
    </w:p>
    <w:p w14:paraId="7E6DE1DB">
      <w:pPr>
        <w:pStyle w:val="5"/>
        <w:spacing w:before="156" w:after="156"/>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lang w:val="en-US"/>
        </w:rPr>
        <w:t>与《</w:t>
      </w:r>
      <w:r>
        <w:rPr>
          <w:rFonts w:hint="default" w:ascii="Times New Roman" w:hAnsi="Times New Roman" w:cs="Times New Roman"/>
          <w:color w:val="auto"/>
          <w:spacing w:val="-6"/>
          <w:highlight w:val="none"/>
          <w:lang w:val="en-US" w:eastAsia="zh-CN"/>
        </w:rPr>
        <w:t>林芝市</w:t>
      </w:r>
      <w:r>
        <w:rPr>
          <w:rFonts w:hint="default" w:ascii="Times New Roman" w:hAnsi="Times New Roman" w:cs="Times New Roman"/>
          <w:color w:val="auto"/>
          <w:spacing w:val="-6"/>
          <w:highlight w:val="none"/>
          <w:lang w:val="en-US"/>
        </w:rPr>
        <w:t>国民经济和社会发展第十四个五年规划和二〇三五年远景目标纲要》的符合性分析</w:t>
      </w:r>
    </w:p>
    <w:p w14:paraId="63F820C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林芝市</w:t>
      </w:r>
      <w:r>
        <w:rPr>
          <w:rFonts w:hint="default" w:ascii="Times New Roman" w:hAnsi="Times New Roman" w:cs="Times New Roman"/>
          <w:color w:val="auto"/>
          <w:sz w:val="24"/>
          <w:highlight w:val="none"/>
        </w:rPr>
        <w:t>国民经济和社会发展第十四个五年规划和二〇三五年远景目标纲要》要求打造全域型高品质特色旅游业</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提出“一核三区六组团”发展格局</w:t>
      </w:r>
      <w:r>
        <w:rPr>
          <w:rFonts w:hint="default" w:ascii="Times New Roman" w:hAnsi="Times New Roman" w:cs="Times New Roman"/>
          <w:color w:val="auto"/>
          <w:sz w:val="24"/>
          <w:highlight w:val="none"/>
        </w:rPr>
        <w:t>。</w:t>
      </w:r>
    </w:p>
    <w:p w14:paraId="5D771095">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产业发展中提出全域旅游：打造大峡谷、南迦巴瓦、巴松措、鲁朗四大核心景区；创建国家区域旅游示范区；2025年。旅游接待突破1500万人次、收入200亿元。</w:t>
      </w:r>
    </w:p>
    <w:p w14:paraId="5DF54E87">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提出将嘎朗国家湿地公园、雅鲁藏布大峡谷国家级自然保护区纳入全市生态安全屏障核心区，严格保护、禁止破坏性开发。在保护区/湿地公园周边严控工业发展，重点发展生态旅游、特色农牧、林下经济，实现生态保护与民生改善双赢。</w:t>
      </w:r>
    </w:p>
    <w:p w14:paraId="01EEBCAA">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本规划近期目标：国家4A级旅游景区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远期目标：自治区康养旅游示范基地</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自治区级旅游度假区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国家研学旅游基地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西藏首个全域零碳旅游景区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规划在实施过程中严格保护嘎朗国家湿地公园、雅鲁藏布大峡谷国家级自然保护区，不涉及破坏性开发，不涉及工业项目，重点发展生态旅游，有利于提升民生，实现生态保护与民生改善双赢。</w:t>
      </w:r>
    </w:p>
    <w:p w14:paraId="293E378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因此，规划与《</w:t>
      </w:r>
      <w:r>
        <w:rPr>
          <w:rFonts w:hint="default" w:ascii="Times New Roman" w:hAnsi="Times New Roman" w:cs="Times New Roman"/>
          <w:color w:val="auto"/>
          <w:sz w:val="24"/>
          <w:highlight w:val="none"/>
          <w:lang w:eastAsia="zh-CN"/>
        </w:rPr>
        <w:t>林芝市</w:t>
      </w:r>
      <w:r>
        <w:rPr>
          <w:rFonts w:hint="default" w:ascii="Times New Roman" w:hAnsi="Times New Roman" w:cs="Times New Roman"/>
          <w:color w:val="auto"/>
          <w:sz w:val="24"/>
          <w:highlight w:val="none"/>
        </w:rPr>
        <w:t>国民经济和社会发展第十四个五年规划和二〇三五年远景目标纲要》相符合。</w:t>
      </w:r>
    </w:p>
    <w:p w14:paraId="735BEB60">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与《西藏自治区“十四五”时期生态环境保护规划》</w:t>
      </w:r>
      <w:r>
        <w:rPr>
          <w:rFonts w:hint="default" w:ascii="Times New Roman" w:hAnsi="Times New Roman" w:cs="Times New Roman"/>
          <w:bCs w:val="0"/>
          <w:color w:val="auto"/>
          <w:szCs w:val="20"/>
          <w:highlight w:val="none"/>
        </w:rPr>
        <w:t>符合性分析</w:t>
      </w:r>
    </w:p>
    <w:p w14:paraId="2861B843">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《西藏自治区</w:t>
      </w:r>
      <w:r>
        <w:rPr>
          <w:rStyle w:val="103"/>
          <w:rFonts w:hint="default" w:ascii="Times New Roman" w:hAnsi="Times New Roman" w:cs="Times New Roman" w:eastAsiaTheme="minorEastAsia"/>
          <w:color w:val="auto"/>
          <w:highlight w:val="none"/>
        </w:rPr>
        <w:t>“十四五”</w:t>
      </w:r>
      <w:r>
        <w:rPr>
          <w:rStyle w:val="103"/>
          <w:rFonts w:hint="default" w:ascii="Times New Roman" w:hAnsi="Times New Roman" w:cs="Times New Roman"/>
          <w:color w:val="auto"/>
          <w:highlight w:val="none"/>
        </w:rPr>
        <w:t>时期生态环境保护规划》</w:t>
      </w:r>
      <w:r>
        <w:rPr>
          <w:rStyle w:val="103"/>
          <w:rFonts w:hint="default" w:ascii="Times New Roman" w:hAnsi="Times New Roman" w:cs="Times New Roman" w:eastAsiaTheme="minorEastAsia"/>
          <w:color w:val="auto"/>
          <w:highlight w:val="none"/>
        </w:rPr>
        <w:t>“第四章 重点任务—第五节 推进绿色低碳循环发展”</w:t>
      </w:r>
      <w:r>
        <w:rPr>
          <w:rStyle w:val="103"/>
          <w:rFonts w:hint="default" w:ascii="Times New Roman" w:hAnsi="Times New Roman" w:cs="Times New Roman"/>
          <w:color w:val="auto"/>
          <w:highlight w:val="none"/>
        </w:rPr>
        <w:t>提出：提升产业绿色发展水平。大力发展特色旅游产业，把旅游业培育成为绿色经济发展的先导产业，提升发展绿色、低碳旅游，使旅游发展在促进全区生态文明进程中发挥重要作用。大力发展现代服务业，推动互联网、大数据、人工智能与 产业发展深度融合，不断提升经济发展的“绿色含量”。</w:t>
      </w:r>
    </w:p>
    <w:p w14:paraId="47E6BBE1">
      <w:pPr>
        <w:spacing w:line="360" w:lineRule="auto"/>
        <w:ind w:firstLine="480" w:firstLineChars="200"/>
        <w:rPr>
          <w:rStyle w:val="103"/>
          <w:rFonts w:hint="default" w:ascii="Times New Roman" w:hAnsi="Times New Roman" w:cs="Times New Roman"/>
          <w:color w:val="auto"/>
          <w:highlight w:val="none"/>
        </w:rPr>
      </w:pPr>
      <w:r>
        <w:rPr>
          <w:rFonts w:hint="default" w:ascii="Times New Roman" w:hAnsi="Times New Roman" w:cs="Times New Roman" w:eastAsiaTheme="minorEastAsia"/>
          <w:color w:val="auto"/>
          <w:sz w:val="24"/>
          <w:highlight w:val="none"/>
        </w:rPr>
        <w:t>本规划</w:t>
      </w:r>
      <w:r>
        <w:rPr>
          <w:rFonts w:hint="default" w:ascii="Times New Roman" w:hAnsi="Times New Roman" w:cs="Times New Roman" w:eastAsiaTheme="minorEastAsia"/>
          <w:color w:val="auto"/>
          <w:sz w:val="24"/>
          <w:highlight w:val="none"/>
          <w:lang w:val="en-US" w:eastAsia="zh-CN"/>
        </w:rPr>
        <w:t>总体定位为</w:t>
      </w:r>
      <w:r>
        <w:rPr>
          <w:rFonts w:hint="default" w:ascii="Times New Roman" w:hAnsi="Times New Roman" w:cs="Times New Roman"/>
          <w:bCs/>
          <w:color w:val="auto"/>
          <w:kern w:val="0"/>
          <w:sz w:val="24"/>
          <w:highlight w:val="none"/>
          <w:lang w:eastAsia="zh-CN"/>
        </w:rPr>
        <w:t>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将资源优势、生态优势转化为产业优势和发展优势。“三生融合”示范景区：生态保护标杆/生活体验窗口/生产创新样板。打造西藏首个森林康养旅游目的地，国家级森林徒步天堂。</w:t>
      </w:r>
      <w:r>
        <w:rPr>
          <w:rStyle w:val="103"/>
          <w:rFonts w:hint="default" w:ascii="Times New Roman" w:hAnsi="Times New Roman" w:cs="Times New Roman"/>
          <w:color w:val="auto"/>
          <w:highlight w:val="none"/>
        </w:rPr>
        <w:t>因此本规划符合《</w:t>
      </w:r>
      <w:r>
        <w:rPr>
          <w:rFonts w:hint="default" w:ascii="Times New Roman" w:hAnsi="Times New Roman" w:cs="Times New Roman"/>
          <w:color w:val="auto"/>
          <w:sz w:val="24"/>
          <w:highlight w:val="none"/>
        </w:rPr>
        <w:t>西藏自治区“十四五”时期生态环境保护规划</w:t>
      </w:r>
      <w:r>
        <w:rPr>
          <w:rStyle w:val="103"/>
          <w:rFonts w:hint="default" w:ascii="Times New Roman" w:hAnsi="Times New Roman" w:cs="Times New Roman"/>
          <w:color w:val="auto"/>
          <w:highlight w:val="none"/>
        </w:rPr>
        <w:t>》要求。</w:t>
      </w:r>
    </w:p>
    <w:p w14:paraId="2672FD5E">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w:t>
      </w:r>
      <w:bookmarkStart w:id="84" w:name="_Hlk146981086"/>
      <w:r>
        <w:rPr>
          <w:rFonts w:hint="default" w:ascii="Times New Roman" w:hAnsi="Times New Roman" w:cs="Times New Roman"/>
          <w:color w:val="auto"/>
          <w:highlight w:val="none"/>
          <w:lang w:eastAsia="zh-CN"/>
        </w:rPr>
        <w:t>波密县</w:t>
      </w:r>
      <w:r>
        <w:rPr>
          <w:rFonts w:hint="default" w:ascii="Times New Roman" w:hAnsi="Times New Roman" w:cs="Times New Roman"/>
          <w:color w:val="auto"/>
          <w:highlight w:val="none"/>
        </w:rPr>
        <w:t>国土空间总体规划（2021－2035</w:t>
      </w:r>
      <w:r>
        <w:rPr>
          <w:rFonts w:hint="default" w:ascii="Times New Roman" w:hAnsi="Times New Roman" w:cs="Times New Roman"/>
          <w:color w:val="auto"/>
          <w:kern w:val="0"/>
          <w:sz w:val="24"/>
          <w:highlight w:val="none"/>
          <w:lang w:val="en-US" w:eastAsia="zh-CN"/>
        </w:rPr>
        <w:t>年</w:t>
      </w:r>
      <w:r>
        <w:rPr>
          <w:rFonts w:hint="default" w:ascii="Times New Roman" w:hAnsi="Times New Roman" w:cs="Times New Roman"/>
          <w:color w:val="auto"/>
          <w:highlight w:val="none"/>
        </w:rPr>
        <w:t>）</w:t>
      </w:r>
      <w:bookmarkEnd w:id="84"/>
      <w:r>
        <w:rPr>
          <w:rFonts w:hint="default" w:ascii="Times New Roman" w:hAnsi="Times New Roman" w:cs="Times New Roman"/>
          <w:color w:val="auto"/>
          <w:highlight w:val="none"/>
        </w:rPr>
        <w:t>》</w:t>
      </w:r>
      <w:r>
        <w:rPr>
          <w:rFonts w:hint="default" w:ascii="Times New Roman" w:hAnsi="Times New Roman" w:cs="Times New Roman"/>
          <w:bCs w:val="0"/>
          <w:color w:val="auto"/>
          <w:szCs w:val="20"/>
          <w:highlight w:val="none"/>
        </w:rPr>
        <w:t>符合性分析</w:t>
      </w:r>
    </w:p>
    <w:p w14:paraId="20CD228E">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lang w:eastAsia="zh-CN"/>
        </w:rPr>
        <w:t>《波密县</w:t>
      </w:r>
      <w:r>
        <w:rPr>
          <w:rStyle w:val="103"/>
          <w:rFonts w:hint="default" w:ascii="Times New Roman" w:hAnsi="Times New Roman" w:cs="Times New Roman"/>
          <w:color w:val="auto"/>
          <w:highlight w:val="none"/>
        </w:rPr>
        <w:t>国土空间总体规划（2021－2035</w:t>
      </w:r>
      <w:r>
        <w:rPr>
          <w:rFonts w:hint="default" w:ascii="Times New Roman" w:hAnsi="Times New Roman" w:cs="Times New Roman"/>
          <w:color w:val="auto"/>
          <w:kern w:val="0"/>
          <w:sz w:val="24"/>
          <w:highlight w:val="none"/>
          <w:lang w:val="en-US" w:eastAsia="zh-CN"/>
        </w:rPr>
        <w:t>年</w:t>
      </w:r>
      <w:r>
        <w:rPr>
          <w:rStyle w:val="103"/>
          <w:rFonts w:hint="default" w:ascii="Times New Roman" w:hAnsi="Times New Roman" w:cs="Times New Roman"/>
          <w:color w:val="auto"/>
          <w:highlight w:val="none"/>
        </w:rPr>
        <w:t>）</w:t>
      </w:r>
      <w:r>
        <w:rPr>
          <w:rStyle w:val="103"/>
          <w:rFonts w:hint="default" w:ascii="Times New Roman" w:hAnsi="Times New Roman" w:cs="Times New Roman"/>
          <w:color w:val="auto"/>
          <w:highlight w:val="none"/>
          <w:lang w:eastAsia="zh-CN"/>
        </w:rPr>
        <w:t>》</w:t>
      </w:r>
      <w:r>
        <w:rPr>
          <w:rStyle w:val="103"/>
          <w:rFonts w:hint="default" w:ascii="Times New Roman" w:hAnsi="Times New Roman" w:cs="Times New Roman"/>
          <w:color w:val="auto"/>
          <w:highlight w:val="none"/>
        </w:rPr>
        <w:t>总体定位：依托“冰川之乡，藏王故里”形象定位，以生态、康养、健康、农业为主题，发挥波密县自然生态和历史文化资源优势，建设波密县为集生态观光、文化体验、康养疗养、乡村旅游等多业态融合的冰川桃花生态人文旅游目的地。空间布局：提升旅游规模集聚化效应和服务水平，构建“一心一轴四片区”全域旅游格局。“一心”：波密旅游集散中心；“一轴”：G318帕隆藏布一河两岸旅游发展轴；“四片区”：藏韵风情文化体验区、冰川集群特种旅游观光区、醉美冰川游览区、易贡−八盖生态康养休闲区。</w:t>
      </w:r>
    </w:p>
    <w:p w14:paraId="57C26FED">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lang w:eastAsia="zh-CN"/>
        </w:rPr>
        <w:t>《波密县</w:t>
      </w:r>
      <w:r>
        <w:rPr>
          <w:rStyle w:val="103"/>
          <w:rFonts w:hint="default" w:ascii="Times New Roman" w:hAnsi="Times New Roman" w:cs="Times New Roman"/>
          <w:color w:val="auto"/>
          <w:highlight w:val="none"/>
        </w:rPr>
        <w:t>国土空间总体规划（2021－2035</w:t>
      </w:r>
      <w:r>
        <w:rPr>
          <w:rFonts w:hint="default" w:ascii="Times New Roman" w:hAnsi="Times New Roman" w:cs="Times New Roman"/>
          <w:color w:val="auto"/>
          <w:kern w:val="0"/>
          <w:sz w:val="24"/>
          <w:highlight w:val="none"/>
          <w:lang w:val="en-US" w:eastAsia="zh-CN"/>
        </w:rPr>
        <w:t>年</w:t>
      </w:r>
      <w:r>
        <w:rPr>
          <w:rStyle w:val="103"/>
          <w:rFonts w:hint="default" w:ascii="Times New Roman" w:hAnsi="Times New Roman" w:cs="Times New Roman"/>
          <w:color w:val="auto"/>
          <w:highlight w:val="none"/>
        </w:rPr>
        <w:t>）</w:t>
      </w:r>
      <w:r>
        <w:rPr>
          <w:rStyle w:val="103"/>
          <w:rFonts w:hint="default" w:ascii="Times New Roman" w:hAnsi="Times New Roman" w:cs="Times New Roman"/>
          <w:color w:val="auto"/>
          <w:highlight w:val="none"/>
          <w:lang w:eastAsia="zh-CN"/>
        </w:rPr>
        <w:t>》明确提出：全县以生态、康养、健康、农业为主题，岗云杉林作为G318上重要的旅游景点进行打造，</w:t>
      </w:r>
      <w:r>
        <w:rPr>
          <w:rFonts w:hint="default" w:ascii="Times New Roman" w:hAnsi="Times New Roman" w:cs="Times New Roman"/>
          <w:bCs/>
          <w:color w:val="auto"/>
          <w:kern w:val="0"/>
          <w:sz w:val="24"/>
          <w:highlight w:val="none"/>
          <w:lang w:eastAsia="zh-CN"/>
        </w:rPr>
        <w:t>以“生态保护为核、高铁机遇为引、森林康养为本、两村联动为基”，立足“中国十大最美森林”生态本底，打造集生态观光、森林康养、户外运动、自然研学、民俗休闲于一体的综合性旅游景区</w:t>
      </w:r>
      <w:r>
        <w:rPr>
          <w:rStyle w:val="103"/>
          <w:rFonts w:hint="default" w:ascii="Times New Roman" w:hAnsi="Times New Roman" w:cs="Times New Roman"/>
          <w:color w:val="auto"/>
          <w:highlight w:val="none"/>
          <w:lang w:eastAsia="zh-CN"/>
        </w:rPr>
        <w:t>。</w:t>
      </w:r>
      <w:r>
        <w:rPr>
          <w:rStyle w:val="103"/>
          <w:rFonts w:hint="default" w:ascii="Times New Roman" w:hAnsi="Times New Roman" w:cs="Times New Roman"/>
          <w:color w:val="auto"/>
          <w:highlight w:val="none"/>
        </w:rPr>
        <w:t>因此，规划与《</w:t>
      </w:r>
      <w:r>
        <w:rPr>
          <w:rStyle w:val="103"/>
          <w:rFonts w:hint="default" w:ascii="Times New Roman" w:hAnsi="Times New Roman" w:cs="Times New Roman"/>
          <w:color w:val="auto"/>
          <w:highlight w:val="none"/>
          <w:lang w:eastAsia="zh-CN"/>
        </w:rPr>
        <w:t>波密县</w:t>
      </w:r>
      <w:r>
        <w:rPr>
          <w:rStyle w:val="103"/>
          <w:rFonts w:hint="default" w:ascii="Times New Roman" w:hAnsi="Times New Roman" w:cs="Times New Roman"/>
          <w:color w:val="auto"/>
          <w:highlight w:val="none"/>
        </w:rPr>
        <w:t>国土空间总体规划（2021－2035）》相符合。</w:t>
      </w:r>
    </w:p>
    <w:p w14:paraId="13065ED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w:t>
      </w:r>
      <w:r>
        <w:rPr>
          <w:rFonts w:hint="default" w:ascii="Times New Roman" w:hAnsi="Times New Roman" w:cs="Times New Roman"/>
          <w:color w:val="auto"/>
          <w:kern w:val="0"/>
          <w:sz w:val="24"/>
          <w:highlight w:val="none"/>
          <w:lang w:eastAsia="zh-CN"/>
        </w:rPr>
        <w:t>《波密县全域旅游发展总体规划（2021-2030</w:t>
      </w:r>
      <w:r>
        <w:rPr>
          <w:rFonts w:hint="default" w:ascii="Times New Roman" w:hAnsi="Times New Roman" w:cs="Times New Roman"/>
          <w:color w:val="auto"/>
          <w:kern w:val="0"/>
          <w:sz w:val="24"/>
          <w:highlight w:val="none"/>
          <w:lang w:val="en-US" w:eastAsia="zh-CN"/>
        </w:rPr>
        <w:t>年</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bCs w:val="0"/>
          <w:color w:val="auto"/>
          <w:szCs w:val="20"/>
          <w:highlight w:val="none"/>
        </w:rPr>
        <w:t>符合性分析</w:t>
      </w:r>
    </w:p>
    <w:p w14:paraId="36FFF858">
      <w:pPr>
        <w:spacing w:line="360" w:lineRule="auto"/>
        <w:ind w:firstLine="480" w:firstLineChars="200"/>
        <w:rPr>
          <w:rStyle w:val="103"/>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sz w:val="24"/>
          <w:highlight w:val="none"/>
          <w:lang w:eastAsia="zh-CN"/>
        </w:rPr>
        <w:t>《波密县全域旅游发展总体规划（2021-2030）》</w:t>
      </w:r>
      <w:r>
        <w:rPr>
          <w:rStyle w:val="103"/>
          <w:rFonts w:hint="default" w:ascii="Times New Roman" w:hAnsi="Times New Roman" w:cs="Times New Roman"/>
          <w:color w:val="auto"/>
          <w:highlight w:val="none"/>
          <w:lang w:val="en-US" w:eastAsia="zh-CN"/>
        </w:rPr>
        <w:t>总体定位：依托高原丰富的冰川山水和多样的人文历史景观，发挥318旅游线进藏商贸重镇的优势区位和品牌效应，坚持生态、原味、创新等理念，以旅游发展推动波密产业转型升级、城乡一体化建设；以重点项目为带动，形成旅游发展新格局，推动波密旅游全域化、融合化发展，打造以文化体验、民俗休闲、自然观光、特种旅游、创意手工、健康养生等核心功能于一体的文化体验和冰川生态休闲康养旅游目的地。</w:t>
      </w:r>
    </w:p>
    <w:p w14:paraId="3DBC66CC">
      <w:pPr>
        <w:spacing w:line="360" w:lineRule="auto"/>
        <w:ind w:firstLine="480" w:firstLineChars="200"/>
        <w:rPr>
          <w:rStyle w:val="103"/>
          <w:rFonts w:hint="default" w:ascii="Times New Roman" w:hAnsi="Times New Roman" w:cs="Times New Roman"/>
          <w:color w:val="auto"/>
          <w:highlight w:val="none"/>
          <w:lang w:val="en-US" w:eastAsia="zh-CN"/>
        </w:rPr>
      </w:pPr>
      <w:r>
        <w:rPr>
          <w:rStyle w:val="103"/>
          <w:rFonts w:hint="default" w:ascii="Times New Roman" w:hAnsi="Times New Roman" w:cs="Times New Roman"/>
          <w:color w:val="auto"/>
          <w:highlight w:val="none"/>
          <w:lang w:val="en-US" w:eastAsia="zh-CN"/>
        </w:rPr>
        <w:t>形象定位：藏王故里 冰川之乡</w:t>
      </w:r>
    </w:p>
    <w:p w14:paraId="5EB0125A">
      <w:pPr>
        <w:spacing w:line="360" w:lineRule="auto"/>
        <w:ind w:firstLine="480" w:firstLineChars="200"/>
        <w:rPr>
          <w:rStyle w:val="103"/>
          <w:rFonts w:hint="default" w:ascii="Times New Roman" w:hAnsi="Times New Roman" w:cs="Times New Roman"/>
          <w:color w:val="auto"/>
          <w:highlight w:val="none"/>
          <w:lang w:val="en-US" w:eastAsia="zh-CN"/>
        </w:rPr>
      </w:pPr>
      <w:r>
        <w:rPr>
          <w:rStyle w:val="103"/>
          <w:rFonts w:hint="default" w:ascii="Times New Roman" w:hAnsi="Times New Roman" w:cs="Times New Roman"/>
          <w:color w:val="auto"/>
          <w:highlight w:val="none"/>
          <w:lang w:val="en-US" w:eastAsia="zh-CN"/>
        </w:rPr>
        <w:t>空间结构：一心一轴四片区</w:t>
      </w:r>
    </w:p>
    <w:p w14:paraId="2B6AD057">
      <w:pPr>
        <w:spacing w:line="360" w:lineRule="auto"/>
        <w:ind w:firstLine="480" w:firstLineChars="200"/>
        <w:rPr>
          <w:rStyle w:val="103"/>
          <w:rFonts w:hint="default" w:ascii="Times New Roman" w:hAnsi="Times New Roman" w:cs="Times New Roman"/>
          <w:color w:val="auto"/>
          <w:highlight w:val="none"/>
          <w:lang w:val="en-US" w:eastAsia="zh-CN"/>
        </w:rPr>
      </w:pPr>
      <w:r>
        <w:rPr>
          <w:rStyle w:val="103"/>
          <w:rFonts w:hint="default" w:ascii="Times New Roman" w:hAnsi="Times New Roman" w:cs="Times New Roman"/>
          <w:color w:val="auto"/>
          <w:highlight w:val="none"/>
          <w:lang w:val="en-US" w:eastAsia="zh-CN"/>
        </w:rPr>
        <w:t>一心：波密县城建设成林芝市旅游次中心、旅游城市、东部门户，波密全域旅游发展核心，建设服务全县的波密旅游集散中心，打造全域旅游服务大本营。</w:t>
      </w:r>
    </w:p>
    <w:p w14:paraId="73224379">
      <w:pPr>
        <w:spacing w:line="360" w:lineRule="auto"/>
        <w:ind w:firstLine="480" w:firstLineChars="200"/>
        <w:rPr>
          <w:rStyle w:val="103"/>
          <w:rFonts w:hint="default" w:ascii="Times New Roman" w:hAnsi="Times New Roman" w:cs="Times New Roman"/>
          <w:color w:val="auto"/>
          <w:highlight w:val="none"/>
          <w:lang w:val="en-US" w:eastAsia="zh-CN"/>
        </w:rPr>
      </w:pPr>
      <w:r>
        <w:rPr>
          <w:rStyle w:val="103"/>
          <w:rFonts w:hint="default" w:ascii="Times New Roman" w:hAnsi="Times New Roman" w:cs="Times New Roman"/>
          <w:color w:val="auto"/>
          <w:highlight w:val="none"/>
          <w:lang w:val="en-US" w:eastAsia="zh-CN"/>
        </w:rPr>
        <w:t>一轴：以G318及沿岸为主要旅游发展轴，形成清晰的旅游优先发展轴线。</w:t>
      </w:r>
    </w:p>
    <w:p w14:paraId="5EF2568B">
      <w:pPr>
        <w:spacing w:line="360" w:lineRule="auto"/>
        <w:ind w:firstLine="480" w:firstLineChars="200"/>
        <w:rPr>
          <w:rStyle w:val="103"/>
          <w:rFonts w:hint="default" w:ascii="Times New Roman" w:hAnsi="Times New Roman" w:cs="Times New Roman"/>
          <w:color w:val="auto"/>
          <w:highlight w:val="none"/>
          <w:lang w:val="en-US" w:eastAsia="zh-CN"/>
        </w:rPr>
      </w:pPr>
      <w:r>
        <w:rPr>
          <w:rStyle w:val="103"/>
          <w:rFonts w:hint="default" w:ascii="Times New Roman" w:hAnsi="Times New Roman" w:cs="Times New Roman"/>
          <w:color w:val="auto"/>
          <w:highlight w:val="none"/>
          <w:lang w:val="en-US" w:eastAsia="zh-CN"/>
        </w:rPr>
        <w:t>四片区：藏韵风情文化体验区；冰川集群特种旅游观光区；醉美冰川游览区；易贡-八盖生态康养休闲区。</w:t>
      </w:r>
    </w:p>
    <w:p w14:paraId="1CADE23C">
      <w:pPr>
        <w:spacing w:line="360" w:lineRule="auto"/>
        <w:ind w:firstLine="480" w:firstLineChars="200"/>
        <w:rPr>
          <w:rStyle w:val="103"/>
          <w:rFonts w:hint="default" w:ascii="Times New Roman" w:hAnsi="Times New Roman" w:cs="Times New Roman"/>
          <w:color w:val="auto"/>
          <w:highlight w:val="none"/>
          <w:lang w:val="en-US" w:eastAsia="zh-CN"/>
        </w:rPr>
      </w:pPr>
      <w:r>
        <w:rPr>
          <w:rStyle w:val="103"/>
          <w:rFonts w:hint="default" w:ascii="Times New Roman" w:hAnsi="Times New Roman" w:cs="Times New Roman"/>
          <w:color w:val="auto"/>
          <w:highlight w:val="none"/>
          <w:lang w:val="en-US" w:eastAsia="zh-CN"/>
        </w:rPr>
        <w:t>《波密县全域旅游发展总体规划（2021-2030</w:t>
      </w:r>
      <w:r>
        <w:rPr>
          <w:rFonts w:hint="default" w:ascii="Times New Roman" w:hAnsi="Times New Roman" w:cs="Times New Roman"/>
          <w:color w:val="auto"/>
          <w:kern w:val="0"/>
          <w:sz w:val="24"/>
          <w:highlight w:val="none"/>
          <w:lang w:val="en-US" w:eastAsia="zh-CN"/>
        </w:rPr>
        <w:t>年</w:t>
      </w:r>
      <w:r>
        <w:rPr>
          <w:rStyle w:val="103"/>
          <w:rFonts w:hint="default" w:ascii="Times New Roman" w:hAnsi="Times New Roman" w:cs="Times New Roman"/>
          <w:color w:val="auto"/>
          <w:highlight w:val="none"/>
          <w:lang w:val="en-US" w:eastAsia="zh-CN"/>
        </w:rPr>
        <w:t>）》作为本次规划的上位规划，明确提出：岗云杉林应充分依托中国最美森林资源打造国家森林公园品牌，完善特色自驾营地、特色餐饮、停车场、游客中心、服务驿站和森林徒步、森林康养等设施建设。</w:t>
      </w:r>
    </w:p>
    <w:p w14:paraId="52DF0479">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lang w:val="en-US" w:eastAsia="zh-CN"/>
        </w:rPr>
        <w:t>本次规划严格按照《波密县全域旅游发展总体规划（2021-2030</w:t>
      </w:r>
      <w:r>
        <w:rPr>
          <w:rFonts w:hint="default" w:ascii="Times New Roman" w:hAnsi="Times New Roman" w:cs="Times New Roman"/>
          <w:color w:val="auto"/>
          <w:kern w:val="0"/>
          <w:sz w:val="24"/>
          <w:highlight w:val="none"/>
          <w:lang w:val="en-US" w:eastAsia="zh-CN"/>
        </w:rPr>
        <w:t>年</w:t>
      </w:r>
      <w:r>
        <w:rPr>
          <w:rStyle w:val="103"/>
          <w:rFonts w:hint="default" w:ascii="Times New Roman" w:hAnsi="Times New Roman" w:cs="Times New Roman"/>
          <w:color w:val="auto"/>
          <w:highlight w:val="none"/>
          <w:lang w:val="en-US" w:eastAsia="zh-CN"/>
        </w:rPr>
        <w:t>）》要求，充分依托中国最美森林资源打造国家森林公园品牌，完善特色自驾营地、特色餐饮、停车场、游客中心、服务驿站和森林徒步、森林康养等设施建设。确保</w:t>
      </w:r>
      <w:r>
        <w:rPr>
          <w:rStyle w:val="103"/>
          <w:rFonts w:hint="default" w:ascii="Times New Roman" w:hAnsi="Times New Roman" w:cs="Times New Roman"/>
          <w:color w:val="auto"/>
          <w:highlight w:val="none"/>
        </w:rPr>
        <w:t>规划与</w:t>
      </w:r>
      <w:r>
        <w:rPr>
          <w:rFonts w:hint="default" w:ascii="Times New Roman" w:hAnsi="Times New Roman" w:cs="Times New Roman"/>
          <w:color w:val="auto"/>
          <w:kern w:val="0"/>
          <w:sz w:val="24"/>
          <w:highlight w:val="none"/>
          <w:lang w:eastAsia="zh-CN"/>
        </w:rPr>
        <w:t>《波密县全域旅游发展总体规划（2021-2030</w:t>
      </w:r>
      <w:r>
        <w:rPr>
          <w:rFonts w:hint="default" w:ascii="Times New Roman" w:hAnsi="Times New Roman" w:cs="Times New Roman"/>
          <w:color w:val="auto"/>
          <w:kern w:val="0"/>
          <w:sz w:val="24"/>
          <w:highlight w:val="none"/>
          <w:lang w:val="en-US" w:eastAsia="zh-CN"/>
        </w:rPr>
        <w:t>年</w:t>
      </w:r>
      <w:r>
        <w:rPr>
          <w:rFonts w:hint="default" w:ascii="Times New Roman" w:hAnsi="Times New Roman" w:cs="Times New Roman"/>
          <w:color w:val="auto"/>
          <w:kern w:val="0"/>
          <w:sz w:val="24"/>
          <w:highlight w:val="none"/>
          <w:lang w:eastAsia="zh-CN"/>
        </w:rPr>
        <w:t>）》</w:t>
      </w:r>
      <w:r>
        <w:rPr>
          <w:rStyle w:val="103"/>
          <w:rFonts w:hint="default" w:ascii="Times New Roman" w:hAnsi="Times New Roman" w:cs="Times New Roman"/>
          <w:color w:val="auto"/>
          <w:highlight w:val="none"/>
        </w:rPr>
        <w:t>相符合。</w:t>
      </w:r>
    </w:p>
    <w:p w14:paraId="6216DF60">
      <w:pPr>
        <w:pStyle w:val="5"/>
        <w:spacing w:before="156" w:after="156"/>
        <w:rPr>
          <w:rFonts w:hint="default" w:ascii="Times New Roman" w:hAnsi="Times New Roman" w:cs="Times New Roman"/>
          <w:color w:val="auto"/>
          <w:highlight w:val="none"/>
        </w:rPr>
      </w:pPr>
      <w:r>
        <w:rPr>
          <w:rFonts w:hint="default" w:ascii="Times New Roman" w:hAnsi="Times New Roman" w:cs="Times New Roman"/>
          <w:bCs w:val="0"/>
          <w:color w:val="auto"/>
          <w:szCs w:val="20"/>
          <w:highlight w:val="none"/>
        </w:rPr>
        <w:t>《</w:t>
      </w:r>
      <w:r>
        <w:rPr>
          <w:rFonts w:hint="default" w:ascii="Times New Roman" w:hAnsi="Times New Roman" w:cs="Times New Roman"/>
          <w:bCs w:val="0"/>
          <w:color w:val="auto"/>
          <w:szCs w:val="20"/>
          <w:highlight w:val="none"/>
          <w:lang w:eastAsia="zh-CN"/>
        </w:rPr>
        <w:t>波密</w:t>
      </w:r>
      <w:r>
        <w:rPr>
          <w:rFonts w:hint="default" w:ascii="Times New Roman" w:hAnsi="Times New Roman" w:cs="Times New Roman"/>
          <w:bCs w:val="0"/>
          <w:color w:val="auto"/>
          <w:szCs w:val="20"/>
          <w:highlight w:val="none"/>
          <w:lang w:val="en-US" w:eastAsia="zh-CN"/>
        </w:rPr>
        <w:t>县</w:t>
      </w:r>
      <w:r>
        <w:rPr>
          <w:rFonts w:hint="default" w:ascii="Times New Roman" w:hAnsi="Times New Roman" w:cs="Times New Roman"/>
          <w:bCs w:val="0"/>
          <w:color w:val="auto"/>
          <w:szCs w:val="20"/>
          <w:highlight w:val="none"/>
        </w:rPr>
        <w:t>中心城区</w:t>
      </w:r>
      <w:r>
        <w:rPr>
          <w:rFonts w:hint="default" w:ascii="Times New Roman" w:hAnsi="Times New Roman" w:cs="Times New Roman"/>
          <w:bCs w:val="0"/>
          <w:color w:val="auto"/>
          <w:szCs w:val="20"/>
          <w:highlight w:val="none"/>
          <w:lang w:val="en-US" w:eastAsia="zh-CN"/>
        </w:rPr>
        <w:t>总体</w:t>
      </w:r>
      <w:r>
        <w:rPr>
          <w:rFonts w:hint="default" w:ascii="Times New Roman" w:hAnsi="Times New Roman" w:cs="Times New Roman"/>
          <w:bCs w:val="0"/>
          <w:color w:val="auto"/>
          <w:szCs w:val="20"/>
          <w:highlight w:val="none"/>
        </w:rPr>
        <w:t>规划</w:t>
      </w:r>
      <w:r>
        <w:rPr>
          <w:rFonts w:hint="default" w:ascii="Times New Roman" w:hAnsi="Times New Roman" w:cs="Times New Roman"/>
          <w:bCs w:val="0"/>
          <w:color w:val="auto"/>
          <w:szCs w:val="20"/>
          <w:highlight w:val="none"/>
          <w:lang w:eastAsia="zh-CN"/>
        </w:rPr>
        <w:t>（</w:t>
      </w:r>
      <w:r>
        <w:rPr>
          <w:rFonts w:hint="default" w:ascii="Times New Roman" w:hAnsi="Times New Roman" w:cs="Times New Roman"/>
          <w:bCs w:val="0"/>
          <w:color w:val="auto"/>
          <w:szCs w:val="20"/>
          <w:highlight w:val="none"/>
          <w:lang w:val="en-US" w:eastAsia="zh-CN"/>
        </w:rPr>
        <w:t>2021-2035年</w:t>
      </w:r>
      <w:r>
        <w:rPr>
          <w:rFonts w:hint="default" w:ascii="Times New Roman" w:hAnsi="Times New Roman" w:cs="Times New Roman"/>
          <w:bCs w:val="0"/>
          <w:color w:val="auto"/>
          <w:szCs w:val="20"/>
          <w:highlight w:val="none"/>
          <w:lang w:eastAsia="zh-CN"/>
        </w:rPr>
        <w:t>）</w:t>
      </w:r>
      <w:r>
        <w:rPr>
          <w:rFonts w:hint="default" w:ascii="Times New Roman" w:hAnsi="Times New Roman" w:cs="Times New Roman"/>
          <w:bCs w:val="0"/>
          <w:color w:val="auto"/>
          <w:szCs w:val="20"/>
          <w:highlight w:val="none"/>
        </w:rPr>
        <w:t>》符合性分析</w:t>
      </w:r>
    </w:p>
    <w:p w14:paraId="71BC2480">
      <w:pPr>
        <w:spacing w:line="360" w:lineRule="auto"/>
        <w:ind w:firstLine="480" w:firstLineChars="200"/>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《波密县中心城区总体规划（2021-2035年）》对</w:t>
      </w:r>
      <w:r>
        <w:rPr>
          <w:rStyle w:val="103"/>
          <w:rFonts w:hint="default" w:ascii="Times New Roman" w:hAnsi="Times New Roman" w:cs="Times New Roman"/>
          <w:color w:val="auto"/>
          <w:highlight w:val="none"/>
          <w:lang w:val="en-US" w:eastAsia="zh-CN"/>
        </w:rPr>
        <w:t>波密县</w:t>
      </w:r>
      <w:r>
        <w:rPr>
          <w:rStyle w:val="103"/>
          <w:rFonts w:hint="default" w:ascii="Times New Roman" w:hAnsi="Times New Roman" w:cs="Times New Roman"/>
          <w:color w:val="auto"/>
          <w:highlight w:val="none"/>
        </w:rPr>
        <w:t>中心城区土地利用性质进行了规划，根据和</w:t>
      </w:r>
      <w:r>
        <w:rPr>
          <w:rStyle w:val="103"/>
          <w:rFonts w:hint="default" w:ascii="Times New Roman" w:hAnsi="Times New Roman" w:cs="Times New Roman"/>
          <w:color w:val="auto"/>
          <w:highlight w:val="none"/>
          <w:lang w:eastAsia="zh-CN"/>
        </w:rPr>
        <w:t>岗云杉林</w:t>
      </w:r>
      <w:r>
        <w:rPr>
          <w:rStyle w:val="103"/>
          <w:rFonts w:hint="default" w:ascii="Times New Roman" w:hAnsi="Times New Roman" w:cs="Times New Roman"/>
          <w:color w:val="auto"/>
          <w:highlight w:val="none"/>
        </w:rPr>
        <w:t>旅游景区控制性详细规划进行对照，规划区在波密县中心城区总体规划范围外。故规划区需满足所在乡镇的总体规划，规划区的实施不违背《西藏</w:t>
      </w:r>
      <w:r>
        <w:rPr>
          <w:rStyle w:val="103"/>
          <w:rFonts w:hint="default" w:ascii="Times New Roman" w:hAnsi="Times New Roman" w:cs="Times New Roman"/>
          <w:color w:val="auto"/>
          <w:highlight w:val="none"/>
          <w:lang w:eastAsia="zh-CN"/>
        </w:rPr>
        <w:t>波密</w:t>
      </w:r>
      <w:r>
        <w:rPr>
          <w:rStyle w:val="103"/>
          <w:rFonts w:hint="default" w:ascii="Times New Roman" w:hAnsi="Times New Roman" w:cs="Times New Roman"/>
          <w:color w:val="auto"/>
          <w:highlight w:val="none"/>
        </w:rPr>
        <w:t>中心城区控制性详细规划》。</w:t>
      </w:r>
    </w:p>
    <w:p w14:paraId="5F3DC663">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与生态环境分区管控符合性分析</w:t>
      </w:r>
    </w:p>
    <w:p w14:paraId="58E88428">
      <w:pPr>
        <w:spacing w:line="360" w:lineRule="auto"/>
        <w:ind w:firstLine="480" w:firstLineChars="200"/>
        <w:rPr>
          <w:rStyle w:val="103"/>
          <w:rFonts w:hint="default" w:ascii="Times New Roman" w:hAnsi="Times New Roman" w:eastAsia="宋体" w:cs="Times New Roman"/>
          <w:color w:val="auto"/>
          <w:highlight w:val="none"/>
          <w:lang w:val="en-US" w:eastAsia="zh-CN"/>
        </w:rPr>
      </w:pPr>
      <w:r>
        <w:rPr>
          <w:rStyle w:val="103"/>
          <w:rFonts w:hint="default" w:ascii="Times New Roman" w:hAnsi="Times New Roman" w:eastAsia="宋体" w:cs="Times New Roman"/>
          <w:color w:val="auto"/>
          <w:highlight w:val="none"/>
          <w:lang w:val="en-US" w:eastAsia="zh-CN"/>
        </w:rPr>
        <w:t>建设项目的“生态环境分区管控”符合性分析可通过分析项目选址、选线、平面布置及建设、运行方案与环境管控单元及生态环境准入清单的符合性展开。</w:t>
      </w:r>
    </w:p>
    <w:p w14:paraId="73E09567">
      <w:pPr>
        <w:spacing w:line="360" w:lineRule="auto"/>
        <w:ind w:firstLine="480" w:firstLineChars="200"/>
        <w:rPr>
          <w:rStyle w:val="103"/>
          <w:rFonts w:hint="default" w:ascii="Times New Roman" w:hAnsi="Times New Roman" w:eastAsia="宋体" w:cs="Times New Roman"/>
          <w:color w:val="auto"/>
          <w:highlight w:val="none"/>
          <w:lang w:val="en-US" w:eastAsia="zh-CN"/>
        </w:rPr>
      </w:pPr>
      <w:r>
        <w:rPr>
          <w:rStyle w:val="103"/>
          <w:rFonts w:hint="default" w:ascii="Times New Roman" w:hAnsi="Times New Roman" w:eastAsia="宋体" w:cs="Times New Roman"/>
          <w:color w:val="auto"/>
          <w:highlight w:val="none"/>
          <w:lang w:val="en-US" w:eastAsia="zh-CN"/>
        </w:rPr>
        <w:t>优先保护单元主要包括生态保护红线、自然保护地、县级以上饮用水水源保护区、环境空气一类功能区等生态功能区域，是自治区生态保护的重点区域；重点管控单元主要包括产业园区、县级以上城镇中心城区及规划区、矿产资源储备区及开采区、水能重点开发河段、人文景区等开发强度高、污染物排放强度大的区域，以及环境问题相对集中的区域；一般管控单元为优先保护单元、重点管控单元以外的区域。</w:t>
      </w:r>
    </w:p>
    <w:p w14:paraId="4D66960A">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生态保护红线</w:t>
      </w:r>
    </w:p>
    <w:p w14:paraId="3C593FC1">
      <w:pPr>
        <w:spacing w:line="360" w:lineRule="auto"/>
        <w:ind w:firstLine="480" w:firstLineChars="200"/>
        <w:rPr>
          <w:rFonts w:hint="default" w:ascii="Times New Roman" w:hAnsi="Times New Roman" w:cs="Times New Roman" w:eastAsiaTheme="minorEastAsia"/>
          <w:bCs/>
          <w:color w:val="auto"/>
          <w:sz w:val="24"/>
          <w:highlight w:val="none"/>
          <w:lang w:val="zh-CN" w:eastAsia="zh-CN"/>
        </w:rPr>
      </w:pPr>
      <w:r>
        <w:rPr>
          <w:rFonts w:hint="default" w:ascii="Times New Roman" w:hAnsi="Times New Roman" w:cs="Times New Roman" w:eastAsiaTheme="minorEastAsia"/>
          <w:bCs/>
          <w:color w:val="auto"/>
          <w:sz w:val="24"/>
          <w:highlight w:val="none"/>
          <w:lang w:val="en-US" w:eastAsia="zh-CN"/>
        </w:rPr>
        <w:t>根据波密县自然资源和林业草原局关于《关于核实波密县岗云杉林旅游景区创建4A级规划范围的函》复函可知，规划范围涉及雅鲁藏布大峡谷国家级自然保护区、西藏嘎朗国家湿地公园，不涉及其他西藏林业自然保护区、风景名胜区、森林公园，详见咨询报告。规划范围涉及生态保护红线面积365.27公顷，详见波密县岗云杉林旅游景区创建4A级规划范围与生态保护红线套合图。根据《波密县岗云杉林旅游景区创建4A级规划“三线一单”项目定位分析报告，经核实，项目涉及生态保护红线。本项目空间冲突分析结果如下：</w:t>
      </w:r>
    </w:p>
    <w:p w14:paraId="18BB0ECD">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lang w:val="zh-CN"/>
        </w:rPr>
        <w:t>表</w:t>
      </w:r>
      <w:r>
        <w:rPr>
          <w:rFonts w:hint="default" w:ascii="Times New Roman" w:hAnsi="Times New Roman" w:eastAsia="黑体" w:cs="Times New Roman"/>
          <w:bCs/>
          <w:color w:val="auto"/>
          <w:kern w:val="0"/>
          <w:szCs w:val="21"/>
          <w:highlight w:val="none"/>
          <w:lang w:val="en-US" w:eastAsia="zh-CN"/>
        </w:rPr>
        <w:t>2.2-1</w:t>
      </w:r>
      <w:r>
        <w:rPr>
          <w:rFonts w:hint="default" w:ascii="Times New Roman" w:hAnsi="Times New Roman" w:eastAsia="黑体" w:cs="Times New Roman"/>
          <w:bCs/>
          <w:color w:val="auto"/>
          <w:kern w:val="0"/>
          <w:szCs w:val="21"/>
          <w:highlight w:val="none"/>
        </w:rPr>
        <w:t xml:space="preserve">  本项目与生态环境分区管控空间冲突分析结果一览表</w:t>
      </w:r>
    </w:p>
    <w:tbl>
      <w:tblPr>
        <w:tblStyle w:val="58"/>
        <w:tblW w:w="5000" w:type="pct"/>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48"/>
        <w:gridCol w:w="1123"/>
        <w:gridCol w:w="940"/>
        <w:gridCol w:w="3924"/>
        <w:gridCol w:w="2239"/>
      </w:tblGrid>
      <w:tr w14:paraId="38D3BE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jc w:val="center"/>
        </w:trPr>
        <w:tc>
          <w:tcPr>
            <w:tcW w:w="517" w:type="pct"/>
            <w:vAlign w:val="center"/>
          </w:tcPr>
          <w:p w14:paraId="14B3D0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612" w:type="pct"/>
            <w:vAlign w:val="center"/>
          </w:tcPr>
          <w:p w14:paraId="3BC87E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三线一单大类</w:t>
            </w:r>
          </w:p>
        </w:tc>
        <w:tc>
          <w:tcPr>
            <w:tcW w:w="512" w:type="pct"/>
            <w:vAlign w:val="center"/>
          </w:tcPr>
          <w:p w14:paraId="435B08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数据类型</w:t>
            </w:r>
          </w:p>
        </w:tc>
        <w:tc>
          <w:tcPr>
            <w:tcW w:w="2138" w:type="pct"/>
            <w:vAlign w:val="center"/>
          </w:tcPr>
          <w:p w14:paraId="1E8FFA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环境管控单元名称</w:t>
            </w:r>
          </w:p>
        </w:tc>
        <w:tc>
          <w:tcPr>
            <w:tcW w:w="1220" w:type="pct"/>
            <w:vAlign w:val="center"/>
          </w:tcPr>
          <w:p w14:paraId="012F56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管控单元类型</w:t>
            </w:r>
          </w:p>
        </w:tc>
      </w:tr>
      <w:tr w14:paraId="220CD4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restart"/>
            <w:vAlign w:val="center"/>
          </w:tcPr>
          <w:p w14:paraId="3D4329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restart"/>
            <w:vAlign w:val="center"/>
          </w:tcPr>
          <w:p w14:paraId="02AC5D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6286B8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610A8C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波密县水环境优先保护区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(ZH54042410009)</w:t>
            </w:r>
          </w:p>
        </w:tc>
        <w:tc>
          <w:tcPr>
            <w:tcW w:w="1220" w:type="pct"/>
            <w:vAlign w:val="center"/>
          </w:tcPr>
          <w:p w14:paraId="45EB03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环境管控单元优先保护单元</w:t>
            </w:r>
          </w:p>
        </w:tc>
      </w:tr>
      <w:tr w14:paraId="70E53E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009EA2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03E48F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3BD6C1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61A0A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西藏自治区林芝市波密县一般生态空间1</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(ZH54042410011)</w:t>
            </w:r>
          </w:p>
        </w:tc>
        <w:tc>
          <w:tcPr>
            <w:tcW w:w="1220" w:type="pct"/>
            <w:vAlign w:val="center"/>
          </w:tcPr>
          <w:p w14:paraId="327979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环境管控单元优先保护单元</w:t>
            </w:r>
          </w:p>
        </w:tc>
      </w:tr>
      <w:tr w14:paraId="0D399F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59E8B0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097010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6E1E38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08A385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西藏嘎朗国家级湿地自然公园</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(ZH54042410003)</w:t>
            </w:r>
          </w:p>
        </w:tc>
        <w:tc>
          <w:tcPr>
            <w:tcW w:w="1220" w:type="pct"/>
            <w:vAlign w:val="center"/>
          </w:tcPr>
          <w:p w14:paraId="6D57D7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环境管控单元优先保护单元</w:t>
            </w:r>
          </w:p>
        </w:tc>
      </w:tr>
      <w:tr w14:paraId="70DA1C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FF3CA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6176E8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4BD9E1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4344BF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西藏雅鲁藏布大峡谷国家级自然保护区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(ZH54042410002)</w:t>
            </w:r>
          </w:p>
        </w:tc>
        <w:tc>
          <w:tcPr>
            <w:tcW w:w="1220" w:type="pct"/>
            <w:vAlign w:val="center"/>
          </w:tcPr>
          <w:p w14:paraId="4EC171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环境管控单元优先保护单元</w:t>
            </w:r>
          </w:p>
        </w:tc>
      </w:tr>
      <w:tr w14:paraId="58B42A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5730E7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49A4B7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0CB624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4251A0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波密县水能资源开发河段</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(ZH54042420002)</w:t>
            </w:r>
          </w:p>
        </w:tc>
        <w:tc>
          <w:tcPr>
            <w:tcW w:w="1220" w:type="pct"/>
            <w:vAlign w:val="center"/>
          </w:tcPr>
          <w:p w14:paraId="3740EC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环境管控单元重点管控单元</w:t>
            </w:r>
          </w:p>
        </w:tc>
      </w:tr>
      <w:tr w14:paraId="3DE4BA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7E6A15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31633D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76821D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A936C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37C27C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一般管控单元</w:t>
            </w:r>
          </w:p>
        </w:tc>
      </w:tr>
      <w:tr w14:paraId="023C41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1B439D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restart"/>
            <w:vAlign w:val="center"/>
          </w:tcPr>
          <w:p w14:paraId="2FBB9B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512" w:type="pct"/>
            <w:vAlign w:val="center"/>
          </w:tcPr>
          <w:p w14:paraId="4EA940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2050A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西藏自治区林芝市波密县一般生态空间3</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(YS5404241130003)</w:t>
            </w:r>
          </w:p>
        </w:tc>
        <w:tc>
          <w:tcPr>
            <w:tcW w:w="1220" w:type="pct"/>
            <w:vAlign w:val="center"/>
          </w:tcPr>
          <w:p w14:paraId="335DDF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生态空间优先保护区</w:t>
            </w:r>
          </w:p>
        </w:tc>
      </w:tr>
      <w:tr w14:paraId="0F0788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39DDFE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2D382C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512" w:type="pct"/>
            <w:vAlign w:val="center"/>
          </w:tcPr>
          <w:p w14:paraId="2D6E9E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62E765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西藏自治区林芝市波密县其他区域</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(YS5404243110001)</w:t>
            </w:r>
          </w:p>
        </w:tc>
        <w:tc>
          <w:tcPr>
            <w:tcW w:w="1220" w:type="pct"/>
            <w:vAlign w:val="center"/>
          </w:tcPr>
          <w:p w14:paraId="64D538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生态空间一般管控区</w:t>
            </w:r>
          </w:p>
        </w:tc>
      </w:tr>
      <w:tr w14:paraId="77E786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5DBDE0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06FF14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512" w:type="pct"/>
            <w:vAlign w:val="center"/>
          </w:tcPr>
          <w:p w14:paraId="0E8CF6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3C6CA9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西藏嘎朗国家级湿地自然公园</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(YS5404241110003)</w:t>
            </w:r>
          </w:p>
        </w:tc>
        <w:tc>
          <w:tcPr>
            <w:tcW w:w="1220" w:type="pct"/>
            <w:vAlign w:val="center"/>
          </w:tcPr>
          <w:p w14:paraId="5D6CAB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生态空间优先保护区</w:t>
            </w:r>
          </w:p>
        </w:tc>
      </w:tr>
      <w:tr w14:paraId="70A627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5D972A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3E4851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512" w:type="pct"/>
            <w:vAlign w:val="center"/>
          </w:tcPr>
          <w:p w14:paraId="0BC48C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35F936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西藏雅鲁藏布大峡谷国家级自然保护区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(YS5404241110002)</w:t>
            </w:r>
          </w:p>
        </w:tc>
        <w:tc>
          <w:tcPr>
            <w:tcW w:w="1220" w:type="pct"/>
            <w:vAlign w:val="center"/>
          </w:tcPr>
          <w:p w14:paraId="02EBB9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生态空间优先保护区</w:t>
            </w:r>
          </w:p>
        </w:tc>
      </w:tr>
      <w:tr w14:paraId="433D2E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44CCAB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restart"/>
            <w:vAlign w:val="center"/>
          </w:tcPr>
          <w:p w14:paraId="20E9F6E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4C8811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37E947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帕隆藏布-波密县-优先保护区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(YS5404241210002)</w:t>
            </w:r>
          </w:p>
        </w:tc>
        <w:tc>
          <w:tcPr>
            <w:tcW w:w="1220" w:type="pct"/>
            <w:vAlign w:val="center"/>
          </w:tcPr>
          <w:p w14:paraId="2C88EE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水环境优先保护区</w:t>
            </w:r>
          </w:p>
        </w:tc>
      </w:tr>
      <w:tr w14:paraId="64DDF0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371BE1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3F709F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01A163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0E8A73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056A84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水环境工业污染重点管控区</w:t>
            </w:r>
          </w:p>
        </w:tc>
      </w:tr>
      <w:tr w14:paraId="79918F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39F6B5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097970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2D562FB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1C6E41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4218D0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水环境城镇生活污染重点管控区</w:t>
            </w:r>
          </w:p>
        </w:tc>
      </w:tr>
      <w:tr w14:paraId="2821EA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7A550B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3D7677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680F5A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65F894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6C3ACB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水环境农业污染重点管控区</w:t>
            </w:r>
          </w:p>
        </w:tc>
      </w:tr>
      <w:tr w14:paraId="2EFA82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764EB8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66C778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05B8CD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707D49B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55DC5C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水环境一般管控区</w:t>
            </w:r>
          </w:p>
        </w:tc>
      </w:tr>
      <w:tr w14:paraId="3BC754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B9D715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113751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431124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5D8EEA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西藏嘎朗国家级湿地公园</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(YS5404241310002)</w:t>
            </w:r>
          </w:p>
        </w:tc>
        <w:tc>
          <w:tcPr>
            <w:tcW w:w="1220" w:type="pct"/>
            <w:vAlign w:val="center"/>
          </w:tcPr>
          <w:p w14:paraId="4A19A6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大气环境优先保护区</w:t>
            </w:r>
          </w:p>
        </w:tc>
      </w:tr>
      <w:tr w14:paraId="1AD5FE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FC650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48DEB5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600AFED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1BF805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西藏雅鲁藏布大峡谷国家级自然保护区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(YS5404241310003)</w:t>
            </w:r>
          </w:p>
        </w:tc>
        <w:tc>
          <w:tcPr>
            <w:tcW w:w="1220" w:type="pct"/>
            <w:vAlign w:val="center"/>
          </w:tcPr>
          <w:p w14:paraId="7247DE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大气环境优先保护区</w:t>
            </w:r>
          </w:p>
        </w:tc>
      </w:tr>
      <w:tr w14:paraId="0BFFAE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0B3FA7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2DB272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20780B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8D980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70CCEC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大气环境高排放重点管控区</w:t>
            </w:r>
          </w:p>
        </w:tc>
      </w:tr>
      <w:tr w14:paraId="79A8C6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771467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12A9B4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06D826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15314E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7A7337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大气环境布局敏感重点管控区</w:t>
            </w:r>
          </w:p>
        </w:tc>
      </w:tr>
      <w:tr w14:paraId="0FBA99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776501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58A68D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3BC6FB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1AD0DC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4DB833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大气环境弱扩散重点管控区</w:t>
            </w:r>
          </w:p>
        </w:tc>
      </w:tr>
      <w:tr w14:paraId="1C89DE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18497A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37E08D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06095F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56B685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72291A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大气环境受体敏感重点管控区</w:t>
            </w:r>
          </w:p>
        </w:tc>
      </w:tr>
      <w:tr w14:paraId="54F314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719296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461D55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757C4A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02EA51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波密县大气环境管控其他区域</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(YS5404243310001)</w:t>
            </w:r>
          </w:p>
        </w:tc>
        <w:tc>
          <w:tcPr>
            <w:tcW w:w="1220" w:type="pct"/>
            <w:vAlign w:val="center"/>
          </w:tcPr>
          <w:p w14:paraId="34E0A7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大气环境一般管控区</w:t>
            </w:r>
          </w:p>
        </w:tc>
      </w:tr>
      <w:tr w14:paraId="671202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3078E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689FDF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0217FA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36B2D1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未进行冲突分析(无数据支撑)</w:t>
            </w:r>
          </w:p>
        </w:tc>
        <w:tc>
          <w:tcPr>
            <w:tcW w:w="1220" w:type="pct"/>
            <w:vAlign w:val="center"/>
          </w:tcPr>
          <w:p w14:paraId="49EB00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农用地优先保护区</w:t>
            </w:r>
          </w:p>
        </w:tc>
      </w:tr>
      <w:tr w14:paraId="0C1A69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CB08F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7EF4D8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0762F0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1599E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未进行冲突分析(无数据支撑)</w:t>
            </w:r>
          </w:p>
        </w:tc>
        <w:tc>
          <w:tcPr>
            <w:tcW w:w="1220" w:type="pct"/>
            <w:vAlign w:val="center"/>
          </w:tcPr>
          <w:p w14:paraId="652B8E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农用地污染风险重点管控区</w:t>
            </w:r>
          </w:p>
        </w:tc>
      </w:tr>
      <w:tr w14:paraId="534CBB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834FD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409D16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123B89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8025B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未进行冲突分析(无数据支撑)</w:t>
            </w:r>
          </w:p>
        </w:tc>
        <w:tc>
          <w:tcPr>
            <w:tcW w:w="1220" w:type="pct"/>
            <w:vAlign w:val="center"/>
          </w:tcPr>
          <w:p w14:paraId="604823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建设用地污染风险重点管控区</w:t>
            </w:r>
          </w:p>
        </w:tc>
      </w:tr>
      <w:tr w14:paraId="0EF7A9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082D99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Merge w:val="continue"/>
            <w:vAlign w:val="center"/>
          </w:tcPr>
          <w:p w14:paraId="26BD6A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35A6AF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68DDE4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未进行冲突分析(无数据支撑)</w:t>
            </w:r>
          </w:p>
        </w:tc>
        <w:tc>
          <w:tcPr>
            <w:tcW w:w="1220" w:type="pct"/>
            <w:vAlign w:val="center"/>
          </w:tcPr>
          <w:p w14:paraId="05D89F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土壤污染风险一般管控区</w:t>
            </w:r>
          </w:p>
        </w:tc>
      </w:tr>
      <w:tr w14:paraId="10CDAA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4B08EF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默认数据0</w:t>
            </w:r>
          </w:p>
        </w:tc>
        <w:tc>
          <w:tcPr>
            <w:tcW w:w="612" w:type="pct"/>
            <w:vAlign w:val="center"/>
          </w:tcPr>
          <w:p w14:paraId="444444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w:t>
            </w:r>
          </w:p>
        </w:tc>
        <w:tc>
          <w:tcPr>
            <w:tcW w:w="512" w:type="pct"/>
            <w:vAlign w:val="center"/>
          </w:tcPr>
          <w:p w14:paraId="278AE2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005175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西藏嘎朗国家级湿地自然公园，帕隆藏布自然保护区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(YS5404241610001)</w:t>
            </w:r>
          </w:p>
        </w:tc>
        <w:tc>
          <w:tcPr>
            <w:tcW w:w="1220" w:type="pct"/>
            <w:vAlign w:val="center"/>
          </w:tcPr>
          <w:p w14:paraId="776FFB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江河湖库岸线优先保护区</w:t>
            </w:r>
          </w:p>
        </w:tc>
      </w:tr>
      <w:tr w14:paraId="7620AB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restart"/>
            <w:vAlign w:val="center"/>
          </w:tcPr>
          <w:p w14:paraId="2B6F26D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restart"/>
            <w:vAlign w:val="center"/>
          </w:tcPr>
          <w:p w14:paraId="69EB7F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73C08F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7F4700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波密县国家一级公益林</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(ZH54042410005)</w:t>
            </w:r>
          </w:p>
        </w:tc>
        <w:tc>
          <w:tcPr>
            <w:tcW w:w="1220" w:type="pct"/>
            <w:vAlign w:val="center"/>
          </w:tcPr>
          <w:p w14:paraId="73444A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环境管控单元优先保护单元</w:t>
            </w:r>
          </w:p>
        </w:tc>
      </w:tr>
      <w:tr w14:paraId="4F5A22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6A52D5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68F1CA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41D324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14D454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波密县水环境优先保护区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(ZH54042410009)</w:t>
            </w:r>
          </w:p>
        </w:tc>
        <w:tc>
          <w:tcPr>
            <w:tcW w:w="1220" w:type="pct"/>
            <w:vAlign w:val="center"/>
          </w:tcPr>
          <w:p w14:paraId="065AA1D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环境管控单元优先保护单元</w:t>
            </w:r>
          </w:p>
        </w:tc>
      </w:tr>
      <w:tr w14:paraId="526250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3C586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08EF9E9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3C0E32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365595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西藏自治区林芝市波密县一般生态空间1</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(ZH54042410011)</w:t>
            </w:r>
          </w:p>
        </w:tc>
        <w:tc>
          <w:tcPr>
            <w:tcW w:w="1220" w:type="pct"/>
            <w:vAlign w:val="center"/>
          </w:tcPr>
          <w:p w14:paraId="5752BD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环境管控单元优先保护单元</w:t>
            </w:r>
          </w:p>
        </w:tc>
      </w:tr>
      <w:tr w14:paraId="5F1EAB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0F222B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10BA8B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68CD8D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4CF662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西藏嘎朗国家级湿地自然公园</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(ZH54042410003)</w:t>
            </w:r>
          </w:p>
        </w:tc>
        <w:tc>
          <w:tcPr>
            <w:tcW w:w="1220" w:type="pct"/>
            <w:vAlign w:val="center"/>
          </w:tcPr>
          <w:p w14:paraId="709F94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环境管控单元优先保护单元</w:t>
            </w:r>
          </w:p>
        </w:tc>
      </w:tr>
      <w:tr w14:paraId="2DB66E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7406AF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485E58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50C156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11BE1B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西藏雅鲁藏布大峡谷国家级自然保护区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(ZH54042410002)</w:t>
            </w:r>
          </w:p>
        </w:tc>
        <w:tc>
          <w:tcPr>
            <w:tcW w:w="1220" w:type="pct"/>
            <w:vAlign w:val="center"/>
          </w:tcPr>
          <w:p w14:paraId="5B371C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环境管控单元优先保护单元</w:t>
            </w:r>
          </w:p>
        </w:tc>
      </w:tr>
      <w:tr w14:paraId="09F8C6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03B42F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138220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03A1BC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080CA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波密县水能资源开发河段</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(ZH54042420002)</w:t>
            </w:r>
          </w:p>
        </w:tc>
        <w:tc>
          <w:tcPr>
            <w:tcW w:w="1220" w:type="pct"/>
            <w:vAlign w:val="center"/>
          </w:tcPr>
          <w:p w14:paraId="5E0294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环境管控单元重点管控单元</w:t>
            </w:r>
          </w:p>
        </w:tc>
      </w:tr>
      <w:tr w14:paraId="41A1A0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1EF93E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772BED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w:t>
            </w:r>
          </w:p>
        </w:tc>
        <w:tc>
          <w:tcPr>
            <w:tcW w:w="512" w:type="pct"/>
            <w:vAlign w:val="center"/>
          </w:tcPr>
          <w:p w14:paraId="7FF4F8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09E173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波密县一般管控区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(ZH54042430001)</w:t>
            </w:r>
          </w:p>
        </w:tc>
        <w:tc>
          <w:tcPr>
            <w:tcW w:w="1220" w:type="pct"/>
            <w:vAlign w:val="center"/>
          </w:tcPr>
          <w:p w14:paraId="3E0959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环境管控单元一般管控单元</w:t>
            </w:r>
          </w:p>
        </w:tc>
      </w:tr>
      <w:tr w14:paraId="2D0452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76863F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restart"/>
            <w:vAlign w:val="center"/>
          </w:tcPr>
          <w:p w14:paraId="28D7EA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512" w:type="pct"/>
            <w:vAlign w:val="center"/>
          </w:tcPr>
          <w:p w14:paraId="032854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A1113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西藏自治区林芝市波密县一般生态空间3</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(YS5404241130003)</w:t>
            </w:r>
          </w:p>
        </w:tc>
        <w:tc>
          <w:tcPr>
            <w:tcW w:w="1220" w:type="pct"/>
            <w:vAlign w:val="center"/>
          </w:tcPr>
          <w:p w14:paraId="64FB92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生态空间优先保护区</w:t>
            </w:r>
          </w:p>
        </w:tc>
      </w:tr>
      <w:tr w14:paraId="73031B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7AF0FA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70CBFC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512" w:type="pct"/>
            <w:vAlign w:val="center"/>
          </w:tcPr>
          <w:p w14:paraId="195648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650D6E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西藏自治区林芝市波密县其他区域</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(YS5404243110001)</w:t>
            </w:r>
          </w:p>
        </w:tc>
        <w:tc>
          <w:tcPr>
            <w:tcW w:w="1220" w:type="pct"/>
            <w:vAlign w:val="center"/>
          </w:tcPr>
          <w:p w14:paraId="75E1B7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生态空间一般管控区</w:t>
            </w:r>
          </w:p>
        </w:tc>
      </w:tr>
      <w:tr w14:paraId="34A3C8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0E5E86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1A5FCB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512" w:type="pct"/>
            <w:vAlign w:val="center"/>
          </w:tcPr>
          <w:p w14:paraId="402F1D7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390541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波密县国家一级公益林</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(YS5404241110005)</w:t>
            </w:r>
          </w:p>
        </w:tc>
        <w:tc>
          <w:tcPr>
            <w:tcW w:w="1220" w:type="pct"/>
            <w:vAlign w:val="center"/>
          </w:tcPr>
          <w:p w14:paraId="33FD8C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生态空间优先保护区</w:t>
            </w:r>
          </w:p>
        </w:tc>
      </w:tr>
      <w:tr w14:paraId="75B18D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49E7E3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1FCB38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512" w:type="pct"/>
            <w:vAlign w:val="center"/>
          </w:tcPr>
          <w:p w14:paraId="004BC9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A9AEF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西藏嘎朗国家级湿地自然公园</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(YS5404241110003)</w:t>
            </w:r>
          </w:p>
        </w:tc>
        <w:tc>
          <w:tcPr>
            <w:tcW w:w="1220" w:type="pct"/>
            <w:vAlign w:val="center"/>
          </w:tcPr>
          <w:p w14:paraId="6BE73F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生态空间优先保护区</w:t>
            </w:r>
          </w:p>
        </w:tc>
      </w:tr>
      <w:tr w14:paraId="17647B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3F7FDA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2DF671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512" w:type="pct"/>
            <w:vAlign w:val="center"/>
          </w:tcPr>
          <w:p w14:paraId="4BA505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5003F2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西藏雅鲁藏布大峡谷国家级自然保护区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(YS5404241110002)</w:t>
            </w:r>
          </w:p>
        </w:tc>
        <w:tc>
          <w:tcPr>
            <w:tcW w:w="1220" w:type="pct"/>
            <w:vAlign w:val="center"/>
          </w:tcPr>
          <w:p w14:paraId="67F62D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生态空间优先保护区</w:t>
            </w:r>
          </w:p>
        </w:tc>
      </w:tr>
      <w:tr w14:paraId="787168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01FEAB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restart"/>
            <w:vAlign w:val="center"/>
          </w:tcPr>
          <w:p w14:paraId="616FAF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503EB3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488864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帕隆藏布-波密县-优先保护区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(YS5404241210002)</w:t>
            </w:r>
          </w:p>
        </w:tc>
        <w:tc>
          <w:tcPr>
            <w:tcW w:w="1220" w:type="pct"/>
            <w:vAlign w:val="center"/>
          </w:tcPr>
          <w:p w14:paraId="497519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水环境优先保护区</w:t>
            </w:r>
          </w:p>
        </w:tc>
      </w:tr>
      <w:tr w14:paraId="598254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195EBE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364241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0C6AFB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5FD388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1E94DA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水环境工业污染重点管控区</w:t>
            </w:r>
          </w:p>
        </w:tc>
      </w:tr>
      <w:tr w14:paraId="1B311E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1B188C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3A083E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6E210B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061394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351F21C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水环境城镇生活污染重点管控区</w:t>
            </w:r>
          </w:p>
        </w:tc>
      </w:tr>
      <w:tr w14:paraId="706E53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1AE03D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10598A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6CC6B5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188CC3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5CF5DF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水环境农业污染重点管控区</w:t>
            </w:r>
          </w:p>
        </w:tc>
      </w:tr>
      <w:tr w14:paraId="6D5B19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DFDB1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2B3D3D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57290B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1CF783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帕隆藏布-波密县-一般管控区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(YS5404243210002)</w:t>
            </w:r>
          </w:p>
        </w:tc>
        <w:tc>
          <w:tcPr>
            <w:tcW w:w="1220" w:type="pct"/>
            <w:vAlign w:val="center"/>
          </w:tcPr>
          <w:p w14:paraId="2EF3ED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水环境一般管控区</w:t>
            </w:r>
          </w:p>
        </w:tc>
      </w:tr>
      <w:tr w14:paraId="37348D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13369A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2F9191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597C1E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47904B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西藏嘎朗国家级湿地公园</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(YS5404241310002)</w:t>
            </w:r>
          </w:p>
        </w:tc>
        <w:tc>
          <w:tcPr>
            <w:tcW w:w="1220" w:type="pct"/>
            <w:vAlign w:val="center"/>
          </w:tcPr>
          <w:p w14:paraId="1A2AFA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大气环境优先保护区</w:t>
            </w:r>
          </w:p>
        </w:tc>
      </w:tr>
      <w:tr w14:paraId="60630E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3F0BD2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0B5881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6D4C72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5B155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西藏雅鲁藏布大峡谷国家级自然保护区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(YS5404241310003)</w:t>
            </w:r>
          </w:p>
        </w:tc>
        <w:tc>
          <w:tcPr>
            <w:tcW w:w="1220" w:type="pct"/>
            <w:vAlign w:val="center"/>
          </w:tcPr>
          <w:p w14:paraId="4F5295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大气环境优先保护区</w:t>
            </w:r>
          </w:p>
        </w:tc>
      </w:tr>
      <w:tr w14:paraId="15497C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73CD26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6D54E5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33D07B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141D6A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0AF035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大气环境高排放重点管控区</w:t>
            </w:r>
          </w:p>
        </w:tc>
      </w:tr>
      <w:tr w14:paraId="70FD89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3BCD2C0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57CCA1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3C5A9D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5578C6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0F3FD6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大气环境布局敏感重点管控区</w:t>
            </w:r>
          </w:p>
        </w:tc>
      </w:tr>
      <w:tr w14:paraId="053EC7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5736F4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6D5FD1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0063264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12234B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108DC6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大气环境弱扩散重点管控区</w:t>
            </w:r>
          </w:p>
        </w:tc>
      </w:tr>
      <w:tr w14:paraId="57F887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43D09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782DED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214A8A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7E4F4F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不冲突</w:t>
            </w:r>
          </w:p>
        </w:tc>
        <w:tc>
          <w:tcPr>
            <w:tcW w:w="1220" w:type="pct"/>
            <w:vAlign w:val="center"/>
          </w:tcPr>
          <w:p w14:paraId="3BA0F4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大气环境受体敏感重点管控区</w:t>
            </w:r>
          </w:p>
        </w:tc>
      </w:tr>
      <w:tr w14:paraId="62629C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04E82B3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4CCACA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57BD4E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2271CF9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波密县大气环境管控其他区域</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(YS5404243310001)</w:t>
            </w:r>
          </w:p>
        </w:tc>
        <w:tc>
          <w:tcPr>
            <w:tcW w:w="1220" w:type="pct"/>
            <w:vAlign w:val="center"/>
          </w:tcPr>
          <w:p w14:paraId="32CB57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大气环境一般管控区</w:t>
            </w:r>
          </w:p>
        </w:tc>
      </w:tr>
      <w:tr w14:paraId="38C076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5C2AAD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31143D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5407A67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45DF1B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未进行冲突分析(无数据支撑)</w:t>
            </w:r>
          </w:p>
        </w:tc>
        <w:tc>
          <w:tcPr>
            <w:tcW w:w="1220" w:type="pct"/>
            <w:vAlign w:val="center"/>
          </w:tcPr>
          <w:p w14:paraId="4AE324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农用地优先保护区</w:t>
            </w:r>
          </w:p>
        </w:tc>
      </w:tr>
      <w:tr w14:paraId="39FCAD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61FA5B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071ACC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04A8ED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0CBFC3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未进行冲突分析(无数据支撑)</w:t>
            </w:r>
          </w:p>
        </w:tc>
        <w:tc>
          <w:tcPr>
            <w:tcW w:w="1220" w:type="pct"/>
            <w:vAlign w:val="center"/>
          </w:tcPr>
          <w:p w14:paraId="52EBBC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农用地污染风险重点管控区</w:t>
            </w:r>
          </w:p>
        </w:tc>
      </w:tr>
      <w:tr w14:paraId="1A6B68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94F82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52CF53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3A7229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6267DC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未进行冲突分析(无数据支撑)</w:t>
            </w:r>
          </w:p>
        </w:tc>
        <w:tc>
          <w:tcPr>
            <w:tcW w:w="1220" w:type="pct"/>
            <w:vAlign w:val="center"/>
          </w:tcPr>
          <w:p w14:paraId="04151A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建设用地污染风险重点管控区</w:t>
            </w:r>
          </w:p>
        </w:tc>
      </w:tr>
      <w:tr w14:paraId="591AF6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2EEE6A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440E29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512" w:type="pct"/>
            <w:vAlign w:val="center"/>
          </w:tcPr>
          <w:p w14:paraId="692EFAC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00A5F2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未进行冲突分析(无数据支撑)</w:t>
            </w:r>
          </w:p>
        </w:tc>
        <w:tc>
          <w:tcPr>
            <w:tcW w:w="1220" w:type="pct"/>
            <w:vAlign w:val="center"/>
          </w:tcPr>
          <w:p w14:paraId="6BB019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土壤污染风险一般管控区</w:t>
            </w:r>
          </w:p>
        </w:tc>
      </w:tr>
      <w:tr w14:paraId="4BD369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3BA4BB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restart"/>
            <w:vAlign w:val="center"/>
          </w:tcPr>
          <w:p w14:paraId="49A826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w:t>
            </w:r>
          </w:p>
        </w:tc>
        <w:tc>
          <w:tcPr>
            <w:tcW w:w="512" w:type="pct"/>
            <w:vAlign w:val="center"/>
          </w:tcPr>
          <w:p w14:paraId="1FF6C88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7E059C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西藏嘎朗国家级湿地自然公园，帕隆藏布自然保护区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(YS5404241610001)</w:t>
            </w:r>
          </w:p>
        </w:tc>
        <w:tc>
          <w:tcPr>
            <w:tcW w:w="1220" w:type="pct"/>
            <w:vAlign w:val="center"/>
          </w:tcPr>
          <w:p w14:paraId="12852D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江河湖库岸线优先保护区</w:t>
            </w:r>
          </w:p>
        </w:tc>
      </w:tr>
      <w:tr w14:paraId="11E5D3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17" w:type="pct"/>
            <w:vMerge w:val="continue"/>
            <w:vAlign w:val="center"/>
          </w:tcPr>
          <w:p w14:paraId="61DAE7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默认数据1</w:t>
            </w:r>
          </w:p>
        </w:tc>
        <w:tc>
          <w:tcPr>
            <w:tcW w:w="612" w:type="pct"/>
            <w:vMerge w:val="continue"/>
            <w:vAlign w:val="center"/>
          </w:tcPr>
          <w:p w14:paraId="2491DF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w:t>
            </w:r>
          </w:p>
        </w:tc>
        <w:tc>
          <w:tcPr>
            <w:tcW w:w="512" w:type="pct"/>
            <w:vAlign w:val="center"/>
          </w:tcPr>
          <w:p w14:paraId="3DE2E3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面数据</w:t>
            </w:r>
          </w:p>
        </w:tc>
        <w:tc>
          <w:tcPr>
            <w:tcW w:w="2138" w:type="pct"/>
            <w:vAlign w:val="center"/>
          </w:tcPr>
          <w:p w14:paraId="470974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西藏嘎朗国家级湿地自然公园，帕隆藏布自然保护区</w:t>
            </w:r>
            <w:r>
              <w:rPr>
                <w:rFonts w:hint="default" w:ascii="Times New Roman" w:hAnsi="Times New Roman" w:eastAsia="宋体" w:cs="Times New Roman"/>
                <w:color w:val="auto"/>
                <w:sz w:val="21"/>
                <w:szCs w:val="21"/>
                <w:highlight w:val="none"/>
              </w:rPr>
              <w:br w:type="textWrapping"/>
            </w:r>
            <w:r>
              <w:rPr>
                <w:rFonts w:hint="default" w:ascii="Times New Roman" w:hAnsi="Times New Roman" w:eastAsia="宋体" w:cs="Times New Roman"/>
                <w:color w:val="auto"/>
                <w:sz w:val="21"/>
                <w:szCs w:val="21"/>
                <w:highlight w:val="none"/>
              </w:rPr>
              <w:t>(YS5404241610002)</w:t>
            </w:r>
          </w:p>
        </w:tc>
        <w:tc>
          <w:tcPr>
            <w:tcW w:w="1220" w:type="pct"/>
            <w:vAlign w:val="center"/>
          </w:tcPr>
          <w:p w14:paraId="1EA1D9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江河湖库岸线优先保护区</w:t>
            </w:r>
          </w:p>
        </w:tc>
      </w:tr>
    </w:tbl>
    <w:p w14:paraId="6D48513A">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环境质量底线</w:t>
      </w:r>
    </w:p>
    <w:p w14:paraId="39362040">
      <w:pPr>
        <w:widowControl/>
        <w:spacing w:line="360" w:lineRule="auto"/>
        <w:ind w:firstLine="420"/>
        <w:jc w:val="left"/>
        <w:rPr>
          <w:rFonts w:hint="default" w:ascii="Times New Roman" w:hAnsi="Times New Roman" w:cs="Times New Roman"/>
          <w:bCs/>
          <w:color w:val="auto"/>
          <w:kern w:val="0"/>
          <w:sz w:val="24"/>
          <w:szCs w:val="20"/>
          <w:highlight w:val="none"/>
        </w:rPr>
      </w:pPr>
      <w:r>
        <w:rPr>
          <w:rFonts w:hint="default" w:ascii="Times New Roman" w:hAnsi="Times New Roman" w:cs="Times New Roman"/>
          <w:bCs/>
          <w:color w:val="auto"/>
          <w:kern w:val="0"/>
          <w:sz w:val="24"/>
          <w:szCs w:val="20"/>
          <w:highlight w:val="none"/>
        </w:rPr>
        <w:t>（1）水环境质量底线</w:t>
      </w:r>
    </w:p>
    <w:p w14:paraId="5D50E126">
      <w:pPr>
        <w:widowControl/>
        <w:spacing w:line="360" w:lineRule="auto"/>
        <w:ind w:firstLine="420"/>
        <w:jc w:val="left"/>
        <w:rPr>
          <w:rFonts w:hint="default" w:ascii="Times New Roman" w:hAnsi="Times New Roman" w:eastAsia="宋体" w:cs="Times New Roman"/>
          <w:bCs/>
          <w:color w:val="auto"/>
          <w:kern w:val="0"/>
          <w:sz w:val="24"/>
          <w:szCs w:val="20"/>
          <w:highlight w:val="none"/>
          <w:lang w:eastAsia="zh-CN"/>
        </w:rPr>
      </w:pPr>
      <w:r>
        <w:rPr>
          <w:rFonts w:hint="default" w:ascii="Times New Roman" w:hAnsi="Times New Roman" w:eastAsia="宋体" w:cs="Times New Roman"/>
          <w:color w:val="auto"/>
          <w:sz w:val="24"/>
          <w:highlight w:val="none"/>
        </w:rPr>
        <w:t>规划区涉及主要地表水体为</w:t>
      </w:r>
      <w:r>
        <w:rPr>
          <w:rFonts w:hint="default" w:ascii="Times New Roman" w:hAnsi="Times New Roman" w:eastAsia="宋体" w:cs="Times New Roman"/>
          <w:color w:val="auto"/>
          <w:sz w:val="24"/>
          <w:highlight w:val="none"/>
          <w:lang w:val="en-US" w:eastAsia="zh-CN"/>
        </w:rPr>
        <w:t>帕隆藏布及其支流</w:t>
      </w:r>
      <w:r>
        <w:rPr>
          <w:rFonts w:hint="default" w:ascii="Times New Roman" w:hAnsi="Times New Roman" w:eastAsia="宋体" w:cs="Times New Roman"/>
          <w:color w:val="auto"/>
          <w:sz w:val="24"/>
          <w:highlight w:val="none"/>
        </w:rPr>
        <w:t>，属于水环境优先保护区</w:t>
      </w:r>
      <w:r>
        <w:rPr>
          <w:rFonts w:hint="default" w:ascii="Times New Roman" w:hAnsi="Times New Roman" w:eastAsia="宋体" w:cs="Times New Roman"/>
          <w:color w:val="auto"/>
          <w:sz w:val="24"/>
          <w:highlight w:val="none"/>
          <w:lang w:val="en-US" w:eastAsia="zh-CN"/>
        </w:rPr>
        <w:t>与</w:t>
      </w:r>
      <w:r>
        <w:rPr>
          <w:rFonts w:hint="default" w:ascii="Times New Roman" w:hAnsi="Times New Roman" w:eastAsia="宋体" w:cs="Times New Roman"/>
          <w:color w:val="auto"/>
          <w:sz w:val="24"/>
          <w:highlight w:val="none"/>
        </w:rPr>
        <w:t>水环境一般管控区，水质目</w:t>
      </w:r>
      <w:r>
        <w:rPr>
          <w:rFonts w:hint="default" w:ascii="Times New Roman" w:hAnsi="Times New Roman" w:cs="Times New Roman"/>
          <w:bCs/>
          <w:color w:val="auto"/>
          <w:kern w:val="0"/>
          <w:sz w:val="24"/>
          <w:szCs w:val="20"/>
          <w:highlight w:val="none"/>
        </w:rPr>
        <w:t>标为</w:t>
      </w:r>
      <w:r>
        <w:rPr>
          <w:rFonts w:hint="default" w:ascii="Times New Roman" w:hAnsi="Times New Roman" w:eastAsia="宋体" w:cs="Times New Roman"/>
          <w:color w:val="auto"/>
          <w:sz w:val="24"/>
          <w:highlight w:val="none"/>
        </w:rPr>
        <w:t>Ⅱ</w:t>
      </w:r>
      <w:r>
        <w:rPr>
          <w:rFonts w:hint="default" w:ascii="Times New Roman" w:hAnsi="Times New Roman" w:cs="Times New Roman"/>
          <w:bCs/>
          <w:color w:val="auto"/>
          <w:kern w:val="0"/>
          <w:sz w:val="24"/>
          <w:szCs w:val="20"/>
          <w:highlight w:val="none"/>
        </w:rPr>
        <w:t>类。根据监测资料，</w:t>
      </w:r>
      <w:r>
        <w:rPr>
          <w:rFonts w:hint="default" w:ascii="Times New Roman" w:hAnsi="Times New Roman" w:eastAsia="宋体" w:cs="Times New Roman"/>
          <w:color w:val="auto"/>
          <w:sz w:val="24"/>
          <w:highlight w:val="none"/>
          <w:lang w:val="en-US" w:eastAsia="zh-CN"/>
        </w:rPr>
        <w:t>帕隆藏布</w:t>
      </w:r>
      <w:r>
        <w:rPr>
          <w:rFonts w:hint="default" w:ascii="Times New Roman" w:hAnsi="Times New Roman" w:cs="Times New Roman"/>
          <w:bCs/>
          <w:color w:val="auto"/>
          <w:kern w:val="0"/>
          <w:sz w:val="24"/>
          <w:szCs w:val="20"/>
          <w:highlight w:val="none"/>
        </w:rPr>
        <w:t>水质能满足</w:t>
      </w:r>
      <w:r>
        <w:rPr>
          <w:rFonts w:hint="default" w:ascii="Times New Roman" w:hAnsi="Times New Roman" w:cs="Times New Roman"/>
          <w:color w:val="auto"/>
          <w:sz w:val="24"/>
          <w:highlight w:val="none"/>
        </w:rPr>
        <w:t>《地表水环境质量标准》（GB3838-2002）</w:t>
      </w:r>
      <w:r>
        <w:rPr>
          <w:rFonts w:hint="default" w:ascii="Times New Roman" w:hAnsi="Times New Roman" w:eastAsia="宋体" w:cs="Times New Roman"/>
          <w:color w:val="auto"/>
          <w:kern w:val="0"/>
          <w:sz w:val="24"/>
          <w:highlight w:val="none"/>
        </w:rPr>
        <w:t>Ⅱ</w:t>
      </w:r>
      <w:r>
        <w:rPr>
          <w:rFonts w:hint="default" w:ascii="Times New Roman" w:hAnsi="Times New Roman" w:cs="Times New Roman"/>
          <w:color w:val="auto"/>
          <w:sz w:val="24"/>
          <w:highlight w:val="none"/>
        </w:rPr>
        <w:t>类标准</w:t>
      </w:r>
      <w:r>
        <w:rPr>
          <w:rFonts w:hint="default" w:ascii="Times New Roman" w:hAnsi="Times New Roman" w:cs="Times New Roman"/>
          <w:color w:val="auto"/>
          <w:sz w:val="24"/>
          <w:highlight w:val="none"/>
          <w:lang w:eastAsia="zh-CN"/>
        </w:rPr>
        <w:t>。</w:t>
      </w:r>
    </w:p>
    <w:p w14:paraId="3DB0F723">
      <w:pPr>
        <w:widowControl/>
        <w:spacing w:line="360" w:lineRule="auto"/>
        <w:ind w:firstLine="420"/>
        <w:jc w:val="left"/>
        <w:rPr>
          <w:rFonts w:hint="default" w:ascii="Times New Roman" w:hAnsi="Times New Roman" w:cs="Times New Roman"/>
          <w:b/>
          <w:bCs/>
          <w:color w:val="auto"/>
          <w:kern w:val="0"/>
          <w:sz w:val="24"/>
          <w:szCs w:val="20"/>
          <w:highlight w:val="none"/>
        </w:rPr>
      </w:pPr>
      <w:r>
        <w:rPr>
          <w:rFonts w:hint="default" w:ascii="Times New Roman" w:hAnsi="Times New Roman" w:cs="Times New Roman"/>
          <w:bCs/>
          <w:color w:val="auto"/>
          <w:kern w:val="0"/>
          <w:sz w:val="24"/>
          <w:szCs w:val="20"/>
          <w:highlight w:val="none"/>
        </w:rPr>
        <w:t>本规划为景区开发规划，规划排水体制为雨污分流制，污水分散收集</w:t>
      </w:r>
      <w:r>
        <w:rPr>
          <w:rFonts w:hint="default" w:ascii="Times New Roman" w:hAnsi="Times New Roman" w:cs="Times New Roman"/>
          <w:bCs/>
          <w:color w:val="auto"/>
          <w:kern w:val="0"/>
          <w:sz w:val="24"/>
          <w:szCs w:val="20"/>
          <w:highlight w:val="none"/>
          <w:lang w:val="en-US" w:eastAsia="zh-CN"/>
        </w:rPr>
        <w:t>后</w:t>
      </w:r>
      <w:r>
        <w:rPr>
          <w:rFonts w:hint="default" w:ascii="Times New Roman" w:hAnsi="Times New Roman" w:cs="Times New Roman"/>
          <w:bCs/>
          <w:color w:val="auto"/>
          <w:kern w:val="0"/>
          <w:sz w:val="24"/>
          <w:szCs w:val="20"/>
          <w:highlight w:val="none"/>
        </w:rPr>
        <w:t>进入</w:t>
      </w:r>
      <w:r>
        <w:rPr>
          <w:rFonts w:hint="default" w:ascii="Times New Roman" w:hAnsi="Times New Roman" w:cs="Times New Roman"/>
          <w:bCs/>
          <w:color w:val="auto"/>
          <w:kern w:val="0"/>
          <w:sz w:val="24"/>
          <w:szCs w:val="20"/>
          <w:highlight w:val="none"/>
          <w:lang w:val="en-US" w:eastAsia="zh-CN"/>
        </w:rPr>
        <w:t>各个区域配套的污水处理设施处理后用作周边耕地、林草地施肥</w:t>
      </w:r>
      <w:r>
        <w:rPr>
          <w:rFonts w:hint="default" w:ascii="Times New Roman" w:hAnsi="Times New Roman" w:cs="Times New Roman"/>
          <w:bCs/>
          <w:color w:val="auto"/>
          <w:kern w:val="0"/>
          <w:sz w:val="24"/>
          <w:szCs w:val="20"/>
          <w:highlight w:val="none"/>
        </w:rPr>
        <w:t>；雨水分区，就近排放。规划景区主要废水为生活污水，通过</w:t>
      </w:r>
      <w:r>
        <w:rPr>
          <w:rFonts w:hint="default" w:ascii="Times New Roman" w:hAnsi="Times New Roman" w:cs="Times New Roman"/>
          <w:bCs/>
          <w:color w:val="auto"/>
          <w:kern w:val="0"/>
          <w:sz w:val="24"/>
          <w:szCs w:val="20"/>
          <w:highlight w:val="none"/>
          <w:lang w:val="en-US" w:eastAsia="zh-CN"/>
        </w:rPr>
        <w:t>收集处理后不外排</w:t>
      </w:r>
      <w:r>
        <w:rPr>
          <w:rFonts w:hint="default" w:ascii="Times New Roman" w:hAnsi="Times New Roman" w:cs="Times New Roman"/>
          <w:bCs/>
          <w:color w:val="auto"/>
          <w:kern w:val="0"/>
          <w:sz w:val="24"/>
          <w:szCs w:val="20"/>
          <w:highlight w:val="none"/>
        </w:rPr>
        <w:t>，对</w:t>
      </w:r>
      <w:r>
        <w:rPr>
          <w:rFonts w:hint="default" w:ascii="Times New Roman" w:hAnsi="Times New Roman" w:cs="Times New Roman"/>
          <w:bCs/>
          <w:color w:val="auto"/>
          <w:kern w:val="0"/>
          <w:sz w:val="24"/>
          <w:szCs w:val="20"/>
          <w:highlight w:val="none"/>
          <w:lang w:val="en-US" w:eastAsia="zh-CN"/>
        </w:rPr>
        <w:t>帕隆藏布（及其支流</w:t>
      </w:r>
      <w:r>
        <w:rPr>
          <w:rFonts w:hint="default" w:ascii="Times New Roman" w:hAnsi="Times New Roman" w:cs="Times New Roman"/>
          <w:bCs/>
          <w:color w:val="auto"/>
          <w:kern w:val="0"/>
          <w:sz w:val="24"/>
          <w:szCs w:val="20"/>
          <w:highlight w:val="none"/>
        </w:rPr>
        <w:t>的水环境质量影响较小，其水质可以继续保持</w:t>
      </w:r>
      <w:r>
        <w:rPr>
          <w:rFonts w:hint="default" w:ascii="Times New Roman" w:hAnsi="Times New Roman" w:eastAsia="宋体" w:cs="Times New Roman"/>
          <w:color w:val="auto"/>
          <w:sz w:val="24"/>
          <w:highlight w:val="none"/>
        </w:rPr>
        <w:t>Ⅱ</w:t>
      </w:r>
      <w:r>
        <w:rPr>
          <w:rFonts w:hint="default" w:ascii="Times New Roman" w:hAnsi="Times New Roman" w:cs="Times New Roman"/>
          <w:bCs/>
          <w:color w:val="auto"/>
          <w:kern w:val="0"/>
          <w:sz w:val="24"/>
          <w:szCs w:val="20"/>
          <w:highlight w:val="none"/>
        </w:rPr>
        <w:t>类水质，其水域功能也不会发生变化。因此，本规划符合水环境质量底线及管控要求。</w:t>
      </w:r>
    </w:p>
    <w:p w14:paraId="5AA884D3">
      <w:pPr>
        <w:widowControl/>
        <w:spacing w:line="360" w:lineRule="auto"/>
        <w:ind w:firstLine="420"/>
        <w:jc w:val="left"/>
        <w:rPr>
          <w:rFonts w:hint="default" w:ascii="Times New Roman" w:hAnsi="Times New Roman" w:cs="Times New Roman"/>
          <w:bCs/>
          <w:color w:val="auto"/>
          <w:kern w:val="0"/>
          <w:sz w:val="24"/>
          <w:szCs w:val="20"/>
          <w:highlight w:val="none"/>
        </w:rPr>
      </w:pPr>
      <w:r>
        <w:rPr>
          <w:rFonts w:hint="default" w:ascii="Times New Roman" w:hAnsi="Times New Roman" w:cs="Times New Roman"/>
          <w:bCs/>
          <w:color w:val="auto"/>
          <w:kern w:val="0"/>
          <w:sz w:val="24"/>
          <w:szCs w:val="20"/>
          <w:highlight w:val="none"/>
        </w:rPr>
        <w:t>（2）大气环境质量底线</w:t>
      </w:r>
    </w:p>
    <w:p w14:paraId="7C790550">
      <w:pPr>
        <w:widowControl/>
        <w:spacing w:line="360" w:lineRule="auto"/>
        <w:ind w:firstLine="420"/>
        <w:jc w:val="left"/>
        <w:rPr>
          <w:rFonts w:hint="default" w:ascii="Times New Roman" w:hAnsi="Times New Roman" w:cs="Times New Roman"/>
          <w:bCs/>
          <w:color w:val="auto"/>
          <w:kern w:val="0"/>
          <w:sz w:val="24"/>
          <w:szCs w:val="20"/>
          <w:highlight w:val="none"/>
        </w:rPr>
      </w:pPr>
      <w:r>
        <w:rPr>
          <w:rFonts w:hint="default" w:ascii="Times New Roman" w:hAnsi="Times New Roman" w:cs="Times New Roman"/>
          <w:bCs/>
          <w:color w:val="auto"/>
          <w:kern w:val="0"/>
          <w:sz w:val="24"/>
          <w:szCs w:val="20"/>
          <w:highlight w:val="none"/>
        </w:rPr>
        <w:t>规划区为环境空气一类功能区，属于大气环境优先保护区</w:t>
      </w:r>
      <w:r>
        <w:rPr>
          <w:rFonts w:hint="default" w:ascii="Times New Roman" w:hAnsi="Times New Roman" w:cs="Times New Roman"/>
          <w:bCs/>
          <w:color w:val="auto"/>
          <w:kern w:val="0"/>
          <w:sz w:val="24"/>
          <w:szCs w:val="20"/>
          <w:highlight w:val="none"/>
          <w:lang w:val="en-US" w:eastAsia="zh-CN"/>
        </w:rPr>
        <w:t>与大气环境一般管控区</w:t>
      </w:r>
      <w:r>
        <w:rPr>
          <w:rFonts w:hint="default" w:ascii="Times New Roman" w:hAnsi="Times New Roman" w:cs="Times New Roman"/>
          <w:bCs/>
          <w:color w:val="auto"/>
          <w:kern w:val="0"/>
          <w:sz w:val="24"/>
          <w:szCs w:val="20"/>
          <w:highlight w:val="none"/>
        </w:rPr>
        <w:t>，根据监测资料可知，</w:t>
      </w:r>
      <w:r>
        <w:rPr>
          <w:rFonts w:hint="default" w:ascii="Times New Roman" w:hAnsi="Times New Roman" w:cs="Times New Roman"/>
          <w:bCs/>
          <w:color w:val="auto"/>
          <w:kern w:val="0"/>
          <w:sz w:val="24"/>
          <w:szCs w:val="20"/>
          <w:highlight w:val="none"/>
          <w:lang w:val="en-US" w:eastAsia="zh-CN"/>
        </w:rPr>
        <w:t>规划</w:t>
      </w:r>
      <w:r>
        <w:rPr>
          <w:rFonts w:hint="default" w:ascii="Times New Roman" w:hAnsi="Times New Roman" w:cs="Times New Roman"/>
          <w:bCs/>
          <w:color w:val="auto"/>
          <w:kern w:val="0"/>
          <w:sz w:val="24"/>
          <w:szCs w:val="20"/>
          <w:highlight w:val="none"/>
        </w:rPr>
        <w:t>区环境空气质量能满足</w:t>
      </w:r>
      <w:r>
        <w:rPr>
          <w:rFonts w:hint="default" w:ascii="Times New Roman" w:hAnsi="Times New Roman" w:cs="Times New Roman"/>
          <w:bCs/>
          <w:color w:val="auto"/>
          <w:kern w:val="0"/>
          <w:sz w:val="24"/>
          <w:szCs w:val="20"/>
          <w:highlight w:val="none"/>
          <w:lang w:eastAsia="zh-CN"/>
        </w:rPr>
        <w:t>《环境空气质量标准》（GB3095-2026）</w:t>
      </w:r>
      <w:r>
        <w:rPr>
          <w:rFonts w:hint="default" w:ascii="Times New Roman" w:hAnsi="Times New Roman" w:cs="Times New Roman"/>
          <w:bCs/>
          <w:color w:val="auto"/>
          <w:kern w:val="0"/>
          <w:sz w:val="24"/>
          <w:szCs w:val="20"/>
          <w:highlight w:val="none"/>
        </w:rPr>
        <w:t>一级标准的要求，</w:t>
      </w:r>
      <w:r>
        <w:rPr>
          <w:rFonts w:hint="default" w:ascii="Times New Roman" w:hAnsi="Times New Roman" w:cs="Times New Roman"/>
          <w:bCs/>
          <w:color w:val="auto"/>
          <w:kern w:val="0"/>
          <w:sz w:val="24"/>
          <w:szCs w:val="20"/>
          <w:highlight w:val="none"/>
          <w:lang w:val="en-US" w:eastAsia="zh-CN"/>
        </w:rPr>
        <w:t>规划</w:t>
      </w:r>
      <w:r>
        <w:rPr>
          <w:rFonts w:hint="default" w:ascii="Times New Roman" w:hAnsi="Times New Roman" w:cs="Times New Roman"/>
          <w:bCs/>
          <w:color w:val="auto"/>
          <w:kern w:val="0"/>
          <w:sz w:val="24"/>
          <w:szCs w:val="20"/>
          <w:highlight w:val="none"/>
        </w:rPr>
        <w:t>区环境空气质量现状良好，能够达到一类功能区要求。</w:t>
      </w:r>
    </w:p>
    <w:p w14:paraId="0635A150">
      <w:pPr>
        <w:widowControl/>
        <w:spacing w:line="360" w:lineRule="auto"/>
        <w:ind w:firstLine="420"/>
        <w:jc w:val="left"/>
        <w:rPr>
          <w:rFonts w:hint="default" w:ascii="Times New Roman" w:hAnsi="Times New Roman" w:cs="Times New Roman"/>
          <w:bCs/>
          <w:color w:val="auto"/>
          <w:kern w:val="0"/>
          <w:sz w:val="24"/>
          <w:szCs w:val="20"/>
          <w:highlight w:val="none"/>
        </w:rPr>
      </w:pPr>
      <w:r>
        <w:rPr>
          <w:rFonts w:hint="default" w:ascii="Times New Roman" w:hAnsi="Times New Roman" w:cs="Times New Roman"/>
          <w:bCs/>
          <w:color w:val="auto"/>
          <w:kern w:val="0"/>
          <w:sz w:val="24"/>
          <w:szCs w:val="20"/>
          <w:highlight w:val="none"/>
        </w:rPr>
        <w:t>本规划为景区开发规划，属于旅游行业，不属于产业政策明令禁止或淘汰的产业及工艺，也无高耗能、高污染和高排放项目。规划实施后，</w:t>
      </w:r>
      <w:r>
        <w:rPr>
          <w:rFonts w:hint="default" w:ascii="Times New Roman" w:hAnsi="Times New Roman" w:cs="Times New Roman"/>
          <w:color w:val="auto"/>
          <w:kern w:val="0"/>
          <w:sz w:val="24"/>
          <w:highlight w:val="none"/>
        </w:rPr>
        <w:t>主要的大气污染负荷来源于规划区人口、旅游经济带来的生活源和交通源，大气污染物源强小，对区域大气环境的影响较小，不会影响区域大气环境质量的保持和保护目标的落实。因此，本规划符合大气环境质量底线及管控要求。</w:t>
      </w:r>
    </w:p>
    <w:p w14:paraId="5FCB2182">
      <w:pPr>
        <w:widowControl/>
        <w:spacing w:line="360" w:lineRule="auto"/>
        <w:ind w:firstLine="420"/>
        <w:jc w:val="left"/>
        <w:rPr>
          <w:rFonts w:hint="default" w:ascii="Times New Roman" w:hAnsi="Times New Roman" w:cs="Times New Roman"/>
          <w:bCs/>
          <w:color w:val="auto"/>
          <w:kern w:val="0"/>
          <w:sz w:val="24"/>
          <w:szCs w:val="20"/>
          <w:highlight w:val="none"/>
        </w:rPr>
      </w:pPr>
      <w:r>
        <w:rPr>
          <w:rFonts w:hint="default" w:ascii="Times New Roman" w:hAnsi="Times New Roman" w:cs="Times New Roman"/>
          <w:bCs/>
          <w:color w:val="auto"/>
          <w:kern w:val="0"/>
          <w:sz w:val="24"/>
          <w:szCs w:val="20"/>
          <w:highlight w:val="none"/>
        </w:rPr>
        <w:t>（3）土壤环境风险防控底线</w:t>
      </w:r>
    </w:p>
    <w:p w14:paraId="31194126">
      <w:pPr>
        <w:widowControl/>
        <w:spacing w:line="360" w:lineRule="auto"/>
        <w:ind w:firstLine="420"/>
        <w:rPr>
          <w:rFonts w:hint="default" w:ascii="Times New Roman" w:hAnsi="Times New Roman" w:cs="Times New Roman"/>
          <w:bCs/>
          <w:color w:val="auto"/>
          <w:kern w:val="0"/>
          <w:sz w:val="24"/>
          <w:szCs w:val="20"/>
          <w:highlight w:val="none"/>
        </w:rPr>
      </w:pPr>
      <w:r>
        <w:rPr>
          <w:rFonts w:hint="default" w:ascii="Times New Roman" w:hAnsi="Times New Roman" w:cs="Times New Roman"/>
          <w:bCs/>
          <w:color w:val="auto"/>
          <w:kern w:val="0"/>
          <w:sz w:val="24"/>
          <w:szCs w:val="20"/>
          <w:highlight w:val="none"/>
        </w:rPr>
        <w:t>根据现状监测可知，规划区建设用地土壤环境质量能达到《土壤环境质量  建设用地土壤污染风险管控标准（试行）》（GB36600-2018）第</w:t>
      </w:r>
      <w:r>
        <w:rPr>
          <w:rFonts w:hint="default" w:ascii="Times New Roman" w:hAnsi="Times New Roman" w:cs="Times New Roman"/>
          <w:bCs/>
          <w:color w:val="auto"/>
          <w:kern w:val="0"/>
          <w:sz w:val="24"/>
          <w:szCs w:val="20"/>
          <w:highlight w:val="none"/>
          <w:lang w:val="en-US" w:eastAsia="zh-CN"/>
        </w:rPr>
        <w:t>一</w:t>
      </w:r>
      <w:r>
        <w:rPr>
          <w:rFonts w:hint="default" w:ascii="Times New Roman" w:hAnsi="Times New Roman" w:cs="Times New Roman"/>
          <w:bCs/>
          <w:color w:val="auto"/>
          <w:kern w:val="0"/>
          <w:sz w:val="24"/>
          <w:szCs w:val="20"/>
          <w:highlight w:val="none"/>
        </w:rPr>
        <w:t>类用地土壤污染风险筛选值</w:t>
      </w:r>
      <w:r>
        <w:rPr>
          <w:rFonts w:hint="default" w:ascii="Times New Roman" w:hAnsi="Times New Roman" w:cs="Times New Roman"/>
          <w:bCs/>
          <w:color w:val="auto"/>
          <w:kern w:val="0"/>
          <w:sz w:val="24"/>
          <w:szCs w:val="20"/>
          <w:highlight w:val="none"/>
          <w:lang w:val="en-US" w:eastAsia="zh-CN"/>
        </w:rPr>
        <w:t>和《土壤环境质量农用地土壤污染风险管控标准（试行）》（GB15618-2018）中风险筛选值</w:t>
      </w:r>
      <w:r>
        <w:rPr>
          <w:rFonts w:hint="default" w:ascii="Times New Roman" w:hAnsi="Times New Roman" w:cs="Times New Roman"/>
          <w:bCs/>
          <w:color w:val="auto"/>
          <w:kern w:val="0"/>
          <w:sz w:val="24"/>
          <w:szCs w:val="20"/>
          <w:highlight w:val="none"/>
        </w:rPr>
        <w:t>，规划区土壤环境质量现状良好。</w:t>
      </w:r>
    </w:p>
    <w:p w14:paraId="532BF167">
      <w:pPr>
        <w:widowControl/>
        <w:spacing w:line="360" w:lineRule="auto"/>
        <w:ind w:firstLine="420"/>
        <w:rPr>
          <w:rFonts w:hint="default" w:ascii="Times New Roman" w:hAnsi="Times New Roman" w:cs="Times New Roman"/>
          <w:bCs/>
          <w:color w:val="auto"/>
          <w:kern w:val="0"/>
          <w:sz w:val="24"/>
          <w:szCs w:val="20"/>
          <w:highlight w:val="none"/>
        </w:rPr>
      </w:pPr>
      <w:r>
        <w:rPr>
          <w:rFonts w:hint="default" w:ascii="Times New Roman" w:hAnsi="Times New Roman" w:cs="Times New Roman"/>
          <w:bCs/>
          <w:color w:val="auto"/>
          <w:kern w:val="0"/>
          <w:sz w:val="24"/>
          <w:szCs w:val="20"/>
          <w:highlight w:val="none"/>
        </w:rPr>
        <w:t>本规划为景区开发规划，没有对土壤产生重大影响的项目，也无涉及重金属、持久性有机物等有毒有害污染物工业企业进驻，土壤环境风险小。同时规划不占用规划区范围内的农田，对景区的农田影响小。因此，本规划符合土壤环境风险防控底线及管控要求。</w:t>
      </w:r>
    </w:p>
    <w:p w14:paraId="4ACF7AE4">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资源利用上线</w:t>
      </w:r>
    </w:p>
    <w:p w14:paraId="39CE330E">
      <w:pPr>
        <w:widowControl/>
        <w:spacing w:line="360" w:lineRule="auto"/>
        <w:ind w:firstLine="42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资源利用上线是指按照自然资源资产“只能增值、不能贬值”的原则，以保障生态安全和改善环境质量为目的，参考自然资源资产负债表，结合自然资源开发利用效率，提出的分区域分阶段的资源开发利用总量、强度、效率等上线管控要求。</w:t>
      </w:r>
    </w:p>
    <w:p w14:paraId="18CABE3E">
      <w:pPr>
        <w:widowControl/>
        <w:spacing w:line="360" w:lineRule="auto"/>
        <w:ind w:firstLine="42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（1）土地资源</w:t>
      </w:r>
    </w:p>
    <w:p w14:paraId="3CC2E8E1">
      <w:pPr>
        <w:widowControl/>
        <w:spacing w:line="360" w:lineRule="auto"/>
        <w:ind w:firstLine="42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区部分规划道路和基础设施建成后占用土地的使用功能发生变化，开发成为较高经济效益、社会效益、生态保护效益的旅游景区，使土地功能多样化，提高了土地产出，占用土地的潜能价值得到开发；旅游业的发展带动当地经济的发展；但是随着景区开发的不断深入，规划区内的人工设施面积将不断增加，与自然景观协调等方面也会出现矛盾，体现在土地利用上，就会出现自然植被用地、农林用地与建设用地的矛盾，使得土地开发建设模式受到限制。本次旅游开发建设中以贯彻“保护中开发，开发促保护”的科学发展观，以不破坏规划区生态环境为前提，合理进行土地利用，人工景观力求达到协调一致。</w:t>
      </w:r>
    </w:p>
    <w:p w14:paraId="72E8D5E6">
      <w:pPr>
        <w:widowControl/>
        <w:spacing w:line="360" w:lineRule="auto"/>
        <w:ind w:firstLine="42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（2）水资源</w:t>
      </w:r>
    </w:p>
    <w:p w14:paraId="0E12DF1D">
      <w:pPr>
        <w:widowControl/>
        <w:spacing w:line="360" w:lineRule="auto"/>
        <w:ind w:firstLine="420"/>
        <w:jc w:val="left"/>
        <w:rPr>
          <w:rFonts w:hint="default" w:ascii="Times New Roman" w:hAnsi="Times New Roman" w:cs="Times New Roman"/>
          <w:color w:val="auto"/>
          <w:kern w:val="0"/>
          <w:sz w:val="24"/>
          <w:highlight w:val="none"/>
        </w:rPr>
      </w:pPr>
      <w:r>
        <w:rPr>
          <w:rFonts w:hint="default" w:ascii="Times New Roman" w:hAnsi="Times New Roman" w:cs="Times New Roman"/>
          <w:bCs/>
          <w:color w:val="auto"/>
          <w:kern w:val="0"/>
          <w:sz w:val="24"/>
          <w:szCs w:val="20"/>
          <w:highlight w:val="none"/>
          <w:lang w:val="en-US" w:eastAsia="zh-CN"/>
        </w:rPr>
        <w:t>规划区</w:t>
      </w:r>
      <w:r>
        <w:rPr>
          <w:rFonts w:hint="default" w:ascii="Times New Roman" w:hAnsi="Times New Roman" w:cs="Times New Roman"/>
          <w:bCs/>
          <w:color w:val="auto"/>
          <w:kern w:val="0"/>
          <w:sz w:val="24"/>
          <w:szCs w:val="20"/>
          <w:highlight w:val="none"/>
        </w:rPr>
        <w:t>属于</w:t>
      </w:r>
      <w:r>
        <w:rPr>
          <w:rFonts w:hint="default" w:ascii="Times New Roman" w:hAnsi="Times New Roman" w:eastAsia="宋体" w:cs="Times New Roman"/>
          <w:color w:val="auto"/>
          <w:sz w:val="24"/>
          <w:highlight w:val="none"/>
        </w:rPr>
        <w:t>水环境优先保护区</w:t>
      </w:r>
      <w:r>
        <w:rPr>
          <w:rFonts w:hint="default" w:ascii="Times New Roman" w:hAnsi="Times New Roman" w:eastAsia="宋体" w:cs="Times New Roman"/>
          <w:color w:val="auto"/>
          <w:sz w:val="24"/>
          <w:highlight w:val="none"/>
          <w:lang w:val="en-US" w:eastAsia="zh-CN"/>
        </w:rPr>
        <w:t>与</w:t>
      </w:r>
      <w:r>
        <w:rPr>
          <w:rFonts w:hint="default" w:ascii="Times New Roman" w:hAnsi="Times New Roman" w:eastAsia="宋体" w:cs="Times New Roman"/>
          <w:color w:val="auto"/>
          <w:sz w:val="24"/>
          <w:highlight w:val="none"/>
        </w:rPr>
        <w:t>水环境一般管控区</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岗云杉林</w:t>
      </w:r>
      <w:r>
        <w:rPr>
          <w:rFonts w:hint="default" w:ascii="Times New Roman" w:hAnsi="Times New Roman" w:cs="Times New Roman"/>
          <w:color w:val="auto"/>
          <w:kern w:val="0"/>
          <w:sz w:val="24"/>
          <w:highlight w:val="none"/>
          <w:lang w:eastAsia="zh-CN"/>
        </w:rPr>
        <w:t>景区</w:t>
      </w:r>
      <w:r>
        <w:rPr>
          <w:rFonts w:hint="default" w:ascii="Times New Roman" w:hAnsi="Times New Roman" w:cs="Times New Roman"/>
          <w:color w:val="auto"/>
          <w:kern w:val="0"/>
          <w:sz w:val="24"/>
          <w:highlight w:val="none"/>
        </w:rPr>
        <w:t>主要河流为</w:t>
      </w:r>
      <w:r>
        <w:rPr>
          <w:rFonts w:hint="default" w:ascii="Times New Roman" w:hAnsi="Times New Roman" w:cs="Times New Roman"/>
          <w:color w:val="auto"/>
          <w:kern w:val="0"/>
          <w:sz w:val="24"/>
          <w:highlight w:val="none"/>
          <w:lang w:eastAsia="zh-CN"/>
        </w:rPr>
        <w:t>帕隆藏布</w:t>
      </w:r>
      <w:r>
        <w:rPr>
          <w:rFonts w:hint="default" w:ascii="Times New Roman" w:hAnsi="Times New Roman" w:cs="Times New Roman"/>
          <w:color w:val="auto"/>
          <w:kern w:val="0"/>
          <w:sz w:val="24"/>
          <w:highlight w:val="none"/>
          <w:lang w:val="en-US" w:eastAsia="zh-CN"/>
        </w:rPr>
        <w:t>及其支流</w:t>
      </w:r>
      <w:r>
        <w:rPr>
          <w:rFonts w:hint="default" w:ascii="Times New Roman" w:hAnsi="Times New Roman" w:cs="Times New Roman"/>
          <w:color w:val="auto"/>
          <w:kern w:val="0"/>
          <w:sz w:val="24"/>
          <w:highlight w:val="none"/>
        </w:rPr>
        <w:t>，地表水较为丰富，丰富的水资源储备为旅游发展提供坚实基础，在净化环境、调节气候、维护生物多样性等领域也发挥了重要作用，为项目地社会经济、绿色旅游与生态环境的可持续发展提供了根本保证。</w:t>
      </w:r>
    </w:p>
    <w:p w14:paraId="13147907">
      <w:pPr>
        <w:widowControl/>
        <w:spacing w:line="360" w:lineRule="auto"/>
        <w:ind w:firstLine="42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因此，本规划的实施符合资源利用上线要求。</w:t>
      </w:r>
    </w:p>
    <w:p w14:paraId="28C3B315">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与生态环境准入清单的符合性</w:t>
      </w:r>
    </w:p>
    <w:p w14:paraId="2D931F54">
      <w:pPr>
        <w:widowControl/>
        <w:spacing w:line="360" w:lineRule="auto"/>
        <w:ind w:firstLine="42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w:t>
      </w:r>
      <w:r>
        <w:rPr>
          <w:rFonts w:hint="default" w:ascii="Times New Roman" w:hAnsi="Times New Roman" w:eastAsia="宋体" w:cs="Times New Roman"/>
          <w:color w:val="auto"/>
          <w:kern w:val="0"/>
          <w:sz w:val="24"/>
          <w:highlight w:val="none"/>
          <w:lang w:val="en-US" w:eastAsia="zh-CN"/>
        </w:rPr>
        <w:t>林芝</w:t>
      </w:r>
      <w:r>
        <w:rPr>
          <w:rFonts w:hint="default" w:ascii="Times New Roman" w:hAnsi="Times New Roman" w:eastAsia="宋体" w:cs="Times New Roman"/>
          <w:color w:val="auto"/>
          <w:kern w:val="0"/>
          <w:sz w:val="24"/>
          <w:highlight w:val="none"/>
        </w:rPr>
        <w:t>市2025年生态环境分区管控成果动态更新成果的函》，</w:t>
      </w:r>
      <w:r>
        <w:rPr>
          <w:rFonts w:hint="default" w:ascii="Times New Roman" w:hAnsi="Times New Roman" w:eastAsia="宋体" w:cs="Times New Roman"/>
          <w:color w:val="auto"/>
          <w:kern w:val="0"/>
          <w:sz w:val="24"/>
          <w:highlight w:val="none"/>
          <w:lang w:val="en-US" w:eastAsia="zh-CN"/>
        </w:rPr>
        <w:t>本规划项目与</w:t>
      </w:r>
      <w:r>
        <w:rPr>
          <w:rFonts w:hint="default" w:ascii="Times New Roman" w:hAnsi="Times New Roman" w:eastAsia="宋体" w:cs="Times New Roman"/>
          <w:color w:val="auto"/>
          <w:kern w:val="0"/>
          <w:sz w:val="24"/>
          <w:highlight w:val="none"/>
        </w:rPr>
        <w:t>生态环境分区管控及生态环境准入清单符合性分析</w:t>
      </w:r>
      <w:r>
        <w:rPr>
          <w:rFonts w:hint="default" w:ascii="Times New Roman" w:hAnsi="Times New Roman" w:eastAsia="宋体" w:cs="Times New Roman"/>
          <w:color w:val="auto"/>
          <w:kern w:val="0"/>
          <w:sz w:val="24"/>
          <w:highlight w:val="none"/>
          <w:lang w:val="en-US" w:eastAsia="zh-CN"/>
        </w:rPr>
        <w:t>见</w:t>
      </w:r>
      <w:r>
        <w:rPr>
          <w:rFonts w:hint="default" w:ascii="Times New Roman" w:hAnsi="Times New Roman" w:eastAsia="宋体" w:cs="Times New Roman"/>
          <w:color w:val="auto"/>
          <w:kern w:val="0"/>
          <w:sz w:val="24"/>
          <w:highlight w:val="none"/>
        </w:rPr>
        <w:t>下表。</w:t>
      </w:r>
    </w:p>
    <w:p w14:paraId="321F7279">
      <w:pPr>
        <w:spacing w:line="360" w:lineRule="auto"/>
        <w:ind w:firstLine="480" w:firstLineChars="200"/>
        <w:rPr>
          <w:rStyle w:val="103"/>
          <w:rFonts w:hint="default" w:ascii="Times New Roman" w:hAnsi="Times New Roman" w:cs="Times New Roman"/>
          <w:color w:val="auto"/>
          <w:highlight w:val="none"/>
        </w:rPr>
      </w:pPr>
    </w:p>
    <w:p w14:paraId="194F1225">
      <w:pPr>
        <w:pStyle w:val="36"/>
        <w:jc w:val="center"/>
        <w:rPr>
          <w:rFonts w:hint="default" w:ascii="Times New Roman" w:hAnsi="Times New Roman" w:eastAsia="黑体" w:cs="Times New Roman"/>
          <w:color w:val="auto"/>
          <w:sz w:val="21"/>
          <w:szCs w:val="21"/>
          <w:highlight w:val="none"/>
          <w:lang w:val="en-US"/>
        </w:rPr>
        <w:sectPr>
          <w:headerReference r:id="rId6" w:type="default"/>
          <w:footerReference r:id="rId7" w:type="default"/>
          <w:pgSz w:w="11906" w:h="16838"/>
          <w:pgMar w:top="1474" w:right="1474" w:bottom="1474" w:left="1474" w:header="1134" w:footer="850" w:gutter="0"/>
          <w:cols w:space="720" w:num="1"/>
          <w:docGrid w:type="lines" w:linePitch="312" w:charSpace="0"/>
        </w:sectPr>
      </w:pPr>
    </w:p>
    <w:p w14:paraId="758A611C">
      <w:pPr>
        <w:pStyle w:val="28"/>
        <w:tabs>
          <w:tab w:val="left" w:pos="840"/>
        </w:tabs>
        <w:spacing w:line="360" w:lineRule="auto"/>
        <w:jc w:val="center"/>
        <w:rPr>
          <w:rFonts w:hint="default" w:ascii="Times New Roman" w:hAnsi="Times New Roman" w:eastAsia="黑体" w:cs="Times New Roman"/>
          <w:bCs/>
          <w:color w:val="auto"/>
          <w:kern w:val="0"/>
          <w:szCs w:val="21"/>
          <w:highlight w:val="none"/>
          <w:lang w:val="en-US" w:eastAsia="zh-CN"/>
        </w:rPr>
      </w:pPr>
      <w:r>
        <w:rPr>
          <w:rFonts w:hint="default" w:ascii="Times New Roman" w:hAnsi="Times New Roman" w:eastAsia="黑体" w:cs="Times New Roman"/>
          <w:bCs/>
          <w:color w:val="auto"/>
          <w:kern w:val="0"/>
          <w:szCs w:val="21"/>
          <w:highlight w:val="none"/>
          <w:lang w:val="en-US" w:eastAsia="zh-CN"/>
        </w:rPr>
        <w:t>表2.2-2  与“生态环境分区管控”生态环境准入清单相符性分析一览表</w:t>
      </w:r>
    </w:p>
    <w:tbl>
      <w:tblPr>
        <w:tblStyle w:val="58"/>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2062"/>
        <w:gridCol w:w="4302"/>
        <w:gridCol w:w="3546"/>
        <w:gridCol w:w="1388"/>
      </w:tblGrid>
      <w:tr w14:paraId="3C9A1ED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noWrap w:val="0"/>
            <w:vAlign w:val="center"/>
          </w:tcPr>
          <w:p w14:paraId="38C88EC4">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类型</w:t>
            </w:r>
          </w:p>
        </w:tc>
        <w:tc>
          <w:tcPr>
            <w:tcW w:w="731" w:type="pct"/>
            <w:noWrap w:val="0"/>
            <w:vAlign w:val="center"/>
          </w:tcPr>
          <w:p w14:paraId="48AF0E2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管控类别</w:t>
            </w:r>
          </w:p>
        </w:tc>
        <w:tc>
          <w:tcPr>
            <w:tcW w:w="1525" w:type="pct"/>
            <w:noWrap w:val="0"/>
            <w:vAlign w:val="center"/>
          </w:tcPr>
          <w:p w14:paraId="7068664A">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准入要求</w:t>
            </w:r>
          </w:p>
        </w:tc>
        <w:tc>
          <w:tcPr>
            <w:tcW w:w="1257" w:type="pct"/>
            <w:noWrap w:val="0"/>
            <w:vAlign w:val="center"/>
          </w:tcPr>
          <w:p w14:paraId="0DEBEAA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492" w:type="pct"/>
            <w:noWrap w:val="0"/>
            <w:vAlign w:val="center"/>
          </w:tcPr>
          <w:p w14:paraId="53CC8C8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w:t>
            </w:r>
          </w:p>
        </w:tc>
      </w:tr>
      <w:tr w14:paraId="5636C47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352F43B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波密县水环境优先保护区</w:t>
            </w:r>
          </w:p>
          <w:p w14:paraId="4B096C1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(ZH54042410009)</w:t>
            </w:r>
          </w:p>
        </w:tc>
        <w:tc>
          <w:tcPr>
            <w:tcW w:w="731" w:type="pct"/>
            <w:noWrap w:val="0"/>
            <w:vAlign w:val="center"/>
          </w:tcPr>
          <w:p w14:paraId="33AFCB7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1525" w:type="pct"/>
            <w:noWrap w:val="0"/>
            <w:vAlign w:val="center"/>
          </w:tcPr>
          <w:p w14:paraId="45975B73">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然保护区、饮用水水源保护区等国家法定保护地需严格落实国家及自治区法律法规，法律禁止的人为活动一律禁止布设，法律未明确禁止的以水环境、水资源、水生态为重点的开发项目，需充分论证，谨慎布局。法定保护地以外的区域，禁止可能污染水质、破坏目标水体水生态环境的开发活动，严格控制大规模高强度工矿、城镇开发，因地制宜发展资源环境可承载的适宜产业。</w:t>
            </w:r>
          </w:p>
        </w:tc>
        <w:tc>
          <w:tcPr>
            <w:tcW w:w="1257" w:type="pct"/>
            <w:noWrap w:val="0"/>
            <w:vAlign w:val="center"/>
          </w:tcPr>
          <w:p w14:paraId="4E3530A2">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本项目不涉及集中式</w:t>
            </w:r>
            <w:r>
              <w:rPr>
                <w:rFonts w:hint="default" w:ascii="Times New Roman" w:hAnsi="Times New Roman" w:cs="Times New Roman"/>
                <w:color w:val="auto"/>
                <w:sz w:val="21"/>
                <w:szCs w:val="21"/>
                <w:highlight w:val="none"/>
              </w:rPr>
              <w:t>饮用水水源保护区</w:t>
            </w:r>
            <w:r>
              <w:rPr>
                <w:rFonts w:hint="default" w:ascii="Times New Roman" w:hAnsi="Times New Roman" w:cs="Times New Roman"/>
                <w:color w:val="auto"/>
                <w:sz w:val="21"/>
                <w:szCs w:val="21"/>
                <w:highlight w:val="none"/>
                <w:lang w:eastAsia="zh-CN"/>
              </w:rPr>
              <w:t>，西藏雅鲁藏布大峡谷国家级自然保护区</w:t>
            </w:r>
            <w:r>
              <w:rPr>
                <w:rFonts w:hint="default" w:ascii="Times New Roman" w:hAnsi="Times New Roman" w:cs="Times New Roman"/>
                <w:color w:val="auto"/>
                <w:sz w:val="21"/>
                <w:szCs w:val="21"/>
                <w:highlight w:val="none"/>
                <w:lang w:val="en-US" w:eastAsia="zh-CN"/>
              </w:rPr>
              <w:t>需</w:t>
            </w:r>
            <w:r>
              <w:rPr>
                <w:rFonts w:hint="default" w:ascii="Times New Roman" w:hAnsi="Times New Roman" w:cs="Times New Roman"/>
                <w:color w:val="auto"/>
                <w:sz w:val="21"/>
                <w:szCs w:val="21"/>
                <w:highlight w:val="none"/>
              </w:rPr>
              <w:t>严格落实国家及自治区法律法规，法律禁止的人为活动一律禁止布设，</w:t>
            </w:r>
            <w:r>
              <w:rPr>
                <w:rFonts w:hint="default" w:ascii="Times New Roman" w:hAnsi="Times New Roman" w:cs="Times New Roman"/>
                <w:color w:val="auto"/>
                <w:sz w:val="21"/>
                <w:szCs w:val="21"/>
                <w:highlight w:val="none"/>
                <w:lang w:val="en-US" w:eastAsia="zh-CN"/>
              </w:rPr>
              <w:t>未布设</w:t>
            </w:r>
            <w:r>
              <w:rPr>
                <w:rFonts w:hint="default" w:ascii="Times New Roman" w:hAnsi="Times New Roman" w:cs="Times New Roman"/>
                <w:color w:val="auto"/>
                <w:sz w:val="21"/>
                <w:szCs w:val="21"/>
                <w:highlight w:val="none"/>
              </w:rPr>
              <w:t>以水环境、水资源、水生态为重点的开发项目。</w:t>
            </w:r>
            <w:r>
              <w:rPr>
                <w:rFonts w:hint="default"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可能污染水质、破坏目标水体水生态环境的开发活动，严格控制大规模高强度城镇开发</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工矿</w:t>
            </w:r>
            <w:r>
              <w:rPr>
                <w:rFonts w:hint="default" w:ascii="Times New Roman" w:hAnsi="Times New Roman" w:cs="Times New Roman"/>
                <w:color w:val="auto"/>
                <w:sz w:val="21"/>
                <w:szCs w:val="21"/>
                <w:highlight w:val="none"/>
                <w:lang w:val="en-US" w:eastAsia="zh-CN"/>
              </w:rPr>
              <w:t>企业</w:t>
            </w:r>
            <w:r>
              <w:rPr>
                <w:rFonts w:hint="default" w:ascii="Times New Roman" w:hAnsi="Times New Roman" w:cs="Times New Roman"/>
                <w:color w:val="auto"/>
                <w:sz w:val="21"/>
                <w:szCs w:val="21"/>
                <w:highlight w:val="none"/>
              </w:rPr>
              <w:t>，因地制宜发展资源环境可承载的适宜产业。</w:t>
            </w:r>
          </w:p>
        </w:tc>
        <w:tc>
          <w:tcPr>
            <w:tcW w:w="492" w:type="pct"/>
            <w:noWrap w:val="0"/>
            <w:vAlign w:val="center"/>
          </w:tcPr>
          <w:p w14:paraId="01396B6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FB990B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22B860F0">
            <w:pPr>
              <w:jc w:val="center"/>
              <w:rPr>
                <w:rFonts w:hint="default" w:ascii="Times New Roman" w:hAnsi="Times New Roman" w:cs="Times New Roman"/>
                <w:color w:val="auto"/>
                <w:sz w:val="21"/>
                <w:szCs w:val="21"/>
                <w:highlight w:val="none"/>
              </w:rPr>
            </w:pPr>
          </w:p>
        </w:tc>
        <w:tc>
          <w:tcPr>
            <w:tcW w:w="731" w:type="pct"/>
            <w:noWrap w:val="0"/>
            <w:vAlign w:val="center"/>
          </w:tcPr>
          <w:p w14:paraId="43BC15D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63E8C11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59AE072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10FA624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0486EEA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pct"/>
            <w:vMerge w:val="continue"/>
            <w:noWrap w:val="0"/>
            <w:vAlign w:val="center"/>
          </w:tcPr>
          <w:p w14:paraId="18DEBD88">
            <w:pPr>
              <w:jc w:val="center"/>
              <w:rPr>
                <w:rFonts w:hint="default" w:ascii="Times New Roman" w:hAnsi="Times New Roman" w:cs="Times New Roman"/>
                <w:color w:val="auto"/>
                <w:sz w:val="21"/>
                <w:szCs w:val="21"/>
                <w:highlight w:val="none"/>
              </w:rPr>
            </w:pPr>
          </w:p>
        </w:tc>
        <w:tc>
          <w:tcPr>
            <w:tcW w:w="731" w:type="pct"/>
            <w:noWrap w:val="0"/>
            <w:vAlign w:val="center"/>
          </w:tcPr>
          <w:p w14:paraId="608090C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6356BD7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48BEA13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413211F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22465C6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4CC54211">
            <w:pPr>
              <w:jc w:val="center"/>
              <w:rPr>
                <w:rFonts w:hint="default" w:ascii="Times New Roman" w:hAnsi="Times New Roman" w:cs="Times New Roman"/>
                <w:color w:val="auto"/>
                <w:sz w:val="21"/>
                <w:szCs w:val="21"/>
                <w:highlight w:val="none"/>
              </w:rPr>
            </w:pPr>
          </w:p>
        </w:tc>
        <w:tc>
          <w:tcPr>
            <w:tcW w:w="731" w:type="pct"/>
            <w:noWrap w:val="0"/>
            <w:vAlign w:val="center"/>
          </w:tcPr>
          <w:p w14:paraId="09823D0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09EBAFF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2B2F0C3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49283D1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05D9226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28FF50C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西藏自治区林芝市波密县一般生态空间1</w:t>
            </w:r>
          </w:p>
          <w:p w14:paraId="60BE32E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(ZH54042410011)</w:t>
            </w:r>
          </w:p>
        </w:tc>
        <w:tc>
          <w:tcPr>
            <w:tcW w:w="731" w:type="pct"/>
            <w:noWrap w:val="0"/>
            <w:vAlign w:val="center"/>
          </w:tcPr>
          <w:p w14:paraId="7CBF960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1525" w:type="pct"/>
            <w:noWrap w:val="0"/>
            <w:vAlign w:val="center"/>
          </w:tcPr>
          <w:p w14:paraId="6CA4BF78">
            <w:pP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自然保护区、饮用水水源保护区等国家法定保护地需严格落实国家及自治区法律法规，法律禁止的人为活动一律禁止布设，法律未明确禁止的以水环境、水资源、水生态为重点的开发项目，需充分论证，谨慎布局。法定保护地以外的区域，禁止可能污染水质、破坏目标水体水生态环境的开发活动，严格控制大规模高强度工矿、城镇开发，因地制宜发展资源环境可承载的适宜产业。原则上禁止新建、改扩建排放大气污染物的工业企业。因科学研究、教学科研需要，必须进入核心区、缓冲区活动的，应向主管部门申请并获得批准。区内现有不符合布局要求的，限期退出或关停。对已造成的污染或损害，应限期治理。各县（区）后续城镇生产、生活活动，不得占用优先保护区。</w:t>
            </w:r>
          </w:p>
        </w:tc>
        <w:tc>
          <w:tcPr>
            <w:tcW w:w="1257" w:type="pct"/>
            <w:noWrap w:val="0"/>
            <w:vAlign w:val="center"/>
          </w:tcPr>
          <w:p w14:paraId="319F900E">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本项目不涉及集中式</w:t>
            </w:r>
            <w:r>
              <w:rPr>
                <w:rFonts w:hint="default" w:ascii="Times New Roman" w:hAnsi="Times New Roman" w:cs="Times New Roman"/>
                <w:color w:val="auto"/>
                <w:sz w:val="21"/>
                <w:szCs w:val="21"/>
                <w:highlight w:val="none"/>
              </w:rPr>
              <w:t>饮用水水源保护区</w:t>
            </w:r>
            <w:r>
              <w:rPr>
                <w:rFonts w:hint="default" w:ascii="Times New Roman" w:hAnsi="Times New Roman" w:cs="Times New Roman"/>
                <w:color w:val="auto"/>
                <w:sz w:val="21"/>
                <w:szCs w:val="21"/>
                <w:highlight w:val="none"/>
                <w:lang w:eastAsia="zh-CN"/>
              </w:rPr>
              <w:t>，西藏雅鲁藏布大峡谷国家级自然保护区</w:t>
            </w:r>
            <w:r>
              <w:rPr>
                <w:rFonts w:hint="default" w:ascii="Times New Roman" w:hAnsi="Times New Roman" w:cs="Times New Roman"/>
                <w:color w:val="auto"/>
                <w:sz w:val="21"/>
                <w:szCs w:val="21"/>
                <w:highlight w:val="none"/>
                <w:lang w:val="en-US" w:eastAsia="zh-CN"/>
              </w:rPr>
              <w:t>需</w:t>
            </w:r>
            <w:r>
              <w:rPr>
                <w:rFonts w:hint="default" w:ascii="Times New Roman" w:hAnsi="Times New Roman" w:cs="Times New Roman"/>
                <w:color w:val="auto"/>
                <w:sz w:val="21"/>
                <w:szCs w:val="21"/>
                <w:highlight w:val="none"/>
              </w:rPr>
              <w:t>严格落实国家及自治区法律法规，法律禁止的人为活动一律禁止布设，</w:t>
            </w:r>
            <w:r>
              <w:rPr>
                <w:rFonts w:hint="default" w:ascii="Times New Roman" w:hAnsi="Times New Roman" w:cs="Times New Roman"/>
                <w:color w:val="auto"/>
                <w:sz w:val="21"/>
                <w:szCs w:val="21"/>
                <w:highlight w:val="none"/>
                <w:lang w:val="en-US" w:eastAsia="zh-CN"/>
              </w:rPr>
              <w:t>未布设</w:t>
            </w:r>
            <w:r>
              <w:rPr>
                <w:rFonts w:hint="default" w:ascii="Times New Roman" w:hAnsi="Times New Roman" w:cs="Times New Roman"/>
                <w:color w:val="auto"/>
                <w:sz w:val="21"/>
                <w:szCs w:val="21"/>
                <w:highlight w:val="none"/>
              </w:rPr>
              <w:t>以水环境、水资源、水生态为重点的开发项目。</w:t>
            </w:r>
            <w:r>
              <w:rPr>
                <w:rFonts w:hint="default"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可能污染水质、破坏目标水体水生态环境的开发活动，严格控制大规模高强度城镇开发</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工矿</w:t>
            </w:r>
            <w:r>
              <w:rPr>
                <w:rFonts w:hint="default" w:ascii="Times New Roman" w:hAnsi="Times New Roman" w:cs="Times New Roman"/>
                <w:color w:val="auto"/>
                <w:sz w:val="21"/>
                <w:szCs w:val="21"/>
                <w:highlight w:val="none"/>
                <w:lang w:val="en-US" w:eastAsia="zh-CN"/>
              </w:rPr>
              <w:t>企业</w:t>
            </w:r>
            <w:r>
              <w:rPr>
                <w:rFonts w:hint="default" w:ascii="Times New Roman" w:hAnsi="Times New Roman" w:cs="Times New Roman"/>
                <w:color w:val="auto"/>
                <w:sz w:val="21"/>
                <w:szCs w:val="21"/>
                <w:highlight w:val="none"/>
              </w:rPr>
              <w:t>，因地制宜发展资源环境可承载的适宜产业。</w:t>
            </w:r>
            <w:r>
              <w:rPr>
                <w:rFonts w:hint="default" w:ascii="Times New Roman" w:hAnsi="Times New Roman" w:cs="Times New Roman"/>
                <w:color w:val="auto"/>
                <w:sz w:val="21"/>
                <w:szCs w:val="21"/>
                <w:highlight w:val="none"/>
                <w:lang w:val="en-US" w:eastAsia="zh-CN"/>
              </w:rPr>
              <w:t>本规划不涉及</w:t>
            </w:r>
            <w:r>
              <w:rPr>
                <w:rFonts w:hint="default" w:ascii="Times New Roman" w:hAnsi="Times New Roman" w:eastAsia="宋体" w:cs="Times New Roman"/>
                <w:color w:val="auto"/>
                <w:sz w:val="21"/>
                <w:szCs w:val="21"/>
                <w:highlight w:val="none"/>
                <w:lang w:eastAsia="zh-CN"/>
              </w:rPr>
              <w:t>核心区、缓冲区，</w:t>
            </w:r>
            <w:r>
              <w:rPr>
                <w:rFonts w:hint="default" w:ascii="Times New Roman" w:hAnsi="Times New Roman" w:eastAsia="宋体" w:cs="Times New Roman"/>
                <w:color w:val="auto"/>
                <w:sz w:val="21"/>
                <w:szCs w:val="21"/>
                <w:highlight w:val="none"/>
                <w:lang w:val="en-US" w:eastAsia="zh-CN"/>
              </w:rPr>
              <w:t>规划区，区内现有设施均</w:t>
            </w:r>
            <w:r>
              <w:rPr>
                <w:rFonts w:hint="default" w:ascii="Times New Roman" w:hAnsi="Times New Roman" w:eastAsia="宋体" w:cs="Times New Roman"/>
                <w:color w:val="auto"/>
                <w:sz w:val="21"/>
                <w:szCs w:val="21"/>
                <w:highlight w:val="none"/>
                <w:lang w:eastAsia="zh-CN"/>
              </w:rPr>
              <w:t>符合布局要求，</w:t>
            </w:r>
            <w:r>
              <w:rPr>
                <w:rFonts w:hint="default" w:ascii="Times New Roman" w:hAnsi="Times New Roman" w:eastAsia="宋体" w:cs="Times New Roman"/>
                <w:color w:val="auto"/>
                <w:sz w:val="21"/>
                <w:szCs w:val="21"/>
                <w:highlight w:val="none"/>
                <w:lang w:val="en-US" w:eastAsia="zh-CN"/>
              </w:rPr>
              <w:t>不涉及</w:t>
            </w:r>
            <w:r>
              <w:rPr>
                <w:rFonts w:hint="default" w:ascii="Times New Roman" w:hAnsi="Times New Roman" w:eastAsia="宋体" w:cs="Times New Roman"/>
                <w:color w:val="auto"/>
                <w:sz w:val="21"/>
                <w:szCs w:val="21"/>
                <w:highlight w:val="none"/>
                <w:lang w:eastAsia="zh-CN"/>
              </w:rPr>
              <w:t>已造成的污染或损害，</w:t>
            </w:r>
            <w:r>
              <w:rPr>
                <w:rFonts w:hint="default" w:ascii="Times New Roman" w:hAnsi="Times New Roman" w:eastAsia="宋体" w:cs="Times New Roman"/>
                <w:color w:val="auto"/>
                <w:sz w:val="21"/>
                <w:szCs w:val="21"/>
                <w:highlight w:val="none"/>
                <w:lang w:val="en-US" w:eastAsia="zh-CN"/>
              </w:rPr>
              <w:t>规划区不涉及</w:t>
            </w:r>
            <w:r>
              <w:rPr>
                <w:rFonts w:hint="default" w:ascii="Times New Roman" w:hAnsi="Times New Roman" w:eastAsia="宋体" w:cs="Times New Roman"/>
                <w:color w:val="auto"/>
                <w:sz w:val="21"/>
                <w:szCs w:val="21"/>
                <w:highlight w:val="none"/>
                <w:lang w:eastAsia="zh-CN"/>
              </w:rPr>
              <w:t>城镇生产、生活活动。</w:t>
            </w:r>
          </w:p>
        </w:tc>
        <w:tc>
          <w:tcPr>
            <w:tcW w:w="492" w:type="pct"/>
            <w:noWrap w:val="0"/>
            <w:vAlign w:val="center"/>
          </w:tcPr>
          <w:p w14:paraId="74960D3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B55DFD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774A26CB">
            <w:pPr>
              <w:jc w:val="center"/>
              <w:rPr>
                <w:rFonts w:hint="default" w:ascii="Times New Roman" w:hAnsi="Times New Roman" w:cs="Times New Roman"/>
                <w:color w:val="auto"/>
                <w:sz w:val="21"/>
                <w:szCs w:val="21"/>
                <w:highlight w:val="none"/>
              </w:rPr>
            </w:pPr>
          </w:p>
        </w:tc>
        <w:tc>
          <w:tcPr>
            <w:tcW w:w="731" w:type="pct"/>
            <w:noWrap w:val="0"/>
            <w:vAlign w:val="center"/>
          </w:tcPr>
          <w:p w14:paraId="48FCB2F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056823D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5CE696B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6D1B40A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5968C28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42427E82">
            <w:pPr>
              <w:jc w:val="center"/>
              <w:rPr>
                <w:rFonts w:hint="default" w:ascii="Times New Roman" w:hAnsi="Times New Roman" w:cs="Times New Roman"/>
                <w:color w:val="auto"/>
                <w:sz w:val="21"/>
                <w:szCs w:val="21"/>
                <w:highlight w:val="none"/>
              </w:rPr>
            </w:pPr>
          </w:p>
        </w:tc>
        <w:tc>
          <w:tcPr>
            <w:tcW w:w="731" w:type="pct"/>
            <w:noWrap w:val="0"/>
            <w:vAlign w:val="center"/>
          </w:tcPr>
          <w:p w14:paraId="5EAB48A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5A22C22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357BC70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589639C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1B3834F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6207F135">
            <w:pPr>
              <w:jc w:val="center"/>
              <w:rPr>
                <w:rFonts w:hint="default" w:ascii="Times New Roman" w:hAnsi="Times New Roman" w:cs="Times New Roman"/>
                <w:color w:val="auto"/>
                <w:sz w:val="21"/>
                <w:szCs w:val="21"/>
                <w:highlight w:val="none"/>
              </w:rPr>
            </w:pPr>
          </w:p>
        </w:tc>
        <w:tc>
          <w:tcPr>
            <w:tcW w:w="731" w:type="pct"/>
            <w:noWrap w:val="0"/>
            <w:vAlign w:val="center"/>
          </w:tcPr>
          <w:p w14:paraId="00D9B7E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25C1523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2296150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146F309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1C70CA4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5671F02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西藏嘎朗国家级湿地自然公园</w:t>
            </w:r>
          </w:p>
          <w:p w14:paraId="1838B79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(ZH54042410003)</w:t>
            </w:r>
          </w:p>
        </w:tc>
        <w:tc>
          <w:tcPr>
            <w:tcW w:w="731" w:type="pct"/>
            <w:vMerge w:val="restart"/>
            <w:noWrap w:val="0"/>
            <w:vAlign w:val="center"/>
          </w:tcPr>
          <w:p w14:paraId="7B51ADE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1525" w:type="pct"/>
            <w:noWrap w:val="0"/>
            <w:vAlign w:val="center"/>
          </w:tcPr>
          <w:p w14:paraId="44000A9A">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严格执行《国家湿地公园管理办法》《湿地保护管理规定（2017年修订）》等。生态保护红线内的生态功能区严格按照《关于在国土空间规划中统筹划定落实三条控制线的指导意见》等相关要求管理。</w:t>
            </w:r>
          </w:p>
          <w:p w14:paraId="588A9A02">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红线之外的区域原则上按限制开发区域的要求进行管理，严格按照《自然生态空间用途管制办法（试行）》等相关要求管理。在进行各类建设开发活动前，应加强对生物多样性影响的评估，任何开发建设活动不得破坏珍稀野生动植物的重要栖息地，不得阻隔野生动物的迁徙道路。</w:t>
            </w:r>
          </w:p>
          <w:p w14:paraId="71383392">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允许边境县开展抵边、口岸、小康村、高海拔搬迁迁入地、民生及基础设施、边防设施等工程的建设，在建设时应采取相应的防治措施，减少对周边的生态环境影响。</w:t>
            </w:r>
          </w:p>
          <w:p w14:paraId="60644012">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保护区、饮用水水源保护区等国家法定保护地需严格落实国家及自治区法律法规，法律禁止的人为活动一律禁止布设，法律未明确禁止的以水环境、水资源、水生态为重点的开发项目，需充分论证，谨慎布局。法定保护地以外的区域，禁止可能污染水质、破坏目标水体水生态环境的开发活动，严格控制大规模高强度工矿、城镇开发，因地制宜发展资源环境可承载的适宜产业。</w:t>
            </w:r>
          </w:p>
          <w:p w14:paraId="2C8B685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则上禁止新建、改扩建排放大气污染物的工业企业。因科学研究、教学科研需要，必须进入核心区、缓冲区活动的，应向主管部门申请并获得批准。区内现有不符合布局要求的，限期退出或关停。对已造成的污染或损害，应限期治理。各县（区）后续城镇生产、生活活动，不得占用优先保护区。</w:t>
            </w:r>
          </w:p>
        </w:tc>
        <w:tc>
          <w:tcPr>
            <w:tcW w:w="1257" w:type="pct"/>
            <w:noWrap w:val="0"/>
            <w:vAlign w:val="center"/>
          </w:tcPr>
          <w:p w14:paraId="3CCCCC70">
            <w:pP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根据前文分析，本规划</w:t>
            </w:r>
            <w:r>
              <w:rPr>
                <w:rFonts w:hint="default" w:ascii="Times New Roman" w:hAnsi="Times New Roman" w:eastAsia="宋体" w:cs="Times New Roman"/>
                <w:color w:val="auto"/>
                <w:sz w:val="21"/>
                <w:szCs w:val="21"/>
                <w:highlight w:val="none"/>
              </w:rPr>
              <w:t>严格执行</w:t>
            </w:r>
            <w:r>
              <w:rPr>
                <w:rFonts w:hint="default" w:ascii="Times New Roman" w:hAnsi="Times New Roman" w:eastAsia="宋体" w:cs="Times New Roman"/>
                <w:color w:val="auto"/>
                <w:sz w:val="21"/>
                <w:szCs w:val="21"/>
                <w:highlight w:val="none"/>
                <w:lang w:val="en-US" w:eastAsia="zh-CN"/>
              </w:rPr>
              <w:t>并满足</w:t>
            </w:r>
            <w:r>
              <w:rPr>
                <w:rFonts w:hint="default" w:ascii="Times New Roman" w:hAnsi="Times New Roman" w:eastAsia="宋体" w:cs="Times New Roman"/>
                <w:color w:val="auto"/>
                <w:sz w:val="21"/>
                <w:szCs w:val="21"/>
                <w:highlight w:val="none"/>
              </w:rPr>
              <w:t>《国家湿地公园管理办法》《湿地保护管理规定（2017年修订）》等</w:t>
            </w:r>
            <w:r>
              <w:rPr>
                <w:rFonts w:hint="default" w:ascii="Times New Roman" w:hAnsi="Times New Roman" w:eastAsia="宋体" w:cs="Times New Roman"/>
                <w:color w:val="auto"/>
                <w:sz w:val="21"/>
                <w:szCs w:val="21"/>
                <w:highlight w:val="none"/>
                <w:lang w:val="en-US" w:eastAsia="zh-CN"/>
              </w:rPr>
              <w:t>相关要求。</w:t>
            </w:r>
            <w:r>
              <w:rPr>
                <w:rFonts w:hint="default" w:ascii="Times New Roman" w:hAnsi="Times New Roman" w:eastAsia="宋体" w:cs="Times New Roman"/>
                <w:color w:val="auto"/>
                <w:sz w:val="21"/>
                <w:szCs w:val="21"/>
                <w:highlight w:val="none"/>
              </w:rPr>
              <w:t>生态保护红线内的生态功能区严格按照《关于在国土空间规划中统筹划定落实三条控制线的指导意见》等相关要求管理</w:t>
            </w:r>
            <w:r>
              <w:rPr>
                <w:rFonts w:hint="default" w:ascii="Times New Roman" w:hAnsi="Times New Roman" w:eastAsia="宋体" w:cs="Times New Roman"/>
                <w:color w:val="auto"/>
                <w:sz w:val="21"/>
                <w:szCs w:val="21"/>
                <w:highlight w:val="none"/>
                <w:lang w:eastAsia="zh-CN"/>
              </w:rPr>
              <w:t>。</w:t>
            </w:r>
          </w:p>
          <w:p w14:paraId="040CDEC5">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红线之外的区域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严格按照《自然生态空间用途管制办法（试行）》等相关要求管理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规划要求</w:t>
            </w:r>
            <w:r>
              <w:rPr>
                <w:rFonts w:hint="default" w:ascii="Times New Roman" w:hAnsi="Times New Roman" w:eastAsia="宋体" w:cs="Times New Roman"/>
                <w:color w:val="auto"/>
                <w:sz w:val="21"/>
                <w:szCs w:val="21"/>
                <w:highlight w:val="none"/>
              </w:rPr>
              <w:t>在进行各类建设开发活动前，应加强对生物多样性影响的评估，任何开发建设活动不得破坏珍稀野生动植物的重要栖息地，不得阻隔野生动物的迁徙道路。</w:t>
            </w:r>
          </w:p>
          <w:p w14:paraId="09922BE4">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本项目不涉及集中式</w:t>
            </w:r>
            <w:r>
              <w:rPr>
                <w:rFonts w:hint="default" w:ascii="Times New Roman" w:hAnsi="Times New Roman" w:cs="Times New Roman"/>
                <w:color w:val="auto"/>
                <w:sz w:val="21"/>
                <w:szCs w:val="21"/>
                <w:highlight w:val="none"/>
              </w:rPr>
              <w:t>饮用水水源保护区</w:t>
            </w:r>
            <w:r>
              <w:rPr>
                <w:rFonts w:hint="default" w:ascii="Times New Roman" w:hAnsi="Times New Roman" w:cs="Times New Roman"/>
                <w:color w:val="auto"/>
                <w:sz w:val="21"/>
                <w:szCs w:val="21"/>
                <w:highlight w:val="none"/>
                <w:lang w:eastAsia="zh-CN"/>
              </w:rPr>
              <w:t>，西藏雅鲁藏布大峡谷国家级自然保护区</w:t>
            </w:r>
            <w:r>
              <w:rPr>
                <w:rFonts w:hint="default" w:ascii="Times New Roman" w:hAnsi="Times New Roman" w:cs="Times New Roman"/>
                <w:color w:val="auto"/>
                <w:sz w:val="21"/>
                <w:szCs w:val="21"/>
                <w:highlight w:val="none"/>
                <w:lang w:val="en-US" w:eastAsia="zh-CN"/>
              </w:rPr>
              <w:t>需</w:t>
            </w:r>
            <w:r>
              <w:rPr>
                <w:rFonts w:hint="default" w:ascii="Times New Roman" w:hAnsi="Times New Roman" w:cs="Times New Roman"/>
                <w:color w:val="auto"/>
                <w:sz w:val="21"/>
                <w:szCs w:val="21"/>
                <w:highlight w:val="none"/>
              </w:rPr>
              <w:t>严格落实国家及自治区法律法规，法律禁止的人为活动一律禁止布设，</w:t>
            </w:r>
            <w:r>
              <w:rPr>
                <w:rFonts w:hint="default" w:ascii="Times New Roman" w:hAnsi="Times New Roman" w:cs="Times New Roman"/>
                <w:color w:val="auto"/>
                <w:sz w:val="21"/>
                <w:szCs w:val="21"/>
                <w:highlight w:val="none"/>
                <w:lang w:val="en-US" w:eastAsia="zh-CN"/>
              </w:rPr>
              <w:t>未布设</w:t>
            </w:r>
            <w:r>
              <w:rPr>
                <w:rFonts w:hint="default" w:ascii="Times New Roman" w:hAnsi="Times New Roman" w:cs="Times New Roman"/>
                <w:color w:val="auto"/>
                <w:sz w:val="21"/>
                <w:szCs w:val="21"/>
                <w:highlight w:val="none"/>
              </w:rPr>
              <w:t>以水环境、水资源、水生态为重点的开发项目。</w:t>
            </w:r>
            <w:r>
              <w:rPr>
                <w:rFonts w:hint="default"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可能污染水质、破坏目标水体水生态环境的开发活动，严格控制大规模高强度城镇开发</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工矿</w:t>
            </w:r>
            <w:r>
              <w:rPr>
                <w:rFonts w:hint="default" w:ascii="Times New Roman" w:hAnsi="Times New Roman" w:cs="Times New Roman"/>
                <w:color w:val="auto"/>
                <w:sz w:val="21"/>
                <w:szCs w:val="21"/>
                <w:highlight w:val="none"/>
                <w:lang w:val="en-US" w:eastAsia="zh-CN"/>
              </w:rPr>
              <w:t>企业</w:t>
            </w:r>
            <w:r>
              <w:rPr>
                <w:rFonts w:hint="default" w:ascii="Times New Roman" w:hAnsi="Times New Roman" w:cs="Times New Roman"/>
                <w:color w:val="auto"/>
                <w:sz w:val="21"/>
                <w:szCs w:val="21"/>
                <w:highlight w:val="none"/>
              </w:rPr>
              <w:t>，因地制宜发展资源环境可承载的适宜产业。</w:t>
            </w:r>
          </w:p>
          <w:p w14:paraId="7D2B3B7B">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规划不涉及</w:t>
            </w:r>
            <w:r>
              <w:rPr>
                <w:rFonts w:hint="default" w:ascii="Times New Roman" w:hAnsi="Times New Roman" w:eastAsia="宋体" w:cs="Times New Roman"/>
                <w:color w:val="auto"/>
                <w:sz w:val="21"/>
                <w:szCs w:val="21"/>
                <w:highlight w:val="none"/>
              </w:rPr>
              <w:t>排放大气污染物的工业企业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本规划不涉及</w:t>
            </w:r>
            <w:r>
              <w:rPr>
                <w:rFonts w:hint="default" w:ascii="Times New Roman" w:hAnsi="Times New Roman" w:eastAsia="宋体" w:cs="Times New Roman"/>
                <w:color w:val="auto"/>
                <w:sz w:val="21"/>
                <w:szCs w:val="21"/>
                <w:highlight w:val="none"/>
                <w:lang w:eastAsia="zh-CN"/>
              </w:rPr>
              <w:t>核心区、缓冲区，</w:t>
            </w:r>
            <w:r>
              <w:rPr>
                <w:rFonts w:hint="default" w:ascii="Times New Roman" w:hAnsi="Times New Roman" w:eastAsia="宋体" w:cs="Times New Roman"/>
                <w:color w:val="auto"/>
                <w:sz w:val="21"/>
                <w:szCs w:val="21"/>
                <w:highlight w:val="none"/>
                <w:lang w:val="en-US" w:eastAsia="zh-CN"/>
              </w:rPr>
              <w:t>规划区，区内现有设施均</w:t>
            </w:r>
            <w:r>
              <w:rPr>
                <w:rFonts w:hint="default" w:ascii="Times New Roman" w:hAnsi="Times New Roman" w:eastAsia="宋体" w:cs="Times New Roman"/>
                <w:color w:val="auto"/>
                <w:sz w:val="21"/>
                <w:szCs w:val="21"/>
                <w:highlight w:val="none"/>
                <w:lang w:eastAsia="zh-CN"/>
              </w:rPr>
              <w:t>符合布局要求，</w:t>
            </w:r>
            <w:r>
              <w:rPr>
                <w:rFonts w:hint="default" w:ascii="Times New Roman" w:hAnsi="Times New Roman" w:eastAsia="宋体" w:cs="Times New Roman"/>
                <w:color w:val="auto"/>
                <w:sz w:val="21"/>
                <w:szCs w:val="21"/>
                <w:highlight w:val="none"/>
                <w:lang w:val="en-US" w:eastAsia="zh-CN"/>
              </w:rPr>
              <w:t>不涉及</w:t>
            </w:r>
            <w:r>
              <w:rPr>
                <w:rFonts w:hint="default" w:ascii="Times New Roman" w:hAnsi="Times New Roman" w:eastAsia="宋体" w:cs="Times New Roman"/>
                <w:color w:val="auto"/>
                <w:sz w:val="21"/>
                <w:szCs w:val="21"/>
                <w:highlight w:val="none"/>
                <w:lang w:eastAsia="zh-CN"/>
              </w:rPr>
              <w:t>已造成的污染或损害，</w:t>
            </w:r>
            <w:r>
              <w:rPr>
                <w:rFonts w:hint="default" w:ascii="Times New Roman" w:hAnsi="Times New Roman" w:eastAsia="宋体" w:cs="Times New Roman"/>
                <w:color w:val="auto"/>
                <w:sz w:val="21"/>
                <w:szCs w:val="21"/>
                <w:highlight w:val="none"/>
                <w:lang w:val="en-US" w:eastAsia="zh-CN"/>
              </w:rPr>
              <w:t>规划区不涉及</w:t>
            </w:r>
            <w:r>
              <w:rPr>
                <w:rFonts w:hint="default" w:ascii="Times New Roman" w:hAnsi="Times New Roman" w:eastAsia="宋体" w:cs="Times New Roman"/>
                <w:color w:val="auto"/>
                <w:sz w:val="21"/>
                <w:szCs w:val="21"/>
                <w:highlight w:val="none"/>
                <w:lang w:eastAsia="zh-CN"/>
              </w:rPr>
              <w:t>城镇生产、生活活动。</w:t>
            </w:r>
          </w:p>
        </w:tc>
        <w:tc>
          <w:tcPr>
            <w:tcW w:w="492" w:type="pct"/>
            <w:noWrap w:val="0"/>
            <w:vAlign w:val="center"/>
          </w:tcPr>
          <w:p w14:paraId="351AD3D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A10DA2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0C129E23">
            <w:pPr>
              <w:jc w:val="center"/>
              <w:rPr>
                <w:rFonts w:hint="default" w:ascii="Times New Roman" w:hAnsi="Times New Roman" w:cs="Times New Roman"/>
                <w:color w:val="auto"/>
                <w:sz w:val="21"/>
                <w:szCs w:val="21"/>
                <w:highlight w:val="none"/>
              </w:rPr>
            </w:pPr>
          </w:p>
        </w:tc>
        <w:tc>
          <w:tcPr>
            <w:tcW w:w="731" w:type="pct"/>
            <w:vMerge w:val="continue"/>
            <w:noWrap w:val="0"/>
            <w:vAlign w:val="center"/>
          </w:tcPr>
          <w:p w14:paraId="0C1454AC">
            <w:pPr>
              <w:jc w:val="center"/>
              <w:rPr>
                <w:rFonts w:hint="default" w:ascii="Times New Roman" w:hAnsi="Times New Roman" w:cs="Times New Roman"/>
                <w:color w:val="auto"/>
                <w:sz w:val="21"/>
                <w:szCs w:val="21"/>
                <w:highlight w:val="none"/>
              </w:rPr>
            </w:pPr>
          </w:p>
        </w:tc>
        <w:tc>
          <w:tcPr>
            <w:tcW w:w="1525" w:type="pct"/>
            <w:noWrap w:val="0"/>
            <w:vAlign w:val="center"/>
          </w:tcPr>
          <w:p w14:paraId="02D19A35">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生态保护红线内的生态功能区严格按照《关于在国土空间规划中统筹划定落实三条控制线的指导意见》等相关要求管理。</w:t>
            </w:r>
          </w:p>
        </w:tc>
        <w:tc>
          <w:tcPr>
            <w:tcW w:w="1257" w:type="pct"/>
            <w:noWrap w:val="0"/>
            <w:vAlign w:val="center"/>
          </w:tcPr>
          <w:p w14:paraId="2525EBAD">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规划实施严格按照</w:t>
            </w:r>
            <w:r>
              <w:rPr>
                <w:rFonts w:hint="default" w:ascii="Times New Roman" w:hAnsi="Times New Roman" w:eastAsia="宋体" w:cs="Times New Roman"/>
                <w:color w:val="auto"/>
                <w:sz w:val="21"/>
                <w:szCs w:val="21"/>
                <w:highlight w:val="none"/>
              </w:rPr>
              <w:t>严格按照《关于在国土空间规划中统筹划定落实三条控制线的指导意见》等相关要求管理。</w:t>
            </w:r>
          </w:p>
        </w:tc>
        <w:tc>
          <w:tcPr>
            <w:tcW w:w="492" w:type="pct"/>
            <w:noWrap w:val="0"/>
            <w:vAlign w:val="center"/>
          </w:tcPr>
          <w:p w14:paraId="6DC7265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1E685B8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023D941">
            <w:pPr>
              <w:jc w:val="center"/>
              <w:rPr>
                <w:rFonts w:hint="default" w:ascii="Times New Roman" w:hAnsi="Times New Roman" w:cs="Times New Roman"/>
                <w:color w:val="auto"/>
                <w:sz w:val="21"/>
                <w:szCs w:val="21"/>
                <w:highlight w:val="none"/>
              </w:rPr>
            </w:pPr>
          </w:p>
        </w:tc>
        <w:tc>
          <w:tcPr>
            <w:tcW w:w="731" w:type="pct"/>
            <w:noWrap w:val="0"/>
            <w:vAlign w:val="center"/>
          </w:tcPr>
          <w:p w14:paraId="3067BA6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44E6365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5C6F4E7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568C015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7EE0C79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5B4EE9FE">
            <w:pPr>
              <w:jc w:val="center"/>
              <w:rPr>
                <w:rFonts w:hint="default" w:ascii="Times New Roman" w:hAnsi="Times New Roman" w:cs="Times New Roman"/>
                <w:color w:val="auto"/>
                <w:sz w:val="21"/>
                <w:szCs w:val="21"/>
                <w:highlight w:val="none"/>
              </w:rPr>
            </w:pPr>
          </w:p>
        </w:tc>
        <w:tc>
          <w:tcPr>
            <w:tcW w:w="731" w:type="pct"/>
            <w:noWrap w:val="0"/>
            <w:vAlign w:val="center"/>
          </w:tcPr>
          <w:p w14:paraId="3FB1690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534CDE9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0C74B30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68FA60F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7578595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045993B0">
            <w:pPr>
              <w:jc w:val="center"/>
              <w:rPr>
                <w:rFonts w:hint="default" w:ascii="Times New Roman" w:hAnsi="Times New Roman" w:cs="Times New Roman"/>
                <w:color w:val="auto"/>
                <w:sz w:val="21"/>
                <w:szCs w:val="21"/>
                <w:highlight w:val="none"/>
              </w:rPr>
            </w:pPr>
          </w:p>
        </w:tc>
        <w:tc>
          <w:tcPr>
            <w:tcW w:w="731" w:type="pct"/>
            <w:noWrap w:val="0"/>
            <w:vAlign w:val="center"/>
          </w:tcPr>
          <w:p w14:paraId="35129E5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6FF4BE6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3061A49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5E60022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446B65A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408E984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西藏雅鲁藏布大峡谷国家级自然保护区</w:t>
            </w:r>
          </w:p>
          <w:p w14:paraId="7025CDE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(ZH54042410002)</w:t>
            </w:r>
          </w:p>
        </w:tc>
        <w:tc>
          <w:tcPr>
            <w:tcW w:w="731" w:type="pct"/>
            <w:noWrap w:val="0"/>
            <w:vAlign w:val="center"/>
          </w:tcPr>
          <w:p w14:paraId="7089C5C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1525" w:type="pct"/>
            <w:noWrap w:val="0"/>
            <w:vAlign w:val="center"/>
          </w:tcPr>
          <w:p w14:paraId="0F374596">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执行《中华人民共和国自然保护区条例（2017年修订）》《在国家级自然保护区修筑设施审批管理暂行办法》《关于进一步加强涉及自然保护区开发建设活动监督管理的通知》《关于做好自然保护区范围及功能分区优化调整前期有关工作的函》《西藏自治区实施〈中华人民共和国自然保护区条例〉办法》等。生态保护红线内的生态功能区严格按照《关于在国土空间规划中统筹划定落实三条控制线的指导意见》等相关要求管理。</w:t>
            </w:r>
          </w:p>
          <w:p w14:paraId="0532303B">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红线之外的区域原则上按限制开发区域的要求进行管理，严格按照《自然生态空间用途管制办法（试行）》等相关要求管理。在进行各类建设开发活动前，应加强对生物多样性影响的评估，任何开发建设活动不得破坏珍稀野生动植物的重要栖息地，不得阻隔野生动物的迁徙道路。</w:t>
            </w:r>
          </w:p>
          <w:p w14:paraId="75F71164">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允许边境县开展抵边、口岸、小康村、高海拔搬迁迁入地、民生及基础设施、边防设施等工程的建设，在建设时应采取相应的防治措施，减少对周边的生态环境影响。自然保护区、饮用水水源保护区等国家法定保护地需严格落实国家及自治区法律法规，法律禁止的人为活动一律禁止布设，法律未明确禁止的以水环境、水资源、水生态为重点的开发项目，需充分论证，谨慎布局。法定保护地以外的区域，禁止可能污染水质、破坏目标水体水生态环境的开发活动，严格控制大规模高强度工矿、城镇开发，因地制宜发展资源环境可承载的适宜产业。原则上禁止新建、改扩建排放大气污染物的工业企业。因科学研究、教学科研需要，必须进入核心区、缓冲区活动的，应向主管部门申请并获得批准。区内现有不符合布局要求的，限期退出或关停。对已造成的污染或损害，应限期治理。各县（区）后续城镇生产、生活活动，不得占用优先保护区。生态保护红线内的生态功能区严格按照《关于在国土空间规划中统筹划定落实三条控制线的指导意见》等相关要求管理。</w:t>
            </w:r>
          </w:p>
        </w:tc>
        <w:tc>
          <w:tcPr>
            <w:tcW w:w="1257" w:type="pct"/>
            <w:noWrap w:val="0"/>
            <w:vAlign w:val="center"/>
          </w:tcPr>
          <w:p w14:paraId="1DD610EB">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规划严格落实</w:t>
            </w:r>
            <w:r>
              <w:rPr>
                <w:rFonts w:hint="default" w:ascii="Times New Roman" w:hAnsi="Times New Roman" w:cs="Times New Roman"/>
                <w:color w:val="auto"/>
                <w:sz w:val="21"/>
                <w:szCs w:val="21"/>
                <w:highlight w:val="none"/>
              </w:rPr>
              <w:t>《中华人民共和国自然保护区条例（2017年修订）》《在国家级自然保护区修筑设施审批管理暂行办法》《关于进一步加强涉及自然保护区开发建设活动监督管理的通知》《关于做好自然保护区范围及功能分区优化调整前期有关工作的函》《西藏自治区实施〈中华人民共和国自然保护区条例〉办法》等</w:t>
            </w:r>
            <w:r>
              <w:rPr>
                <w:rFonts w:hint="default" w:ascii="Times New Roman" w:hAnsi="Times New Roman" w:cs="Times New Roman"/>
                <w:color w:val="auto"/>
                <w:sz w:val="21"/>
                <w:szCs w:val="21"/>
                <w:highlight w:val="none"/>
                <w:lang w:val="en-US" w:eastAsia="zh-CN"/>
              </w:rPr>
              <w:t>相关要求。</w:t>
            </w:r>
            <w:r>
              <w:rPr>
                <w:rFonts w:hint="default" w:ascii="Times New Roman" w:hAnsi="Times New Roman" w:eastAsia="宋体" w:cs="Times New Roman"/>
                <w:color w:val="auto"/>
                <w:sz w:val="21"/>
                <w:szCs w:val="21"/>
                <w:highlight w:val="none"/>
              </w:rPr>
              <w:t>生态保护红线内的生态功能区严格按照《关于在国土空间规划中统筹划定落实三条控制线的指导意见》等相关要求管理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红线之外的区域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严格按照《自然生态空间用途管制办法（试行）》等相关要求管理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规划要求</w:t>
            </w:r>
            <w:r>
              <w:rPr>
                <w:rFonts w:hint="default" w:ascii="Times New Roman" w:hAnsi="Times New Roman" w:eastAsia="宋体" w:cs="Times New Roman"/>
                <w:color w:val="auto"/>
                <w:sz w:val="21"/>
                <w:szCs w:val="21"/>
                <w:highlight w:val="none"/>
              </w:rPr>
              <w:t>在进行各类建设开发活动前，应加强对生物多样性影响的评估，任何开发建设活动不得破坏珍稀野生动植物的重要栖息地，不得阻隔野生动物的迁徙道路。</w:t>
            </w:r>
          </w:p>
          <w:p w14:paraId="049DF33E">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本项目不涉及集中式</w:t>
            </w:r>
            <w:r>
              <w:rPr>
                <w:rFonts w:hint="default" w:ascii="Times New Roman" w:hAnsi="Times New Roman" w:cs="Times New Roman"/>
                <w:color w:val="auto"/>
                <w:sz w:val="21"/>
                <w:szCs w:val="21"/>
                <w:highlight w:val="none"/>
              </w:rPr>
              <w:t>饮用水水源保护区</w:t>
            </w:r>
            <w:r>
              <w:rPr>
                <w:rFonts w:hint="default" w:ascii="Times New Roman" w:hAnsi="Times New Roman" w:cs="Times New Roman"/>
                <w:color w:val="auto"/>
                <w:sz w:val="21"/>
                <w:szCs w:val="21"/>
                <w:highlight w:val="none"/>
                <w:lang w:eastAsia="zh-CN"/>
              </w:rPr>
              <w:t>，西藏雅鲁藏布大峡谷国家级自然保护区</w:t>
            </w:r>
            <w:r>
              <w:rPr>
                <w:rFonts w:hint="default" w:ascii="Times New Roman" w:hAnsi="Times New Roman" w:cs="Times New Roman"/>
                <w:color w:val="auto"/>
                <w:sz w:val="21"/>
                <w:szCs w:val="21"/>
                <w:highlight w:val="none"/>
                <w:lang w:val="en-US" w:eastAsia="zh-CN"/>
              </w:rPr>
              <w:t>需</w:t>
            </w:r>
            <w:r>
              <w:rPr>
                <w:rFonts w:hint="default" w:ascii="Times New Roman" w:hAnsi="Times New Roman" w:cs="Times New Roman"/>
                <w:color w:val="auto"/>
                <w:sz w:val="21"/>
                <w:szCs w:val="21"/>
                <w:highlight w:val="none"/>
              </w:rPr>
              <w:t>严格落实国家及自治区法律法规，法律禁止的人为活动一律禁止布设，</w:t>
            </w:r>
            <w:r>
              <w:rPr>
                <w:rFonts w:hint="default" w:ascii="Times New Roman" w:hAnsi="Times New Roman" w:cs="Times New Roman"/>
                <w:color w:val="auto"/>
                <w:sz w:val="21"/>
                <w:szCs w:val="21"/>
                <w:highlight w:val="none"/>
                <w:lang w:val="en-US" w:eastAsia="zh-CN"/>
              </w:rPr>
              <w:t>未布设</w:t>
            </w:r>
            <w:r>
              <w:rPr>
                <w:rFonts w:hint="default" w:ascii="Times New Roman" w:hAnsi="Times New Roman" w:cs="Times New Roman"/>
                <w:color w:val="auto"/>
                <w:sz w:val="21"/>
                <w:szCs w:val="21"/>
                <w:highlight w:val="none"/>
              </w:rPr>
              <w:t>以水环境、水资源、水生态为重点的开发项目。</w:t>
            </w:r>
            <w:r>
              <w:rPr>
                <w:rFonts w:hint="default"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可能污染水质、破坏目标水体水生态环境的开发活动，严格控制大规模高强度城镇开发</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工矿</w:t>
            </w:r>
            <w:r>
              <w:rPr>
                <w:rFonts w:hint="default" w:ascii="Times New Roman" w:hAnsi="Times New Roman" w:cs="Times New Roman"/>
                <w:color w:val="auto"/>
                <w:sz w:val="21"/>
                <w:szCs w:val="21"/>
                <w:highlight w:val="none"/>
                <w:lang w:val="en-US" w:eastAsia="zh-CN"/>
              </w:rPr>
              <w:t>企业</w:t>
            </w:r>
            <w:r>
              <w:rPr>
                <w:rFonts w:hint="default" w:ascii="Times New Roman" w:hAnsi="Times New Roman" w:cs="Times New Roman"/>
                <w:color w:val="auto"/>
                <w:sz w:val="21"/>
                <w:szCs w:val="21"/>
                <w:highlight w:val="none"/>
              </w:rPr>
              <w:t>，因地制宜发展资源环境可承载的适宜产业。</w:t>
            </w:r>
            <w:r>
              <w:rPr>
                <w:rFonts w:hint="default" w:ascii="Times New Roman" w:hAnsi="Times New Roman" w:cs="Times New Roman"/>
                <w:color w:val="auto"/>
                <w:sz w:val="21"/>
                <w:szCs w:val="21"/>
                <w:highlight w:val="none"/>
                <w:lang w:val="en-US" w:eastAsia="zh-CN"/>
              </w:rPr>
              <w:t>本规划不涉及</w:t>
            </w:r>
            <w:r>
              <w:rPr>
                <w:rFonts w:hint="default" w:ascii="Times New Roman" w:hAnsi="Times New Roman" w:eastAsia="宋体" w:cs="Times New Roman"/>
                <w:color w:val="auto"/>
                <w:sz w:val="21"/>
                <w:szCs w:val="21"/>
                <w:highlight w:val="none"/>
                <w:lang w:eastAsia="zh-CN"/>
              </w:rPr>
              <w:t>核心区、缓冲区，</w:t>
            </w:r>
            <w:r>
              <w:rPr>
                <w:rFonts w:hint="default" w:ascii="Times New Roman" w:hAnsi="Times New Roman" w:eastAsia="宋体" w:cs="Times New Roman"/>
                <w:color w:val="auto"/>
                <w:sz w:val="21"/>
                <w:szCs w:val="21"/>
                <w:highlight w:val="none"/>
                <w:lang w:val="en-US" w:eastAsia="zh-CN"/>
              </w:rPr>
              <w:t>规划区，区内现有设施均</w:t>
            </w:r>
            <w:r>
              <w:rPr>
                <w:rFonts w:hint="default" w:ascii="Times New Roman" w:hAnsi="Times New Roman" w:eastAsia="宋体" w:cs="Times New Roman"/>
                <w:color w:val="auto"/>
                <w:sz w:val="21"/>
                <w:szCs w:val="21"/>
                <w:highlight w:val="none"/>
                <w:lang w:eastAsia="zh-CN"/>
              </w:rPr>
              <w:t>符合布局要求，</w:t>
            </w:r>
            <w:r>
              <w:rPr>
                <w:rFonts w:hint="default" w:ascii="Times New Roman" w:hAnsi="Times New Roman" w:eastAsia="宋体" w:cs="Times New Roman"/>
                <w:color w:val="auto"/>
                <w:sz w:val="21"/>
                <w:szCs w:val="21"/>
                <w:highlight w:val="none"/>
                <w:lang w:val="en-US" w:eastAsia="zh-CN"/>
              </w:rPr>
              <w:t>不涉及</w:t>
            </w:r>
            <w:r>
              <w:rPr>
                <w:rFonts w:hint="default" w:ascii="Times New Roman" w:hAnsi="Times New Roman" w:eastAsia="宋体" w:cs="Times New Roman"/>
                <w:color w:val="auto"/>
                <w:sz w:val="21"/>
                <w:szCs w:val="21"/>
                <w:highlight w:val="none"/>
                <w:lang w:eastAsia="zh-CN"/>
              </w:rPr>
              <w:t>已造成的污染或损害，</w:t>
            </w:r>
            <w:r>
              <w:rPr>
                <w:rFonts w:hint="default" w:ascii="Times New Roman" w:hAnsi="Times New Roman" w:eastAsia="宋体" w:cs="Times New Roman"/>
                <w:color w:val="auto"/>
                <w:sz w:val="21"/>
                <w:szCs w:val="21"/>
                <w:highlight w:val="none"/>
                <w:lang w:val="en-US" w:eastAsia="zh-CN"/>
              </w:rPr>
              <w:t>规划区不涉及</w:t>
            </w:r>
            <w:r>
              <w:rPr>
                <w:rFonts w:hint="default" w:ascii="Times New Roman" w:hAnsi="Times New Roman" w:eastAsia="宋体" w:cs="Times New Roman"/>
                <w:color w:val="auto"/>
                <w:sz w:val="21"/>
                <w:szCs w:val="21"/>
                <w:highlight w:val="none"/>
                <w:lang w:eastAsia="zh-CN"/>
              </w:rPr>
              <w:t>城镇生产、生活活动。</w:t>
            </w:r>
            <w:r>
              <w:rPr>
                <w:rFonts w:hint="default" w:ascii="Times New Roman" w:hAnsi="Times New Roman" w:cs="Times New Roman"/>
                <w:color w:val="auto"/>
                <w:sz w:val="21"/>
                <w:szCs w:val="21"/>
                <w:highlight w:val="none"/>
              </w:rPr>
              <w:t>生态保护红线内的生态功能区严格按照《关于在国土空间规划中统筹划定落实三条控制线的指导意见》等相关要求管理。</w:t>
            </w:r>
          </w:p>
        </w:tc>
        <w:tc>
          <w:tcPr>
            <w:tcW w:w="492" w:type="pct"/>
            <w:noWrap w:val="0"/>
            <w:vAlign w:val="center"/>
          </w:tcPr>
          <w:p w14:paraId="39AAE15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3B11A4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36530A1A">
            <w:pPr>
              <w:jc w:val="center"/>
              <w:rPr>
                <w:rFonts w:hint="default" w:ascii="Times New Roman" w:hAnsi="Times New Roman" w:cs="Times New Roman"/>
                <w:color w:val="auto"/>
                <w:sz w:val="21"/>
                <w:szCs w:val="21"/>
                <w:highlight w:val="none"/>
              </w:rPr>
            </w:pPr>
          </w:p>
        </w:tc>
        <w:tc>
          <w:tcPr>
            <w:tcW w:w="731" w:type="pct"/>
            <w:noWrap w:val="0"/>
            <w:vAlign w:val="center"/>
          </w:tcPr>
          <w:p w14:paraId="357E10F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6AFDD10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4411D2A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0E84738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74BB7D6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top"/>
          </w:tcPr>
          <w:p w14:paraId="4379A2DE">
            <w:pPr>
              <w:jc w:val="center"/>
              <w:rPr>
                <w:rFonts w:hint="default" w:ascii="Times New Roman" w:hAnsi="Times New Roman" w:cs="Times New Roman"/>
                <w:color w:val="auto"/>
                <w:sz w:val="21"/>
                <w:szCs w:val="21"/>
                <w:highlight w:val="none"/>
              </w:rPr>
            </w:pPr>
          </w:p>
        </w:tc>
        <w:tc>
          <w:tcPr>
            <w:tcW w:w="731" w:type="pct"/>
            <w:noWrap w:val="0"/>
            <w:vAlign w:val="center"/>
          </w:tcPr>
          <w:p w14:paraId="1C1E232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641F0D8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5FB5530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1921EF4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5A9B814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top"/>
          </w:tcPr>
          <w:p w14:paraId="7C1693D0">
            <w:pPr>
              <w:jc w:val="center"/>
              <w:rPr>
                <w:rFonts w:hint="default" w:ascii="Times New Roman" w:hAnsi="Times New Roman" w:cs="Times New Roman"/>
                <w:color w:val="auto"/>
                <w:sz w:val="21"/>
                <w:szCs w:val="21"/>
                <w:highlight w:val="none"/>
              </w:rPr>
            </w:pPr>
          </w:p>
          <w:p w14:paraId="100D036E">
            <w:pPr>
              <w:jc w:val="center"/>
              <w:rPr>
                <w:rFonts w:hint="default" w:ascii="Times New Roman" w:hAnsi="Times New Roman" w:cs="Times New Roman"/>
                <w:color w:val="auto"/>
                <w:sz w:val="21"/>
                <w:szCs w:val="21"/>
                <w:highlight w:val="none"/>
              </w:rPr>
            </w:pPr>
          </w:p>
        </w:tc>
        <w:tc>
          <w:tcPr>
            <w:tcW w:w="731" w:type="pct"/>
            <w:noWrap w:val="0"/>
            <w:vAlign w:val="center"/>
          </w:tcPr>
          <w:p w14:paraId="0ED8ED6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3EFB634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57" w:type="pct"/>
            <w:shd w:val="clear" w:color="auto" w:fill="auto"/>
            <w:noWrap w:val="0"/>
            <w:vAlign w:val="center"/>
          </w:tcPr>
          <w:p w14:paraId="665BB8C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92" w:type="pct"/>
            <w:shd w:val="clear" w:color="auto" w:fill="auto"/>
            <w:noWrap w:val="0"/>
            <w:vAlign w:val="center"/>
          </w:tcPr>
          <w:p w14:paraId="29D03AC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5E579C4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28563E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波密县水能资源开发河段</w:t>
            </w:r>
          </w:p>
          <w:p w14:paraId="6AA8A9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(ZH54042420002)</w:t>
            </w:r>
          </w:p>
        </w:tc>
        <w:tc>
          <w:tcPr>
            <w:tcW w:w="731" w:type="pct"/>
            <w:vMerge w:val="restart"/>
            <w:shd w:val="clear" w:color="auto" w:fill="auto"/>
            <w:noWrap w:val="0"/>
            <w:vAlign w:val="center"/>
          </w:tcPr>
          <w:p w14:paraId="0C2E0A6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050EE467">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1.水电开发必须服从流域综合规划、水电规划及其规划环评。</w:t>
            </w:r>
          </w:p>
        </w:tc>
        <w:tc>
          <w:tcPr>
            <w:tcW w:w="1257" w:type="pct"/>
            <w:vMerge w:val="restart"/>
            <w:shd w:val="clear" w:color="auto" w:fill="auto"/>
            <w:noWrap w:val="0"/>
            <w:vAlign w:val="center"/>
          </w:tcPr>
          <w:p w14:paraId="30C78312">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规划区不涉及开发水电资源，不设置配套的取料场、弃渣场、施工便道和生活营地等临时设施</w:t>
            </w:r>
          </w:p>
        </w:tc>
        <w:tc>
          <w:tcPr>
            <w:tcW w:w="492" w:type="pct"/>
            <w:vMerge w:val="restart"/>
            <w:shd w:val="clear" w:color="auto" w:fill="auto"/>
            <w:noWrap w:val="0"/>
            <w:vAlign w:val="center"/>
          </w:tcPr>
          <w:p w14:paraId="2D4B00E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580BCFC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47467CA1">
            <w:pPr>
              <w:jc w:val="center"/>
              <w:rPr>
                <w:rFonts w:hint="default" w:ascii="Times New Roman" w:hAnsi="Times New Roman" w:eastAsia="宋体" w:cs="Times New Roman"/>
                <w:color w:val="auto"/>
                <w:sz w:val="21"/>
                <w:szCs w:val="21"/>
                <w:highlight w:val="none"/>
              </w:rPr>
            </w:pPr>
          </w:p>
        </w:tc>
        <w:tc>
          <w:tcPr>
            <w:tcW w:w="731" w:type="pct"/>
            <w:vMerge w:val="continue"/>
            <w:shd w:val="clear" w:color="auto" w:fill="auto"/>
            <w:noWrap w:val="0"/>
            <w:vAlign w:val="center"/>
          </w:tcPr>
          <w:p w14:paraId="00271995">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7EE1DE73">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2.坚持在确保生态安全的前提下，有序开发水电资源，确保流域生态流量，保护河流生态系统。</w:t>
            </w:r>
          </w:p>
        </w:tc>
        <w:tc>
          <w:tcPr>
            <w:tcW w:w="1257" w:type="pct"/>
            <w:vMerge w:val="continue"/>
            <w:shd w:val="clear" w:color="auto" w:fill="auto"/>
            <w:noWrap w:val="0"/>
            <w:vAlign w:val="center"/>
          </w:tcPr>
          <w:p w14:paraId="71486D7B">
            <w:pPr>
              <w:jc w:val="both"/>
              <w:rPr>
                <w:rFonts w:hint="default" w:ascii="Times New Roman" w:hAnsi="Times New Roman" w:eastAsia="宋体" w:cs="Times New Roman"/>
                <w:color w:val="auto"/>
                <w:kern w:val="2"/>
                <w:sz w:val="21"/>
                <w:szCs w:val="21"/>
                <w:highlight w:val="none"/>
                <w:lang w:val="en-US" w:eastAsia="zh-CN" w:bidi="ar-SA"/>
              </w:rPr>
            </w:pPr>
          </w:p>
        </w:tc>
        <w:tc>
          <w:tcPr>
            <w:tcW w:w="492" w:type="pct"/>
            <w:vMerge w:val="continue"/>
            <w:shd w:val="clear" w:color="auto" w:fill="auto"/>
            <w:noWrap w:val="0"/>
            <w:vAlign w:val="center"/>
          </w:tcPr>
          <w:p w14:paraId="5E4529A9">
            <w:pPr>
              <w:jc w:val="center"/>
              <w:rPr>
                <w:rFonts w:hint="default" w:ascii="Times New Roman" w:hAnsi="Times New Roman" w:cs="Times New Roman"/>
                <w:color w:val="auto"/>
                <w:sz w:val="21"/>
                <w:szCs w:val="21"/>
                <w:highlight w:val="none"/>
              </w:rPr>
            </w:pPr>
          </w:p>
        </w:tc>
      </w:tr>
      <w:tr w14:paraId="7F8495B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4BDBCC9C">
            <w:pPr>
              <w:jc w:val="center"/>
              <w:rPr>
                <w:rFonts w:hint="default" w:ascii="Times New Roman" w:hAnsi="Times New Roman" w:eastAsia="宋体" w:cs="Times New Roman"/>
                <w:color w:val="auto"/>
                <w:sz w:val="21"/>
                <w:szCs w:val="21"/>
                <w:highlight w:val="none"/>
              </w:rPr>
            </w:pPr>
          </w:p>
        </w:tc>
        <w:tc>
          <w:tcPr>
            <w:tcW w:w="731" w:type="pct"/>
            <w:vMerge w:val="continue"/>
            <w:shd w:val="clear" w:color="auto" w:fill="auto"/>
            <w:noWrap w:val="0"/>
            <w:vAlign w:val="center"/>
          </w:tcPr>
          <w:p w14:paraId="57DEB7EB">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0FC847D9">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3.禁止在自然保护区、风景名胜区及其他具有特殊保护价值的地区开发水电资源。限制在生态脆弱地区和重要生态功能区进行水电资源开发，需要开发的必须要充分论证对生态影响及相关保护措施。</w:t>
            </w:r>
          </w:p>
        </w:tc>
        <w:tc>
          <w:tcPr>
            <w:tcW w:w="1257" w:type="pct"/>
            <w:vMerge w:val="continue"/>
            <w:shd w:val="clear" w:color="auto" w:fill="auto"/>
            <w:noWrap w:val="0"/>
            <w:vAlign w:val="center"/>
          </w:tcPr>
          <w:p w14:paraId="3C062A79">
            <w:pPr>
              <w:jc w:val="both"/>
              <w:rPr>
                <w:rFonts w:hint="default" w:ascii="Times New Roman" w:hAnsi="Times New Roman" w:eastAsia="宋体" w:cs="Times New Roman"/>
                <w:color w:val="auto"/>
                <w:kern w:val="2"/>
                <w:sz w:val="21"/>
                <w:szCs w:val="21"/>
                <w:highlight w:val="none"/>
                <w:lang w:val="en-US" w:eastAsia="zh-CN" w:bidi="ar-SA"/>
              </w:rPr>
            </w:pPr>
          </w:p>
        </w:tc>
        <w:tc>
          <w:tcPr>
            <w:tcW w:w="492" w:type="pct"/>
            <w:vMerge w:val="continue"/>
            <w:shd w:val="clear" w:color="auto" w:fill="auto"/>
            <w:noWrap w:val="0"/>
            <w:vAlign w:val="center"/>
          </w:tcPr>
          <w:p w14:paraId="68D120A1">
            <w:pPr>
              <w:jc w:val="center"/>
              <w:rPr>
                <w:rFonts w:hint="default" w:ascii="Times New Roman" w:hAnsi="Times New Roman" w:cs="Times New Roman"/>
                <w:color w:val="auto"/>
                <w:sz w:val="21"/>
                <w:szCs w:val="21"/>
                <w:highlight w:val="none"/>
              </w:rPr>
            </w:pPr>
          </w:p>
        </w:tc>
      </w:tr>
      <w:tr w14:paraId="32DA319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51D41D74">
            <w:pPr>
              <w:jc w:val="center"/>
              <w:rPr>
                <w:rFonts w:hint="default" w:ascii="Times New Roman" w:hAnsi="Times New Roman" w:eastAsia="宋体" w:cs="Times New Roman"/>
                <w:color w:val="auto"/>
                <w:sz w:val="21"/>
                <w:szCs w:val="21"/>
                <w:highlight w:val="none"/>
              </w:rPr>
            </w:pPr>
          </w:p>
        </w:tc>
        <w:tc>
          <w:tcPr>
            <w:tcW w:w="731" w:type="pct"/>
            <w:vMerge w:val="continue"/>
            <w:shd w:val="clear" w:color="auto" w:fill="auto"/>
            <w:noWrap w:val="0"/>
            <w:vAlign w:val="center"/>
          </w:tcPr>
          <w:p w14:paraId="133DA531">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54547A03">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4.应充分考虑环境影响和景观影响，科学设计、优化选址选线。按照环境影响评价要求，设置取料场、弃渣场、施工便道和生活营地等临时设施，及时进行生态恢复。</w:t>
            </w:r>
          </w:p>
        </w:tc>
        <w:tc>
          <w:tcPr>
            <w:tcW w:w="1257" w:type="pct"/>
            <w:vMerge w:val="continue"/>
            <w:shd w:val="clear" w:color="auto" w:fill="auto"/>
            <w:noWrap w:val="0"/>
            <w:vAlign w:val="center"/>
          </w:tcPr>
          <w:p w14:paraId="584F4056">
            <w:pPr>
              <w:jc w:val="both"/>
              <w:rPr>
                <w:rFonts w:hint="default" w:ascii="Times New Roman" w:hAnsi="Times New Roman" w:eastAsia="宋体" w:cs="Times New Roman"/>
                <w:color w:val="auto"/>
                <w:kern w:val="2"/>
                <w:sz w:val="21"/>
                <w:szCs w:val="21"/>
                <w:highlight w:val="none"/>
                <w:lang w:val="en-US" w:eastAsia="zh-CN" w:bidi="ar-SA"/>
              </w:rPr>
            </w:pPr>
          </w:p>
        </w:tc>
        <w:tc>
          <w:tcPr>
            <w:tcW w:w="492" w:type="pct"/>
            <w:vMerge w:val="continue"/>
            <w:shd w:val="clear" w:color="auto" w:fill="auto"/>
            <w:noWrap w:val="0"/>
            <w:vAlign w:val="center"/>
          </w:tcPr>
          <w:p w14:paraId="3507EFD5">
            <w:pPr>
              <w:jc w:val="center"/>
              <w:rPr>
                <w:rFonts w:hint="default" w:ascii="Times New Roman" w:hAnsi="Times New Roman" w:cs="Times New Roman"/>
                <w:color w:val="auto"/>
                <w:sz w:val="21"/>
                <w:szCs w:val="21"/>
                <w:highlight w:val="none"/>
              </w:rPr>
            </w:pPr>
          </w:p>
        </w:tc>
      </w:tr>
      <w:tr w14:paraId="7D4320B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34C70E60">
            <w:pPr>
              <w:jc w:val="center"/>
              <w:rPr>
                <w:rFonts w:hint="default" w:ascii="Times New Roman" w:hAnsi="Times New Roman" w:eastAsia="宋体" w:cs="Times New Roman"/>
                <w:color w:val="auto"/>
                <w:sz w:val="21"/>
                <w:szCs w:val="21"/>
                <w:highlight w:val="none"/>
              </w:rPr>
            </w:pPr>
          </w:p>
        </w:tc>
        <w:tc>
          <w:tcPr>
            <w:tcW w:w="731" w:type="pct"/>
            <w:vMerge w:val="continue"/>
            <w:shd w:val="clear" w:color="auto" w:fill="auto"/>
            <w:noWrap w:val="0"/>
            <w:vAlign w:val="center"/>
          </w:tcPr>
          <w:p w14:paraId="2907F553">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5E58CF5C">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5.除边境建设必须以外，严格禁止新建装机50兆瓦以下的小水电站。</w:t>
            </w:r>
          </w:p>
        </w:tc>
        <w:tc>
          <w:tcPr>
            <w:tcW w:w="1257" w:type="pct"/>
            <w:vMerge w:val="continue"/>
            <w:shd w:val="clear" w:color="auto" w:fill="auto"/>
            <w:noWrap w:val="0"/>
            <w:vAlign w:val="center"/>
          </w:tcPr>
          <w:p w14:paraId="03C3C121">
            <w:pPr>
              <w:jc w:val="both"/>
              <w:rPr>
                <w:rFonts w:hint="default" w:ascii="Times New Roman" w:hAnsi="Times New Roman" w:eastAsia="宋体" w:cs="Times New Roman"/>
                <w:color w:val="auto"/>
                <w:kern w:val="2"/>
                <w:sz w:val="21"/>
                <w:szCs w:val="21"/>
                <w:highlight w:val="none"/>
                <w:lang w:val="en-US" w:eastAsia="zh-CN" w:bidi="ar-SA"/>
              </w:rPr>
            </w:pPr>
          </w:p>
        </w:tc>
        <w:tc>
          <w:tcPr>
            <w:tcW w:w="492" w:type="pct"/>
            <w:vMerge w:val="continue"/>
            <w:shd w:val="clear" w:color="auto" w:fill="auto"/>
            <w:noWrap w:val="0"/>
            <w:vAlign w:val="center"/>
          </w:tcPr>
          <w:p w14:paraId="68F357D9">
            <w:pPr>
              <w:jc w:val="center"/>
              <w:rPr>
                <w:rFonts w:hint="default" w:ascii="Times New Roman" w:hAnsi="Times New Roman" w:cs="Times New Roman"/>
                <w:color w:val="auto"/>
                <w:sz w:val="21"/>
                <w:szCs w:val="21"/>
                <w:highlight w:val="none"/>
              </w:rPr>
            </w:pPr>
          </w:p>
        </w:tc>
      </w:tr>
      <w:tr w14:paraId="7AAAF12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60DE7BE1">
            <w:pPr>
              <w:jc w:val="center"/>
              <w:rPr>
                <w:rFonts w:hint="default" w:ascii="Times New Roman" w:hAnsi="Times New Roman" w:eastAsia="宋体" w:cs="Times New Roman"/>
                <w:color w:val="auto"/>
                <w:sz w:val="21"/>
                <w:szCs w:val="21"/>
                <w:highlight w:val="none"/>
              </w:rPr>
            </w:pPr>
          </w:p>
        </w:tc>
        <w:tc>
          <w:tcPr>
            <w:tcW w:w="731" w:type="pct"/>
            <w:shd w:val="clear" w:color="auto" w:fill="auto"/>
            <w:noWrap w:val="0"/>
            <w:vAlign w:val="center"/>
          </w:tcPr>
          <w:p w14:paraId="2271088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6CA3D2D6">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强化水电站废机油等危险废物管理。制定环境风险应急预案，建立环境风险防范措施。</w:t>
            </w:r>
          </w:p>
        </w:tc>
        <w:tc>
          <w:tcPr>
            <w:tcW w:w="1257" w:type="pct"/>
            <w:vMerge w:val="continue"/>
            <w:shd w:val="clear" w:color="auto" w:fill="auto"/>
            <w:noWrap w:val="0"/>
            <w:vAlign w:val="center"/>
          </w:tcPr>
          <w:p w14:paraId="09B384ED">
            <w:pPr>
              <w:jc w:val="both"/>
              <w:rPr>
                <w:rFonts w:hint="default" w:ascii="Times New Roman" w:hAnsi="Times New Roman" w:eastAsia="宋体" w:cs="Times New Roman"/>
                <w:color w:val="auto"/>
                <w:kern w:val="2"/>
                <w:sz w:val="21"/>
                <w:szCs w:val="21"/>
                <w:highlight w:val="none"/>
                <w:lang w:val="en-US" w:eastAsia="zh-CN" w:bidi="ar-SA"/>
              </w:rPr>
            </w:pPr>
          </w:p>
        </w:tc>
        <w:tc>
          <w:tcPr>
            <w:tcW w:w="492" w:type="pct"/>
            <w:vMerge w:val="continue"/>
            <w:shd w:val="clear" w:color="auto" w:fill="auto"/>
            <w:noWrap w:val="0"/>
            <w:vAlign w:val="center"/>
          </w:tcPr>
          <w:p w14:paraId="730234CB">
            <w:pPr>
              <w:jc w:val="center"/>
              <w:rPr>
                <w:rFonts w:hint="default" w:ascii="Times New Roman" w:hAnsi="Times New Roman" w:eastAsia="宋体" w:cs="Times New Roman"/>
                <w:color w:val="auto"/>
                <w:kern w:val="2"/>
                <w:sz w:val="21"/>
                <w:szCs w:val="21"/>
                <w:highlight w:val="none"/>
                <w:lang w:val="en-US" w:eastAsia="zh-CN" w:bidi="ar-SA"/>
              </w:rPr>
            </w:pPr>
          </w:p>
        </w:tc>
      </w:tr>
      <w:tr w14:paraId="5891840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C2F1EFD">
            <w:pPr>
              <w:jc w:val="center"/>
              <w:rPr>
                <w:rFonts w:hint="default" w:ascii="Times New Roman" w:hAnsi="Times New Roman" w:eastAsia="宋体" w:cs="Times New Roman"/>
                <w:color w:val="auto"/>
                <w:sz w:val="21"/>
                <w:szCs w:val="21"/>
                <w:highlight w:val="none"/>
              </w:rPr>
            </w:pPr>
          </w:p>
        </w:tc>
        <w:tc>
          <w:tcPr>
            <w:tcW w:w="731" w:type="pct"/>
            <w:shd w:val="clear" w:color="auto" w:fill="auto"/>
            <w:noWrap w:val="0"/>
            <w:vAlign w:val="center"/>
          </w:tcPr>
          <w:p w14:paraId="279770A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noWrap w:val="0"/>
            <w:vAlign w:val="center"/>
          </w:tcPr>
          <w:p w14:paraId="3C04A7BB">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电站建设和运行产生的废水根据水体功能区划，处理后综合利用禁止外排或达标排放。</w:t>
            </w:r>
          </w:p>
        </w:tc>
        <w:tc>
          <w:tcPr>
            <w:tcW w:w="1257" w:type="pct"/>
            <w:vMerge w:val="continue"/>
            <w:noWrap w:val="0"/>
            <w:vAlign w:val="center"/>
          </w:tcPr>
          <w:p w14:paraId="7F8D84A4">
            <w:pPr>
              <w:jc w:val="both"/>
              <w:rPr>
                <w:rFonts w:hint="default" w:ascii="Times New Roman" w:hAnsi="Times New Roman" w:eastAsia="宋体" w:cs="Times New Roman"/>
                <w:color w:val="auto"/>
                <w:sz w:val="21"/>
                <w:szCs w:val="21"/>
                <w:highlight w:val="none"/>
                <w:lang w:val="en-US" w:eastAsia="zh-CN"/>
              </w:rPr>
            </w:pPr>
          </w:p>
        </w:tc>
        <w:tc>
          <w:tcPr>
            <w:tcW w:w="492" w:type="pct"/>
            <w:vMerge w:val="continue"/>
            <w:noWrap w:val="0"/>
            <w:vAlign w:val="center"/>
          </w:tcPr>
          <w:p w14:paraId="16E2EFB0">
            <w:pPr>
              <w:jc w:val="center"/>
              <w:rPr>
                <w:rFonts w:hint="default" w:ascii="Times New Roman" w:hAnsi="Times New Roman" w:eastAsia="宋体" w:cs="Times New Roman"/>
                <w:color w:val="auto"/>
                <w:sz w:val="21"/>
                <w:szCs w:val="21"/>
                <w:highlight w:val="none"/>
                <w:lang w:val="en-US" w:eastAsia="zh-CN"/>
              </w:rPr>
            </w:pPr>
          </w:p>
        </w:tc>
      </w:tr>
      <w:tr w14:paraId="2F997CB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2FA314FC">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20B8D21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298F4795">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遵循统筹兼顾、确保底线的原则，有序开发主要江河干流，支流开发服从于干流开发，确保流域生态流量。重点保障枯水期生态基流。</w:t>
            </w:r>
          </w:p>
        </w:tc>
        <w:tc>
          <w:tcPr>
            <w:tcW w:w="1257" w:type="pct"/>
            <w:vMerge w:val="continue"/>
            <w:shd w:val="clear" w:color="auto" w:fill="auto"/>
            <w:noWrap w:val="0"/>
            <w:vAlign w:val="center"/>
          </w:tcPr>
          <w:p w14:paraId="4DC347FB">
            <w:pPr>
              <w:jc w:val="both"/>
              <w:rPr>
                <w:rFonts w:hint="default" w:ascii="Times New Roman" w:hAnsi="Times New Roman" w:eastAsia="宋体" w:cs="Times New Roman"/>
                <w:color w:val="auto"/>
                <w:kern w:val="2"/>
                <w:sz w:val="21"/>
                <w:szCs w:val="21"/>
                <w:highlight w:val="none"/>
                <w:lang w:val="en-US" w:eastAsia="zh-CN" w:bidi="ar-SA"/>
              </w:rPr>
            </w:pPr>
          </w:p>
        </w:tc>
        <w:tc>
          <w:tcPr>
            <w:tcW w:w="492" w:type="pct"/>
            <w:vMerge w:val="continue"/>
            <w:shd w:val="clear" w:color="auto" w:fill="auto"/>
            <w:noWrap w:val="0"/>
            <w:vAlign w:val="center"/>
          </w:tcPr>
          <w:p w14:paraId="03E8A5C4">
            <w:pPr>
              <w:jc w:val="center"/>
              <w:rPr>
                <w:rFonts w:hint="default" w:ascii="Times New Roman" w:hAnsi="Times New Roman" w:eastAsia="宋体" w:cs="Times New Roman"/>
                <w:color w:val="auto"/>
                <w:kern w:val="2"/>
                <w:sz w:val="21"/>
                <w:szCs w:val="21"/>
                <w:highlight w:val="none"/>
                <w:lang w:val="en-US" w:eastAsia="zh-CN" w:bidi="ar-SA"/>
              </w:rPr>
            </w:pPr>
          </w:p>
        </w:tc>
      </w:tr>
      <w:tr w14:paraId="4D5AC2C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280C1B0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西藏自治区林芝市波密县一般生态空间3</w:t>
            </w:r>
          </w:p>
          <w:p w14:paraId="71E9BAB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(YS5404241130003)</w:t>
            </w:r>
          </w:p>
        </w:tc>
        <w:tc>
          <w:tcPr>
            <w:tcW w:w="731" w:type="pct"/>
            <w:vMerge w:val="restart"/>
            <w:shd w:val="clear" w:color="auto" w:fill="auto"/>
            <w:noWrap w:val="0"/>
            <w:vAlign w:val="center"/>
          </w:tcPr>
          <w:p w14:paraId="6C9E2AE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52A6D740">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1、原则上按照限制开发区域进行管理，限制有损生物多样性维护功能的开发建设活动。</w:t>
            </w:r>
          </w:p>
        </w:tc>
        <w:tc>
          <w:tcPr>
            <w:tcW w:w="1257" w:type="pct"/>
            <w:shd w:val="clear" w:color="auto" w:fill="auto"/>
            <w:noWrap w:val="0"/>
            <w:vAlign w:val="center"/>
          </w:tcPr>
          <w:p w14:paraId="0B606ACD">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规划项目不涉及有损生物多样性维护功能的开发建设活动。</w:t>
            </w:r>
          </w:p>
        </w:tc>
        <w:tc>
          <w:tcPr>
            <w:tcW w:w="492" w:type="pct"/>
            <w:shd w:val="clear" w:color="auto" w:fill="auto"/>
            <w:noWrap w:val="0"/>
            <w:vAlign w:val="center"/>
          </w:tcPr>
          <w:p w14:paraId="176DD59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62D85F5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6DFD81B0">
            <w:pPr>
              <w:jc w:val="center"/>
              <w:rPr>
                <w:rFonts w:hint="default" w:ascii="Times New Roman" w:hAnsi="Times New Roman" w:cs="Times New Roman"/>
                <w:color w:val="auto"/>
                <w:sz w:val="21"/>
                <w:szCs w:val="21"/>
                <w:highlight w:val="none"/>
              </w:rPr>
            </w:pPr>
          </w:p>
        </w:tc>
        <w:tc>
          <w:tcPr>
            <w:tcW w:w="731" w:type="pct"/>
            <w:vMerge w:val="continue"/>
            <w:shd w:val="clear" w:color="auto" w:fill="auto"/>
            <w:noWrap w:val="0"/>
            <w:vAlign w:val="center"/>
          </w:tcPr>
          <w:p w14:paraId="6AC7B108">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170E291D">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2、严格控制生态空间转为城镇空间和农业空间。</w:t>
            </w:r>
          </w:p>
        </w:tc>
        <w:tc>
          <w:tcPr>
            <w:tcW w:w="1257" w:type="pct"/>
            <w:shd w:val="clear" w:color="auto" w:fill="auto"/>
            <w:noWrap w:val="0"/>
            <w:vAlign w:val="center"/>
          </w:tcPr>
          <w:p w14:paraId="29E45158">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规划区不涉及将生态空间转为城镇空间和农业空间。</w:t>
            </w:r>
          </w:p>
        </w:tc>
        <w:tc>
          <w:tcPr>
            <w:tcW w:w="492" w:type="pct"/>
            <w:shd w:val="clear" w:color="auto" w:fill="auto"/>
            <w:noWrap w:val="0"/>
            <w:vAlign w:val="center"/>
          </w:tcPr>
          <w:p w14:paraId="6A6FB63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B28A3E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2588A09D">
            <w:pPr>
              <w:jc w:val="center"/>
              <w:rPr>
                <w:rFonts w:hint="default" w:ascii="Times New Roman" w:hAnsi="Times New Roman" w:cs="Times New Roman"/>
                <w:color w:val="auto"/>
                <w:sz w:val="21"/>
                <w:szCs w:val="21"/>
                <w:highlight w:val="none"/>
              </w:rPr>
            </w:pPr>
          </w:p>
        </w:tc>
        <w:tc>
          <w:tcPr>
            <w:tcW w:w="731" w:type="pct"/>
            <w:vMerge w:val="continue"/>
            <w:shd w:val="clear" w:color="auto" w:fill="auto"/>
            <w:noWrap w:val="0"/>
            <w:vAlign w:val="center"/>
          </w:tcPr>
          <w:p w14:paraId="7711DB65">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5507BCAF">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3、严格控制新增建设用地占用一般生态空间。</w:t>
            </w:r>
          </w:p>
        </w:tc>
        <w:tc>
          <w:tcPr>
            <w:tcW w:w="1257" w:type="pct"/>
            <w:shd w:val="clear" w:color="auto" w:fill="auto"/>
            <w:noWrap w:val="0"/>
            <w:vAlign w:val="center"/>
          </w:tcPr>
          <w:p w14:paraId="385457F1">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规划区严格控制新增建设用地占用一般生态空间。</w:t>
            </w:r>
          </w:p>
        </w:tc>
        <w:tc>
          <w:tcPr>
            <w:tcW w:w="492" w:type="pct"/>
            <w:shd w:val="clear" w:color="auto" w:fill="auto"/>
            <w:noWrap w:val="0"/>
            <w:vAlign w:val="center"/>
          </w:tcPr>
          <w:p w14:paraId="1F4131BF">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0A47259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4E09C9A1">
            <w:pPr>
              <w:jc w:val="center"/>
              <w:rPr>
                <w:rFonts w:hint="default" w:ascii="Times New Roman" w:hAnsi="Times New Roman" w:cs="Times New Roman"/>
                <w:color w:val="auto"/>
                <w:sz w:val="21"/>
                <w:szCs w:val="21"/>
                <w:highlight w:val="none"/>
              </w:rPr>
            </w:pPr>
          </w:p>
        </w:tc>
        <w:tc>
          <w:tcPr>
            <w:tcW w:w="731" w:type="pct"/>
            <w:vMerge w:val="continue"/>
            <w:shd w:val="clear" w:color="auto" w:fill="auto"/>
            <w:noWrap w:val="0"/>
            <w:vAlign w:val="center"/>
          </w:tcPr>
          <w:p w14:paraId="35D6BCCF">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676811FB">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4、防止过度垦殖、放牧、采伐、取水、渔猎、旅游等对生态功能造成损害，确保自然生态系统的稳定。</w:t>
            </w:r>
          </w:p>
        </w:tc>
        <w:tc>
          <w:tcPr>
            <w:tcW w:w="1257" w:type="pct"/>
            <w:shd w:val="clear" w:color="auto" w:fill="auto"/>
            <w:noWrap w:val="0"/>
            <w:vAlign w:val="center"/>
          </w:tcPr>
          <w:p w14:paraId="5F3B6B23">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规划区不涉及过度垦殖、放牧、采伐、取水、渔猎、旅游等对生态功能造成损害，确保自然生态系统的稳定。规划区开展的旅游项目采取严格限制措施，确保不会对生态系统的稳定造成影响。</w:t>
            </w:r>
          </w:p>
        </w:tc>
        <w:tc>
          <w:tcPr>
            <w:tcW w:w="492" w:type="pct"/>
            <w:shd w:val="clear" w:color="auto" w:fill="auto"/>
            <w:noWrap w:val="0"/>
            <w:vAlign w:val="center"/>
          </w:tcPr>
          <w:p w14:paraId="3C43F9F3">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0F2DCFB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27425F22">
            <w:pPr>
              <w:jc w:val="center"/>
              <w:rPr>
                <w:rFonts w:hint="default" w:ascii="Times New Roman" w:hAnsi="Times New Roman" w:cs="Times New Roman"/>
                <w:color w:val="auto"/>
                <w:sz w:val="21"/>
                <w:szCs w:val="21"/>
                <w:highlight w:val="none"/>
              </w:rPr>
            </w:pPr>
          </w:p>
        </w:tc>
        <w:tc>
          <w:tcPr>
            <w:tcW w:w="731" w:type="pct"/>
            <w:vMerge w:val="continue"/>
            <w:shd w:val="clear" w:color="auto" w:fill="auto"/>
            <w:noWrap w:val="0"/>
            <w:vAlign w:val="center"/>
          </w:tcPr>
          <w:p w14:paraId="7D7EAF91">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24ABC1A4">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5、禁止发展高耗能、高排放、高污染产业，禁止有损自然生态系统的侵占水面、湿地、林地的农业开发活动。</w:t>
            </w:r>
          </w:p>
        </w:tc>
        <w:tc>
          <w:tcPr>
            <w:tcW w:w="1257" w:type="pct"/>
            <w:shd w:val="clear" w:color="auto" w:fill="auto"/>
            <w:noWrap w:val="0"/>
            <w:vAlign w:val="center"/>
          </w:tcPr>
          <w:p w14:paraId="2B345A56">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规划区不涉及发展高耗能、高排放、高污染产业，规划区不涉及有损自然生态系统的侵占水面、湿地、林地的农业开发活动。</w:t>
            </w:r>
          </w:p>
        </w:tc>
        <w:tc>
          <w:tcPr>
            <w:tcW w:w="492" w:type="pct"/>
            <w:shd w:val="clear" w:color="auto" w:fill="auto"/>
            <w:noWrap w:val="0"/>
            <w:vAlign w:val="center"/>
          </w:tcPr>
          <w:p w14:paraId="34DF83AD">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19249C8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D68A714">
            <w:pPr>
              <w:jc w:val="center"/>
              <w:rPr>
                <w:rFonts w:hint="default" w:ascii="Times New Roman" w:hAnsi="Times New Roman" w:cs="Times New Roman"/>
                <w:color w:val="auto"/>
                <w:sz w:val="21"/>
                <w:szCs w:val="21"/>
                <w:highlight w:val="none"/>
              </w:rPr>
            </w:pPr>
          </w:p>
        </w:tc>
        <w:tc>
          <w:tcPr>
            <w:tcW w:w="731" w:type="pct"/>
            <w:vMerge w:val="continue"/>
            <w:shd w:val="clear" w:color="auto" w:fill="auto"/>
            <w:noWrap w:val="0"/>
            <w:vAlign w:val="center"/>
          </w:tcPr>
          <w:p w14:paraId="5249E1EE">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5629AD9C">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6、在不损害生态系统功能的前提下，因地制宜地适度发展旅游、农林产品生产和加工、观光休闲农业等产业。</w:t>
            </w:r>
          </w:p>
        </w:tc>
        <w:tc>
          <w:tcPr>
            <w:tcW w:w="1257" w:type="pct"/>
            <w:shd w:val="clear" w:color="auto" w:fill="auto"/>
            <w:noWrap w:val="0"/>
            <w:vAlign w:val="center"/>
          </w:tcPr>
          <w:p w14:paraId="635514FA">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规划区因地制宜地适度发展旅游等产业，且采取严格限制措施，确保不损害生态系统功能。</w:t>
            </w:r>
          </w:p>
        </w:tc>
        <w:tc>
          <w:tcPr>
            <w:tcW w:w="492" w:type="pct"/>
            <w:shd w:val="clear" w:color="auto" w:fill="auto"/>
            <w:noWrap w:val="0"/>
            <w:vAlign w:val="center"/>
          </w:tcPr>
          <w:p w14:paraId="2D39D30A">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0A99B5C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7F8EDA94">
            <w:pPr>
              <w:jc w:val="center"/>
              <w:rPr>
                <w:rFonts w:hint="default" w:ascii="Times New Roman" w:hAnsi="Times New Roman" w:cs="Times New Roman"/>
                <w:color w:val="auto"/>
                <w:sz w:val="21"/>
                <w:szCs w:val="21"/>
                <w:highlight w:val="none"/>
              </w:rPr>
            </w:pPr>
          </w:p>
        </w:tc>
        <w:tc>
          <w:tcPr>
            <w:tcW w:w="731" w:type="pct"/>
            <w:vMerge w:val="continue"/>
            <w:shd w:val="clear" w:color="auto" w:fill="auto"/>
            <w:noWrap w:val="0"/>
            <w:vAlign w:val="center"/>
          </w:tcPr>
          <w:p w14:paraId="1EE58CC4">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38BA5F23">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7、依据资源环境承载能力和矿产开发活动对生态功能造成损害的程度，对矿产开发活动的规模、强度、布局实行承载力控制，防止对主导生态功能造成破坏，确保自然生态系统的稳定。</w:t>
            </w:r>
          </w:p>
        </w:tc>
        <w:tc>
          <w:tcPr>
            <w:tcW w:w="1257" w:type="pct"/>
            <w:shd w:val="clear" w:color="auto" w:fill="auto"/>
            <w:noWrap w:val="0"/>
            <w:vAlign w:val="center"/>
          </w:tcPr>
          <w:p w14:paraId="304EFAF5">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规划区不涉及矿产开发活动。</w:t>
            </w:r>
          </w:p>
        </w:tc>
        <w:tc>
          <w:tcPr>
            <w:tcW w:w="492" w:type="pct"/>
            <w:shd w:val="clear" w:color="auto" w:fill="auto"/>
            <w:noWrap w:val="0"/>
            <w:vAlign w:val="center"/>
          </w:tcPr>
          <w:p w14:paraId="049A18A0">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21B515A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31DF619B">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4D7FB17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7D9273A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25DCDA9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4EBBE31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419E0D9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3D9A06E6">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3D8E521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561F003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7E76CB0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0AD4BDC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18881DC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5634334A">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4B20738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0844646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008662A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3F8B3CE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1D1FD76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4E88A51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西藏自治区林芝市波密县其他区域</w:t>
            </w:r>
          </w:p>
          <w:p w14:paraId="1E5B193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(YS5404243110001)</w:t>
            </w:r>
          </w:p>
        </w:tc>
        <w:tc>
          <w:tcPr>
            <w:tcW w:w="731" w:type="pct"/>
            <w:shd w:val="clear" w:color="auto" w:fill="auto"/>
            <w:noWrap w:val="0"/>
            <w:vAlign w:val="center"/>
          </w:tcPr>
          <w:p w14:paraId="578DB80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7EA91CA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1B5433C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175FAC4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5F34C84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2532599">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530BEA5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10E6974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7F320F7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12A47B0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23E4F21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4AF83530">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0068584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76605BA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3725581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2246CA9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1E03091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F5763B5">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32BD02B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7FE26BD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686DA9B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307B113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3C32707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61AF354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西藏嘎朗国家级湿地自然公园</w:t>
            </w:r>
          </w:p>
          <w:p w14:paraId="3F87ED8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(YS5404241110003)</w:t>
            </w:r>
          </w:p>
        </w:tc>
        <w:tc>
          <w:tcPr>
            <w:tcW w:w="731" w:type="pct"/>
            <w:vMerge w:val="restart"/>
            <w:shd w:val="clear" w:color="auto" w:fill="auto"/>
            <w:noWrap w:val="0"/>
            <w:vAlign w:val="center"/>
          </w:tcPr>
          <w:p w14:paraId="32235F8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03D2E2C7">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1、除满足国家特殊战略需要的有关活动外，原则上禁止开发性、生产性建设活动，仅允许开展重要生态修复工程等八种不损害或有利于维护生态保护功能的活动。</w:t>
            </w:r>
          </w:p>
        </w:tc>
        <w:tc>
          <w:tcPr>
            <w:tcW w:w="1257" w:type="pct"/>
            <w:vMerge w:val="restart"/>
            <w:shd w:val="clear" w:color="auto" w:fill="auto"/>
            <w:noWrap w:val="0"/>
            <w:vAlign w:val="center"/>
          </w:tcPr>
          <w:p w14:paraId="053F115F">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不涉及开发性、生产性建设活动，规划区为以“生态保护为核、高铁机遇为引、森林康养为本、两村联动为基”，立足“中国十大最美森林”生态本底，打造集生态观光、森林康养、户外运动、自然研学、民俗休闲于一体的综合性旅游景区，符合相关要求。</w:t>
            </w:r>
          </w:p>
        </w:tc>
        <w:tc>
          <w:tcPr>
            <w:tcW w:w="492" w:type="pct"/>
            <w:shd w:val="clear" w:color="auto" w:fill="auto"/>
            <w:noWrap w:val="0"/>
            <w:vAlign w:val="center"/>
          </w:tcPr>
          <w:p w14:paraId="52027B4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3C5F0CB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49D4E360">
            <w:pPr>
              <w:jc w:val="center"/>
              <w:rPr>
                <w:rFonts w:hint="default" w:ascii="Times New Roman" w:hAnsi="Times New Roman" w:cs="Times New Roman"/>
                <w:color w:val="auto"/>
                <w:sz w:val="21"/>
                <w:szCs w:val="21"/>
                <w:highlight w:val="none"/>
              </w:rPr>
            </w:pPr>
          </w:p>
        </w:tc>
        <w:tc>
          <w:tcPr>
            <w:tcW w:w="731" w:type="pct"/>
            <w:vMerge w:val="continue"/>
            <w:shd w:val="clear" w:color="auto" w:fill="auto"/>
            <w:noWrap w:val="0"/>
            <w:vAlign w:val="center"/>
          </w:tcPr>
          <w:p w14:paraId="445FD457">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43222DD3">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2、现有的不符合以上要求的活动应限期退出或关停。</w:t>
            </w:r>
          </w:p>
        </w:tc>
        <w:tc>
          <w:tcPr>
            <w:tcW w:w="1257" w:type="pct"/>
            <w:vMerge w:val="continue"/>
            <w:shd w:val="clear" w:color="auto" w:fill="auto"/>
            <w:noWrap w:val="0"/>
            <w:vAlign w:val="center"/>
          </w:tcPr>
          <w:p w14:paraId="08AC2DC2">
            <w:pPr>
              <w:jc w:val="center"/>
              <w:rPr>
                <w:rFonts w:hint="default" w:ascii="Times New Roman" w:hAnsi="Times New Roman" w:eastAsia="宋体" w:cs="Times New Roman"/>
                <w:color w:val="auto"/>
                <w:kern w:val="2"/>
                <w:sz w:val="21"/>
                <w:szCs w:val="21"/>
                <w:highlight w:val="none"/>
                <w:lang w:val="en-US" w:eastAsia="zh-CN" w:bidi="ar-SA"/>
              </w:rPr>
            </w:pPr>
          </w:p>
        </w:tc>
        <w:tc>
          <w:tcPr>
            <w:tcW w:w="492" w:type="pct"/>
            <w:shd w:val="clear" w:color="auto" w:fill="auto"/>
            <w:noWrap w:val="0"/>
            <w:vAlign w:val="center"/>
          </w:tcPr>
          <w:p w14:paraId="550230C4">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18E02FF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512569DC">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2B931FF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479CABB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6E1A04C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66FE480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6DC24B2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78DC49F4">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0953D67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1FEBFC1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5A2C35E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15BC9EF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45F01AB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72ACC3AB">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33D1C2F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622096D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05AC204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3FEA25E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6AF2539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56E45A7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西藏雅鲁藏布大峡谷国家级自然保护区</w:t>
            </w:r>
          </w:p>
          <w:p w14:paraId="078B9CB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(YS5404241110002)</w:t>
            </w:r>
          </w:p>
        </w:tc>
        <w:tc>
          <w:tcPr>
            <w:tcW w:w="731" w:type="pct"/>
            <w:vMerge w:val="restart"/>
            <w:shd w:val="clear" w:color="auto" w:fill="auto"/>
            <w:noWrap w:val="0"/>
            <w:vAlign w:val="center"/>
          </w:tcPr>
          <w:p w14:paraId="72D3F2C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2B0859BC">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1、除满足国家特殊战略需要的有关活动外，原则上禁止开发性、生产性建设活动，仅允许开展重要生态修复工程等八种不损害或有利于维护生态保护功能的活动。</w:t>
            </w:r>
          </w:p>
        </w:tc>
        <w:tc>
          <w:tcPr>
            <w:tcW w:w="1257" w:type="pct"/>
            <w:vMerge w:val="restart"/>
            <w:shd w:val="clear" w:color="auto" w:fill="auto"/>
            <w:noWrap w:val="0"/>
            <w:vAlign w:val="center"/>
          </w:tcPr>
          <w:p w14:paraId="6E4015A9">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本规划的实施不会损害区域生态保护功能。</w:t>
            </w:r>
          </w:p>
        </w:tc>
        <w:tc>
          <w:tcPr>
            <w:tcW w:w="492" w:type="pct"/>
            <w:shd w:val="clear" w:color="auto" w:fill="auto"/>
            <w:noWrap w:val="0"/>
            <w:vAlign w:val="center"/>
          </w:tcPr>
          <w:p w14:paraId="585D8E6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2B9280D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39418BA1">
            <w:pPr>
              <w:jc w:val="center"/>
              <w:rPr>
                <w:rFonts w:hint="default" w:ascii="Times New Roman" w:hAnsi="Times New Roman" w:cs="Times New Roman"/>
                <w:color w:val="auto"/>
                <w:sz w:val="21"/>
                <w:szCs w:val="21"/>
                <w:highlight w:val="none"/>
              </w:rPr>
            </w:pPr>
          </w:p>
        </w:tc>
        <w:tc>
          <w:tcPr>
            <w:tcW w:w="731" w:type="pct"/>
            <w:vMerge w:val="continue"/>
            <w:shd w:val="clear" w:color="auto" w:fill="auto"/>
            <w:noWrap w:val="0"/>
            <w:vAlign w:val="center"/>
          </w:tcPr>
          <w:p w14:paraId="027619CE">
            <w:pPr>
              <w:jc w:val="center"/>
              <w:rPr>
                <w:rFonts w:hint="default" w:ascii="Times New Roman" w:hAnsi="Times New Roman" w:cs="Times New Roman"/>
                <w:color w:val="auto"/>
                <w:sz w:val="21"/>
                <w:szCs w:val="21"/>
                <w:highlight w:val="none"/>
              </w:rPr>
            </w:pPr>
          </w:p>
        </w:tc>
        <w:tc>
          <w:tcPr>
            <w:tcW w:w="1525" w:type="pct"/>
            <w:shd w:val="clear" w:color="auto" w:fill="auto"/>
            <w:noWrap w:val="0"/>
            <w:vAlign w:val="center"/>
          </w:tcPr>
          <w:p w14:paraId="49C695A9">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2、现有的不符合以上要求的活动应限期退出或关停。</w:t>
            </w:r>
          </w:p>
        </w:tc>
        <w:tc>
          <w:tcPr>
            <w:tcW w:w="1257" w:type="pct"/>
            <w:vMerge w:val="continue"/>
            <w:shd w:val="clear" w:color="auto" w:fill="auto"/>
            <w:noWrap w:val="0"/>
            <w:vAlign w:val="center"/>
          </w:tcPr>
          <w:p w14:paraId="08A18C21">
            <w:pPr>
              <w:jc w:val="both"/>
              <w:rPr>
                <w:rFonts w:hint="default" w:ascii="Times New Roman" w:hAnsi="Times New Roman" w:eastAsia="宋体" w:cs="Times New Roman"/>
                <w:color w:val="auto"/>
                <w:kern w:val="2"/>
                <w:sz w:val="21"/>
                <w:szCs w:val="21"/>
                <w:highlight w:val="none"/>
                <w:lang w:val="en-US" w:eastAsia="zh-CN" w:bidi="ar-SA"/>
              </w:rPr>
            </w:pPr>
          </w:p>
        </w:tc>
        <w:tc>
          <w:tcPr>
            <w:tcW w:w="492" w:type="pct"/>
            <w:shd w:val="clear" w:color="auto" w:fill="auto"/>
            <w:noWrap w:val="0"/>
            <w:vAlign w:val="center"/>
          </w:tcPr>
          <w:p w14:paraId="56892D7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653C1DA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3F589797">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095829F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2A3D40C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742B046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4D4F133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0F9BB6D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C5F562A">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448C4AC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6ABB1F7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4603584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40FFE75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0A422FE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3527ECC1">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5CECA61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1BE3929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50B92E9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197F408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3098BCC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56B5066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帕隆藏布-波密县-优先保护区</w:t>
            </w:r>
          </w:p>
          <w:p w14:paraId="6C273EF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(YS5404241210002)</w:t>
            </w:r>
          </w:p>
        </w:tc>
        <w:tc>
          <w:tcPr>
            <w:tcW w:w="731" w:type="pct"/>
            <w:shd w:val="clear" w:color="auto" w:fill="auto"/>
            <w:noWrap w:val="0"/>
            <w:vAlign w:val="center"/>
          </w:tcPr>
          <w:p w14:paraId="5CEE868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618A119B">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按照《水功能区管理办法》，原则上禁止进行不利于功能保护的活动。</w:t>
            </w:r>
          </w:p>
        </w:tc>
        <w:tc>
          <w:tcPr>
            <w:tcW w:w="1257" w:type="pct"/>
            <w:shd w:val="clear" w:color="auto" w:fill="auto"/>
            <w:noWrap w:val="0"/>
            <w:vAlign w:val="center"/>
          </w:tcPr>
          <w:p w14:paraId="6D26AA14">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本规划不涉及进行不利于功能保护的活动。</w:t>
            </w:r>
          </w:p>
        </w:tc>
        <w:tc>
          <w:tcPr>
            <w:tcW w:w="492" w:type="pct"/>
            <w:shd w:val="clear" w:color="auto" w:fill="auto"/>
            <w:noWrap w:val="0"/>
            <w:vAlign w:val="center"/>
          </w:tcPr>
          <w:p w14:paraId="48B052F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46EABEC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2B45234">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27E48C3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6AE6374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03A8D35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6C1D2C2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4FC51A7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34672524">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45B2A3C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37794BCE">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因地制宜治理农业农村生活污染；允许开发活动污染治理设施需同步设计、同步建设、同步运行，保证区域水环境不受影响。</w:t>
            </w:r>
          </w:p>
        </w:tc>
        <w:tc>
          <w:tcPr>
            <w:tcW w:w="1257" w:type="pct"/>
            <w:shd w:val="clear" w:color="auto" w:fill="auto"/>
            <w:noWrap w:val="0"/>
            <w:vAlign w:val="center"/>
          </w:tcPr>
          <w:p w14:paraId="2F3EB6C6">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随着规划的实施，农村生活污染将逐步得到更有效的治理，污染治理设施与规划同步设计、同步建设、同步运行，可保证区域水环境不受影响。</w:t>
            </w:r>
          </w:p>
        </w:tc>
        <w:tc>
          <w:tcPr>
            <w:tcW w:w="492" w:type="pct"/>
            <w:shd w:val="clear" w:color="auto" w:fill="auto"/>
            <w:noWrap w:val="0"/>
            <w:vAlign w:val="center"/>
          </w:tcPr>
          <w:p w14:paraId="7109729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36AB925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2B2787EC">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3BA4EAA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1385D50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0F626B8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468501B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1A0782F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6A84C53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西藏嘎朗国家级湿地公园</w:t>
            </w:r>
          </w:p>
          <w:p w14:paraId="46D455E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(YS5404241310002)</w:t>
            </w:r>
          </w:p>
        </w:tc>
        <w:tc>
          <w:tcPr>
            <w:tcW w:w="731" w:type="pct"/>
            <w:shd w:val="clear" w:color="auto" w:fill="auto"/>
            <w:noWrap w:val="0"/>
            <w:vAlign w:val="center"/>
          </w:tcPr>
          <w:p w14:paraId="48178F8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2AC3BBBD">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对优先保护区内各自然保护区、风景名胜区按现行法律法规执行。</w:t>
            </w:r>
          </w:p>
        </w:tc>
        <w:tc>
          <w:tcPr>
            <w:tcW w:w="1257" w:type="pct"/>
            <w:shd w:val="clear" w:color="auto" w:fill="auto"/>
            <w:noWrap w:val="0"/>
            <w:vAlign w:val="center"/>
          </w:tcPr>
          <w:p w14:paraId="75CDAB5C">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根据前文分析，</w:t>
            </w:r>
            <w:r>
              <w:rPr>
                <w:rFonts w:hint="default" w:ascii="Times New Roman" w:hAnsi="Times New Roman" w:cs="Times New Roman"/>
                <w:color w:val="auto"/>
                <w:sz w:val="21"/>
                <w:szCs w:val="21"/>
                <w:highlight w:val="none"/>
              </w:rPr>
              <w:t>西藏雅鲁藏布大峡谷国家级自然保护区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西藏嘎朗国家级湿地公园</w:t>
            </w:r>
            <w:r>
              <w:rPr>
                <w:rFonts w:hint="default" w:ascii="Times New Roman" w:hAnsi="Times New Roman" w:cs="Times New Roman"/>
                <w:color w:val="auto"/>
                <w:sz w:val="21"/>
                <w:szCs w:val="21"/>
                <w:highlight w:val="none"/>
                <w:lang w:val="en-US" w:eastAsia="zh-CN"/>
              </w:rPr>
              <w:t>内的各规划项目均满足</w:t>
            </w:r>
            <w:r>
              <w:rPr>
                <w:rFonts w:hint="default" w:ascii="Times New Roman" w:hAnsi="Times New Roman" w:eastAsia="宋体" w:cs="Times New Roman"/>
                <w:color w:val="auto"/>
                <w:kern w:val="2"/>
                <w:sz w:val="21"/>
                <w:szCs w:val="21"/>
                <w:highlight w:val="none"/>
                <w:lang w:val="en-US" w:eastAsia="zh-CN" w:bidi="ar-SA"/>
              </w:rPr>
              <w:t>现行法律法规要求。</w:t>
            </w:r>
          </w:p>
        </w:tc>
        <w:tc>
          <w:tcPr>
            <w:tcW w:w="492" w:type="pct"/>
            <w:shd w:val="clear" w:color="auto" w:fill="auto"/>
            <w:noWrap w:val="0"/>
            <w:vAlign w:val="center"/>
          </w:tcPr>
          <w:p w14:paraId="7AD3D42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45285B7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730F9A0">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0223E75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2DD7C0F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7999544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2186A1B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42E4EAD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3B556A08">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3589778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234BBA4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1F77B14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2964ABF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151AAE4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6F92B2C">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10FF535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784851A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7EA2F2B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250E8D0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0458E58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5919424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西藏雅鲁藏布大峡谷国家级自然保护区</w:t>
            </w:r>
          </w:p>
          <w:p w14:paraId="73DB376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(YS5404241310003)</w:t>
            </w:r>
          </w:p>
        </w:tc>
        <w:tc>
          <w:tcPr>
            <w:tcW w:w="731" w:type="pct"/>
            <w:shd w:val="clear" w:color="auto" w:fill="auto"/>
            <w:noWrap w:val="0"/>
            <w:vAlign w:val="center"/>
          </w:tcPr>
          <w:p w14:paraId="050B655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1ABFCBD1">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对优先保护区内各自然保护区、风景名胜区按现行法律法规执行。</w:t>
            </w:r>
          </w:p>
        </w:tc>
        <w:tc>
          <w:tcPr>
            <w:tcW w:w="1257" w:type="pct"/>
            <w:shd w:val="clear" w:color="auto" w:fill="auto"/>
            <w:noWrap w:val="0"/>
            <w:vAlign w:val="center"/>
          </w:tcPr>
          <w:p w14:paraId="6F5DA825">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根据前文分析，</w:t>
            </w:r>
            <w:r>
              <w:rPr>
                <w:rFonts w:hint="default" w:ascii="Times New Roman" w:hAnsi="Times New Roman" w:cs="Times New Roman"/>
                <w:color w:val="auto"/>
                <w:sz w:val="21"/>
                <w:szCs w:val="21"/>
                <w:highlight w:val="none"/>
              </w:rPr>
              <w:t>西藏雅鲁藏布大峡谷国家级自然保护区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西藏嘎朗国家级湿地公园</w:t>
            </w:r>
            <w:r>
              <w:rPr>
                <w:rFonts w:hint="default" w:ascii="Times New Roman" w:hAnsi="Times New Roman" w:cs="Times New Roman"/>
                <w:color w:val="auto"/>
                <w:sz w:val="21"/>
                <w:szCs w:val="21"/>
                <w:highlight w:val="none"/>
                <w:lang w:val="en-US" w:eastAsia="zh-CN"/>
              </w:rPr>
              <w:t>内的各规划项目均满足</w:t>
            </w:r>
            <w:r>
              <w:rPr>
                <w:rFonts w:hint="default" w:ascii="Times New Roman" w:hAnsi="Times New Roman" w:eastAsia="宋体" w:cs="Times New Roman"/>
                <w:color w:val="auto"/>
                <w:kern w:val="2"/>
                <w:sz w:val="21"/>
                <w:szCs w:val="21"/>
                <w:highlight w:val="none"/>
                <w:lang w:val="en-US" w:eastAsia="zh-CN" w:bidi="ar-SA"/>
              </w:rPr>
              <w:t>现行法律法规要求。</w:t>
            </w:r>
          </w:p>
        </w:tc>
        <w:tc>
          <w:tcPr>
            <w:tcW w:w="492" w:type="pct"/>
            <w:shd w:val="clear" w:color="auto" w:fill="auto"/>
            <w:noWrap w:val="0"/>
            <w:vAlign w:val="center"/>
          </w:tcPr>
          <w:p w14:paraId="341B432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5A64551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69EF5179">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435DC07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42A52B5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2D756F4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067B563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27D19F9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24FBD736">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2F13BC2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4F4177E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252B159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31C7637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1E44FD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26235DBC">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312925F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2A466CF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38EEAC4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3999F99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260F039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39FDF5F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波密县大气环境管控其他区域</w:t>
            </w:r>
          </w:p>
          <w:p w14:paraId="29253C2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(YS5404243310001)</w:t>
            </w:r>
          </w:p>
        </w:tc>
        <w:tc>
          <w:tcPr>
            <w:tcW w:w="731" w:type="pct"/>
            <w:shd w:val="clear" w:color="auto" w:fill="auto"/>
            <w:noWrap w:val="0"/>
            <w:vAlign w:val="center"/>
          </w:tcPr>
          <w:p w14:paraId="408AA31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1D7426F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5F9B54F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1382EB6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5353219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70D19486">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1237E26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761DC84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3A7E1C9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7AEECF2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45454CC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09BAFAE6">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6CAECE9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768C1640">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建设项目所需排污指标，必须通过削减现有污染源排放量等量或减量予以置换，做到增产不增污或增产减污。</w:t>
            </w:r>
          </w:p>
        </w:tc>
        <w:tc>
          <w:tcPr>
            <w:tcW w:w="1257" w:type="pct"/>
            <w:shd w:val="clear" w:color="auto" w:fill="auto"/>
            <w:noWrap w:val="0"/>
            <w:vAlign w:val="center"/>
          </w:tcPr>
          <w:p w14:paraId="12C4718B">
            <w:pPr>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规划区不涉及</w:t>
            </w:r>
            <w:r>
              <w:rPr>
                <w:rFonts w:hint="default" w:ascii="Times New Roman" w:hAnsi="Times New Roman" w:cs="Times New Roman"/>
                <w:color w:val="auto"/>
                <w:highlight w:val="none"/>
              </w:rPr>
              <w:t>建设项目所需排污指标</w:t>
            </w:r>
            <w:r>
              <w:rPr>
                <w:rFonts w:hint="default" w:ascii="Times New Roman" w:hAnsi="Times New Roman" w:cs="Times New Roman"/>
                <w:color w:val="auto"/>
                <w:highlight w:val="none"/>
                <w:lang w:eastAsia="zh-CN"/>
              </w:rPr>
              <w:t>。</w:t>
            </w:r>
          </w:p>
        </w:tc>
        <w:tc>
          <w:tcPr>
            <w:tcW w:w="492" w:type="pct"/>
            <w:shd w:val="clear" w:color="auto" w:fill="auto"/>
            <w:noWrap w:val="0"/>
            <w:vAlign w:val="center"/>
          </w:tcPr>
          <w:p w14:paraId="46745CC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72539CE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F262157">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502B1AB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40227AE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4B18CC6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776CC0E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2A80D64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2FC7FCD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西藏嘎朗国家级湿地自然公园，帕隆藏布自然保护区</w:t>
            </w:r>
          </w:p>
          <w:p w14:paraId="08E98B5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(YS5404241610001)</w:t>
            </w:r>
          </w:p>
        </w:tc>
        <w:tc>
          <w:tcPr>
            <w:tcW w:w="731" w:type="pct"/>
            <w:shd w:val="clear" w:color="auto" w:fill="auto"/>
            <w:noWrap w:val="0"/>
            <w:vAlign w:val="center"/>
          </w:tcPr>
          <w:p w14:paraId="060DD58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2375F54E">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涉及环境敏感区的按照相关法律法规要求执行，其中：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满足边境地区群众日常生产生活所需的公益性设施。</w:t>
            </w:r>
          </w:p>
        </w:tc>
        <w:tc>
          <w:tcPr>
            <w:tcW w:w="1257" w:type="pct"/>
            <w:shd w:val="clear" w:color="auto" w:fill="auto"/>
            <w:noWrap w:val="0"/>
            <w:vAlign w:val="center"/>
          </w:tcPr>
          <w:p w14:paraId="0E249575">
            <w:pPr>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根据前文分析，西藏嘎朗国家级湿地自然公园，西藏雅鲁藏布大峡谷国家级自然保护区均满足</w:t>
            </w:r>
            <w:r>
              <w:rPr>
                <w:rFonts w:hint="default" w:ascii="Times New Roman" w:hAnsi="Times New Roman" w:cs="Times New Roman"/>
                <w:color w:val="auto"/>
                <w:sz w:val="21"/>
                <w:szCs w:val="21"/>
                <w:highlight w:val="none"/>
              </w:rPr>
              <w:t>相关法律法规要求</w:t>
            </w:r>
            <w:r>
              <w:rPr>
                <w:rFonts w:hint="default" w:ascii="Times New Roman" w:hAnsi="Times New Roman" w:cs="Times New Roman"/>
                <w:color w:val="auto"/>
                <w:sz w:val="21"/>
                <w:szCs w:val="21"/>
                <w:highlight w:val="none"/>
                <w:lang w:val="en-US" w:eastAsia="zh-CN"/>
              </w:rPr>
              <w:t>。</w:t>
            </w:r>
          </w:p>
        </w:tc>
        <w:tc>
          <w:tcPr>
            <w:tcW w:w="492" w:type="pct"/>
            <w:shd w:val="clear" w:color="auto" w:fill="auto"/>
            <w:noWrap w:val="0"/>
            <w:vAlign w:val="center"/>
          </w:tcPr>
          <w:p w14:paraId="2A0BEEEE">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6D37E40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55FD6325">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6FBA704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3695454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3FC7738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119EF89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6A9F904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70524B36">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3A47FFC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2E15966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71CED56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1F170F0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66EE06B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549BF05C">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1613A65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7252C3B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2C96285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6149781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3E739C9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1F9371B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波密县国家一级公益林</w:t>
            </w:r>
          </w:p>
          <w:p w14:paraId="1699FC1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(ZH54042410005)</w:t>
            </w:r>
          </w:p>
        </w:tc>
        <w:tc>
          <w:tcPr>
            <w:tcW w:w="731" w:type="pct"/>
            <w:shd w:val="clear" w:color="auto" w:fill="auto"/>
            <w:noWrap w:val="0"/>
            <w:vAlign w:val="center"/>
          </w:tcPr>
          <w:p w14:paraId="0DF57A1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01E2F20B">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严格执行《国家级公益林管理办法（2017年修订）》《西藏自治区公益林管护办法（试行）》等。</w:t>
            </w:r>
          </w:p>
          <w:p w14:paraId="3AF9BCDC">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生态保护红线内的生态功能区严格按照《关于在国土空间规划中统筹划定落实三条控制线的指导意见》等相关要求管理。</w:t>
            </w:r>
          </w:p>
          <w:p w14:paraId="18C8239B">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红线之外的区域原则上按限制开发区域的要求进行管理，严格按照《自然生态空间用途管制办法（试行）》等相关要求管理。在进行各类建设开发活动前，应加强对生物多样性影响的评估，任何开发建设活动不得破坏珍稀野生动植物的重要栖息地，不得阻隔野生动物的迁徙道路。</w:t>
            </w:r>
          </w:p>
          <w:p w14:paraId="218B8564">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允许边境县开展抵边、口岸、小康村、高海拔搬迁迁入地、民生及基础设施、边防设施等工程的建设，在建设时应采取相应的防治措施，减少对周边的生态环境影响。</w:t>
            </w:r>
          </w:p>
          <w:p w14:paraId="77261A22">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然保护区、饮用水水源保护区等国家法定保护地需严格落实国家及自治区法律法规，法律禁止的人为活动一律禁止布设，法律未明确禁止的以水环境、水资源、水生态为重点的开发项目，需充分论证，谨慎布局。法定保护地以外的区域，禁止可能污染水质、破坏目标水体水生态环境的开发活动，严格控制大规模高强度工矿、城镇开发，因地制宜发展资源环境可承载的适宜产业。2.生态保护红线内的生态功能区严格按照《关于在国土空间规划中统筹划定落实三条控制线的指导意见》等相关要求管理。</w:t>
            </w:r>
          </w:p>
        </w:tc>
        <w:tc>
          <w:tcPr>
            <w:tcW w:w="1257" w:type="pct"/>
            <w:shd w:val="clear" w:color="auto" w:fill="auto"/>
            <w:noWrap w:val="0"/>
            <w:vAlign w:val="center"/>
          </w:tcPr>
          <w:p w14:paraId="258582C2">
            <w:pPr>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根据波密县自然资源和林业草原局关于《关于核实波密县岗云杉林旅游景区创建4A级规划范围的函》复函可知，</w:t>
            </w:r>
            <w:r>
              <w:rPr>
                <w:rFonts w:hint="default" w:ascii="Times New Roman" w:hAnsi="Times New Roman" w:eastAsia="宋体" w:cs="Times New Roman"/>
                <w:color w:val="auto"/>
                <w:sz w:val="21"/>
                <w:szCs w:val="21"/>
                <w:highlight w:val="none"/>
                <w:lang w:val="en-US" w:eastAsia="zh-CN"/>
              </w:rPr>
              <w:t>规划区涉及林地，林地保护等级为II、Ш级，图测面积约为322.3342公顷、178.4787公顷。规划项目的实施不会占用</w:t>
            </w:r>
            <w:r>
              <w:rPr>
                <w:rFonts w:hint="default" w:ascii="Times New Roman" w:hAnsi="Times New Roman" w:cs="Times New Roman"/>
                <w:color w:val="auto"/>
                <w:sz w:val="21"/>
                <w:szCs w:val="21"/>
                <w:highlight w:val="none"/>
              </w:rPr>
              <w:t>波密县国家一级公益林</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项目仅涉及</w:t>
            </w:r>
            <w:r>
              <w:rPr>
                <w:rFonts w:hint="default" w:ascii="Times New Roman" w:hAnsi="Times New Roman" w:eastAsia="宋体" w:cs="Times New Roman"/>
                <w:color w:val="auto"/>
                <w:sz w:val="21"/>
                <w:szCs w:val="21"/>
                <w:highlight w:val="none"/>
                <w:lang w:val="en-US" w:eastAsia="zh-CN"/>
              </w:rPr>
              <w:t>Ш级</w:t>
            </w:r>
            <w:r>
              <w:rPr>
                <w:rFonts w:hint="eastAsia" w:cs="Times New Roman"/>
                <w:color w:val="auto"/>
                <w:sz w:val="21"/>
                <w:szCs w:val="21"/>
                <w:highlight w:val="none"/>
                <w:lang w:val="en-US" w:eastAsia="zh-CN"/>
              </w:rPr>
              <w:t>林地</w:t>
            </w:r>
            <w:r>
              <w:rPr>
                <w:rFonts w:hint="default" w:ascii="Times New Roman" w:hAnsi="Times New Roman" w:cs="Times New Roman"/>
                <w:color w:val="auto"/>
                <w:sz w:val="21"/>
                <w:szCs w:val="21"/>
                <w:highlight w:val="none"/>
                <w:lang w:eastAsia="zh-CN"/>
              </w:rPr>
              <w:t>。</w:t>
            </w:r>
          </w:p>
        </w:tc>
        <w:tc>
          <w:tcPr>
            <w:tcW w:w="492" w:type="pct"/>
            <w:shd w:val="clear" w:color="auto" w:fill="auto"/>
            <w:noWrap w:val="0"/>
            <w:vAlign w:val="center"/>
          </w:tcPr>
          <w:p w14:paraId="03F32376">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1F9E6C0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4DED0944">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38E106F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1516212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471DA8C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1D93194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2377910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07508DDF">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7B4DE79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4B25366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65B7003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5FD4FC1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7E51612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0382D24B">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047CC86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45FF526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265E47F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46B4BB2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0970DFC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28B0827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波密县一般管控区</w:t>
            </w:r>
          </w:p>
          <w:p w14:paraId="46CBF94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(ZH54042430001)</w:t>
            </w:r>
          </w:p>
        </w:tc>
        <w:tc>
          <w:tcPr>
            <w:tcW w:w="731" w:type="pct"/>
            <w:shd w:val="clear" w:color="auto" w:fill="auto"/>
            <w:noWrap w:val="0"/>
            <w:vAlign w:val="center"/>
          </w:tcPr>
          <w:p w14:paraId="4A3137A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3CC7A7FE">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集中安置点，人口集聚区为重点，补齐环保基础设施，因地制宜建设污水收集处理设施，推广生活垃圾分类收集处理，从源头减少处理处置量；加快生活垃圾收集处理设施建设、改造，建设、完善“三防”设施，避免污染区域地下水。</w:t>
            </w:r>
          </w:p>
          <w:p w14:paraId="76DE5BBA">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永久基本农田不得擅自占用或改变用途。一般建设项目不得占用永久基本农田，临时用地一般不得占用永久基本农田；重大建设项目占用永久基本农田的，深度贫困地区、集中连片特困地区、国家扶贫开发工作重点县省级以下基础设施、易地扶贫搬迁、民生发展等建设项目确实难以避让永久基本农田的，建设项目施工和地质勘查需要临时用地、选址确实难以避让永久基本农田的，按照相关要求办理相关手续。</w:t>
            </w:r>
          </w:p>
          <w:p w14:paraId="5E481767">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基本农田保护区内建窑、建房、建坟、挖砂、采石、采矿、取土、堆放固体废弃物或者进行其他破坏基本农田的活动；禁止任何单位和个人占用基本农田发展林果业和挖塘养鱼；禁止任何单位和个人破坏永久基本农田耕作层；禁止以设施农用地为名违规占用永久基本农田建设休闲旅游、仓储厂房等设施；对利用永久基本农田进行农业结构调整的不得对耕作层造成破坏；禁止在优先保护类耕地集中的区域新建矿产资源采选、制革等高污染型企业；禁止开发利用土壤重金属高背景值区域未利用地。</w:t>
            </w:r>
          </w:p>
        </w:tc>
        <w:tc>
          <w:tcPr>
            <w:tcW w:w="1257" w:type="pct"/>
            <w:shd w:val="clear" w:color="auto" w:fill="auto"/>
            <w:noWrap w:val="0"/>
            <w:vAlign w:val="center"/>
          </w:tcPr>
          <w:p w14:paraId="0C155CCD">
            <w:pPr>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随着规划的实施，区域的</w:t>
            </w:r>
            <w:r>
              <w:rPr>
                <w:rFonts w:hint="default" w:ascii="Times New Roman" w:hAnsi="Times New Roman" w:cs="Times New Roman"/>
                <w:color w:val="auto"/>
                <w:sz w:val="21"/>
                <w:szCs w:val="21"/>
                <w:highlight w:val="none"/>
              </w:rPr>
              <w:t>环保基础设施</w:t>
            </w:r>
            <w:r>
              <w:rPr>
                <w:rFonts w:hint="default" w:ascii="Times New Roman" w:hAnsi="Times New Roman" w:cs="Times New Roman"/>
                <w:color w:val="auto"/>
                <w:sz w:val="21"/>
                <w:szCs w:val="21"/>
                <w:highlight w:val="none"/>
                <w:lang w:val="en-US" w:eastAsia="zh-CN"/>
              </w:rPr>
              <w:t>将进一步得到完善，能够有效的完善</w:t>
            </w:r>
            <w:r>
              <w:rPr>
                <w:rFonts w:hint="default" w:ascii="Times New Roman" w:hAnsi="Times New Roman" w:cs="Times New Roman"/>
                <w:color w:val="auto"/>
                <w:sz w:val="21"/>
                <w:szCs w:val="21"/>
                <w:highlight w:val="none"/>
              </w:rPr>
              <w:t>污水收集处理设施</w:t>
            </w:r>
            <w:r>
              <w:rPr>
                <w:rFonts w:hint="default" w:ascii="Times New Roman" w:hAnsi="Times New Roman"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生活垃圾分类收集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各类设施均落实防渗措施，不会污染区域地下水。</w:t>
            </w:r>
          </w:p>
          <w:p w14:paraId="6AA7E415">
            <w:pPr>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规划项目不涉及占用</w:t>
            </w:r>
            <w:r>
              <w:rPr>
                <w:rFonts w:hint="default" w:ascii="Times New Roman" w:hAnsi="Times New Roman" w:cs="Times New Roman"/>
                <w:color w:val="auto"/>
                <w:sz w:val="21"/>
                <w:szCs w:val="21"/>
                <w:highlight w:val="none"/>
              </w:rPr>
              <w:t>永久基本农田</w:t>
            </w:r>
            <w:r>
              <w:rPr>
                <w:rFonts w:hint="default" w:ascii="Times New Roman" w:hAnsi="Times New Roman" w:cs="Times New Roman"/>
                <w:color w:val="auto"/>
                <w:sz w:val="21"/>
                <w:szCs w:val="21"/>
                <w:highlight w:val="none"/>
                <w:lang w:eastAsia="zh-CN"/>
              </w:rPr>
              <w:t>。</w:t>
            </w:r>
          </w:p>
        </w:tc>
        <w:tc>
          <w:tcPr>
            <w:tcW w:w="492" w:type="pct"/>
            <w:shd w:val="clear" w:color="auto" w:fill="auto"/>
            <w:noWrap w:val="0"/>
            <w:vAlign w:val="center"/>
          </w:tcPr>
          <w:p w14:paraId="79080482">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541951B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2639A26E">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51DC2CE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18B7E01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13B8F43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68448AB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107AEC7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7FF72E5E">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2E61554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71D84C02">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养区外新建、改建和扩建规模化畜禽养殖场（小区）应当配套建设粪便污水贮存、处理、利用设施。严格执行《关于打好农业面源污染防治攻坚战的实施意见》（农科教发〔2015〕1号），全面做好农业面源污染防治工作。以粪污资源化利用能力确定新建养殖场养殖规模，严控畜禽养殖粪污。</w:t>
            </w:r>
          </w:p>
          <w:p w14:paraId="7C4A3B2D">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向农用地排放重金属或者其他有毒有害物质含量超标的污水、污泥，以及可能造成土壤污染的清淤底泥、尾矿、矿渣等；加强污水处理产生的污泥稳定化、无害化或资源化处理，禁止污泥进入耕地。强化农业生产化肥农药施用管控，推广高效施肥技术、灌溉技术等，提高化肥利用率，减少农业种植源污染。</w:t>
            </w:r>
          </w:p>
        </w:tc>
        <w:tc>
          <w:tcPr>
            <w:tcW w:w="1257" w:type="pct"/>
            <w:shd w:val="clear" w:color="auto" w:fill="auto"/>
            <w:noWrap w:val="0"/>
            <w:vAlign w:val="center"/>
          </w:tcPr>
          <w:p w14:paraId="568B1DD9">
            <w:pPr>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规划项目不涉及</w:t>
            </w:r>
            <w:r>
              <w:rPr>
                <w:rFonts w:hint="default" w:ascii="Times New Roman" w:hAnsi="Times New Roman" w:cs="Times New Roman"/>
                <w:color w:val="auto"/>
                <w:sz w:val="21"/>
                <w:szCs w:val="21"/>
                <w:highlight w:val="none"/>
              </w:rPr>
              <w:t>规模化畜禽养殖场（小区）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严格控制规划区</w:t>
            </w:r>
            <w:r>
              <w:rPr>
                <w:rFonts w:hint="default" w:ascii="Times New Roman" w:hAnsi="Times New Roman" w:cs="Times New Roman"/>
                <w:color w:val="auto"/>
                <w:sz w:val="21"/>
                <w:szCs w:val="21"/>
                <w:highlight w:val="none"/>
              </w:rPr>
              <w:t>农业面源污染防治工作</w:t>
            </w:r>
            <w:r>
              <w:rPr>
                <w:rFonts w:hint="default" w:ascii="Times New Roman" w:hAnsi="Times New Roman" w:cs="Times New Roman"/>
                <w:color w:val="auto"/>
                <w:sz w:val="21"/>
                <w:szCs w:val="21"/>
                <w:highlight w:val="none"/>
                <w:lang w:eastAsia="zh-CN"/>
              </w:rPr>
              <w:t>。</w:t>
            </w:r>
          </w:p>
          <w:p w14:paraId="2C9A9D30">
            <w:pPr>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规划的实施不涉及</w:t>
            </w:r>
            <w:r>
              <w:rPr>
                <w:rFonts w:hint="default" w:ascii="Times New Roman" w:hAnsi="Times New Roman" w:cs="Times New Roman"/>
                <w:color w:val="auto"/>
                <w:sz w:val="21"/>
                <w:szCs w:val="21"/>
                <w:highlight w:val="none"/>
              </w:rPr>
              <w:t>向农用地排放重金属或者其他有毒有害物质含量超标的污水、污泥，以及可能造成土壤污染的清淤底泥、尾矿、矿渣等</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严格控制规划区域内</w:t>
            </w:r>
            <w:r>
              <w:rPr>
                <w:rFonts w:hint="default" w:ascii="Times New Roman" w:hAnsi="Times New Roman" w:cs="Times New Roman"/>
                <w:color w:val="auto"/>
                <w:sz w:val="21"/>
                <w:szCs w:val="21"/>
                <w:highlight w:val="none"/>
              </w:rPr>
              <w:t>农业生产化肥农药施用管控</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推广高效施肥技术、灌溉技术等，提高化肥利用率，减少农业种植源污染。</w:t>
            </w:r>
          </w:p>
        </w:tc>
        <w:tc>
          <w:tcPr>
            <w:tcW w:w="492" w:type="pct"/>
            <w:shd w:val="clear" w:color="auto" w:fill="auto"/>
            <w:noWrap w:val="0"/>
            <w:vAlign w:val="center"/>
          </w:tcPr>
          <w:p w14:paraId="01B3A54F">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16A7CE7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056A23CD">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1E9D80A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0067B58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64F2240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4332279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4F63FA6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restart"/>
            <w:noWrap w:val="0"/>
            <w:vAlign w:val="center"/>
          </w:tcPr>
          <w:p w14:paraId="41230F0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帕隆藏布-波密县-一般管控区</w:t>
            </w:r>
          </w:p>
          <w:p w14:paraId="554CC9C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(YS5404243210002)</w:t>
            </w:r>
          </w:p>
        </w:tc>
        <w:tc>
          <w:tcPr>
            <w:tcW w:w="731" w:type="pct"/>
            <w:shd w:val="clear" w:color="auto" w:fill="auto"/>
            <w:noWrap w:val="0"/>
            <w:vAlign w:val="center"/>
          </w:tcPr>
          <w:p w14:paraId="3535A19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空间布局约束</w:t>
            </w:r>
          </w:p>
        </w:tc>
        <w:tc>
          <w:tcPr>
            <w:tcW w:w="1525" w:type="pct"/>
            <w:shd w:val="clear" w:color="auto" w:fill="auto"/>
            <w:noWrap w:val="0"/>
            <w:vAlign w:val="center"/>
          </w:tcPr>
          <w:p w14:paraId="2F613DF3">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以水环境、水资源承载力为基准，合理进行城市空间和产业布局，严控“大量生产、大量消耗、大量排放”的生产模式。</w:t>
            </w:r>
          </w:p>
        </w:tc>
        <w:tc>
          <w:tcPr>
            <w:tcW w:w="1257" w:type="pct"/>
            <w:shd w:val="clear" w:color="auto" w:fill="auto"/>
            <w:noWrap w:val="0"/>
            <w:vAlign w:val="center"/>
          </w:tcPr>
          <w:p w14:paraId="3119B522">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规划区</w:t>
            </w:r>
            <w:r>
              <w:rPr>
                <w:rFonts w:hint="default" w:ascii="Times New Roman" w:hAnsi="Times New Roman" w:cs="Times New Roman"/>
                <w:color w:val="auto"/>
                <w:sz w:val="21"/>
                <w:szCs w:val="21"/>
                <w:highlight w:val="none"/>
              </w:rPr>
              <w:t>以水环境、水资源承载力为基准，合理进行</w:t>
            </w:r>
            <w:r>
              <w:rPr>
                <w:rFonts w:hint="default" w:ascii="Times New Roman" w:hAnsi="Times New Roman" w:cs="Times New Roman"/>
                <w:color w:val="auto"/>
                <w:sz w:val="21"/>
                <w:szCs w:val="21"/>
                <w:highlight w:val="none"/>
                <w:lang w:val="en-US" w:eastAsia="zh-CN"/>
              </w:rPr>
              <w:t>规划</w:t>
            </w:r>
            <w:r>
              <w:rPr>
                <w:rFonts w:hint="default" w:ascii="Times New Roman" w:hAnsi="Times New Roman" w:cs="Times New Roman"/>
                <w:color w:val="auto"/>
                <w:sz w:val="21"/>
                <w:szCs w:val="21"/>
                <w:highlight w:val="none"/>
              </w:rPr>
              <w:t>，严控“大量生产、大量消耗、大量排放”的</w:t>
            </w:r>
            <w:r>
              <w:rPr>
                <w:rFonts w:hint="default" w:ascii="Times New Roman" w:hAnsi="Times New Roman" w:cs="Times New Roman"/>
                <w:color w:val="auto"/>
                <w:sz w:val="21"/>
                <w:szCs w:val="21"/>
                <w:highlight w:val="none"/>
                <w:lang w:val="en-US" w:eastAsia="zh-CN"/>
              </w:rPr>
              <w:t>开发</w:t>
            </w:r>
            <w:r>
              <w:rPr>
                <w:rFonts w:hint="default" w:ascii="Times New Roman" w:hAnsi="Times New Roman" w:cs="Times New Roman"/>
                <w:color w:val="auto"/>
                <w:sz w:val="21"/>
                <w:szCs w:val="21"/>
                <w:highlight w:val="none"/>
              </w:rPr>
              <w:t>模式。</w:t>
            </w:r>
          </w:p>
        </w:tc>
        <w:tc>
          <w:tcPr>
            <w:tcW w:w="492" w:type="pct"/>
            <w:shd w:val="clear" w:color="auto" w:fill="auto"/>
            <w:noWrap w:val="0"/>
            <w:vAlign w:val="center"/>
          </w:tcPr>
          <w:p w14:paraId="355AC1D4">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1C0BA64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1C98F208">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32FB482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环境风险防控</w:t>
            </w:r>
          </w:p>
        </w:tc>
        <w:tc>
          <w:tcPr>
            <w:tcW w:w="1525" w:type="pct"/>
            <w:shd w:val="clear" w:color="auto" w:fill="auto"/>
            <w:noWrap w:val="0"/>
            <w:vAlign w:val="center"/>
          </w:tcPr>
          <w:p w14:paraId="57A3BBDB">
            <w:pPr>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完善工业企业和矿山环境风险防范和管理体系建设，开展企业风险隐患排查与风险评估，增强企业的环境风险意识</w:t>
            </w:r>
            <w:r>
              <w:rPr>
                <w:rFonts w:hint="default" w:ascii="Times New Roman" w:hAnsi="Times New Roman" w:cs="Times New Roman"/>
                <w:color w:val="auto"/>
                <w:sz w:val="21"/>
                <w:szCs w:val="21"/>
                <w:highlight w:val="none"/>
                <w:lang w:eastAsia="zh-CN"/>
              </w:rPr>
              <w:t>。</w:t>
            </w:r>
          </w:p>
        </w:tc>
        <w:tc>
          <w:tcPr>
            <w:tcW w:w="1257" w:type="pct"/>
            <w:shd w:val="clear" w:color="auto" w:fill="auto"/>
            <w:noWrap w:val="0"/>
            <w:vAlign w:val="center"/>
          </w:tcPr>
          <w:p w14:paraId="595B7719">
            <w:pPr>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规划区不涉及</w:t>
            </w:r>
            <w:r>
              <w:rPr>
                <w:rFonts w:hint="default" w:ascii="Times New Roman" w:hAnsi="Times New Roman" w:cs="Times New Roman"/>
                <w:color w:val="auto"/>
                <w:sz w:val="21"/>
                <w:szCs w:val="21"/>
                <w:highlight w:val="none"/>
              </w:rPr>
              <w:t>工业企业和矿山</w:t>
            </w:r>
            <w:r>
              <w:rPr>
                <w:rFonts w:hint="default" w:ascii="Times New Roman" w:hAnsi="Times New Roman" w:cs="Times New Roman"/>
                <w:color w:val="auto"/>
                <w:sz w:val="21"/>
                <w:szCs w:val="21"/>
                <w:highlight w:val="none"/>
                <w:lang w:eastAsia="zh-CN"/>
              </w:rPr>
              <w:t>。</w:t>
            </w:r>
          </w:p>
        </w:tc>
        <w:tc>
          <w:tcPr>
            <w:tcW w:w="492" w:type="pct"/>
            <w:shd w:val="clear" w:color="auto" w:fill="auto"/>
            <w:noWrap w:val="0"/>
            <w:vAlign w:val="center"/>
          </w:tcPr>
          <w:p w14:paraId="38C1BD9B">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06B4AED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00F81321">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12A8009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污染物排放管控</w:t>
            </w:r>
          </w:p>
        </w:tc>
        <w:tc>
          <w:tcPr>
            <w:tcW w:w="1525" w:type="pct"/>
            <w:shd w:val="clear" w:color="auto" w:fill="auto"/>
            <w:noWrap w:val="0"/>
            <w:vAlign w:val="center"/>
          </w:tcPr>
          <w:p w14:paraId="4A697A66">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强化生活污染源治理，加快城镇环保基础设施建设，因地制宜选用合适技术，建成县城污水处理设施及配套管网；建立健全生活垃圾收集、转运、处理系统。控制农牧业面源污染，牧业控制在核定的载畜量以下，规模化养殖场（小区）完善粪污收集处理设施，提高资源化利用率，开展高标准农田改造，减少水土流失，强化农业生产化肥农药施用管控。</w:t>
            </w:r>
          </w:p>
        </w:tc>
        <w:tc>
          <w:tcPr>
            <w:tcW w:w="1257" w:type="pct"/>
            <w:shd w:val="clear" w:color="auto" w:fill="auto"/>
            <w:noWrap w:val="0"/>
            <w:vAlign w:val="center"/>
          </w:tcPr>
          <w:p w14:paraId="3AE67E69">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随着规划的实施，区域的</w:t>
            </w:r>
            <w:r>
              <w:rPr>
                <w:rFonts w:hint="default" w:ascii="Times New Roman" w:hAnsi="Times New Roman" w:cs="Times New Roman"/>
                <w:color w:val="auto"/>
                <w:sz w:val="21"/>
                <w:szCs w:val="21"/>
                <w:highlight w:val="none"/>
              </w:rPr>
              <w:t>环保基础设施</w:t>
            </w:r>
            <w:r>
              <w:rPr>
                <w:rFonts w:hint="default" w:ascii="Times New Roman" w:hAnsi="Times New Roman" w:cs="Times New Roman"/>
                <w:color w:val="auto"/>
                <w:sz w:val="21"/>
                <w:szCs w:val="21"/>
                <w:highlight w:val="none"/>
                <w:lang w:val="en-US" w:eastAsia="zh-CN"/>
              </w:rPr>
              <w:t>将进一步得到完善，能够有效的完善</w:t>
            </w:r>
            <w:r>
              <w:rPr>
                <w:rFonts w:hint="default" w:ascii="Times New Roman" w:hAnsi="Times New Roman" w:cs="Times New Roman"/>
                <w:color w:val="auto"/>
                <w:sz w:val="21"/>
                <w:szCs w:val="21"/>
                <w:highlight w:val="none"/>
              </w:rPr>
              <w:t>污水收集处理设施</w:t>
            </w:r>
            <w:r>
              <w:rPr>
                <w:rFonts w:hint="default" w:ascii="Times New Roman" w:hAnsi="Times New Roman"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生活垃圾分类收集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严格</w:t>
            </w:r>
            <w:r>
              <w:rPr>
                <w:rFonts w:hint="default" w:ascii="Times New Roman" w:hAnsi="Times New Roman" w:cs="Times New Roman"/>
                <w:color w:val="auto"/>
                <w:sz w:val="21"/>
                <w:szCs w:val="21"/>
                <w:highlight w:val="none"/>
              </w:rPr>
              <w:t>控制农牧业面源污染</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规模化养殖场（小区）</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提高资源化利用率，开展高标准农田改造，减少水土流失，强化农业生产化肥农药施用管控。</w:t>
            </w:r>
          </w:p>
        </w:tc>
        <w:tc>
          <w:tcPr>
            <w:tcW w:w="492" w:type="pct"/>
            <w:shd w:val="clear" w:color="auto" w:fill="auto"/>
            <w:noWrap w:val="0"/>
            <w:vAlign w:val="center"/>
          </w:tcPr>
          <w:p w14:paraId="071E3C59">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2567C2F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vMerge w:val="continue"/>
            <w:noWrap w:val="0"/>
            <w:vAlign w:val="center"/>
          </w:tcPr>
          <w:p w14:paraId="3E6C15BA">
            <w:pPr>
              <w:jc w:val="center"/>
              <w:rPr>
                <w:rFonts w:hint="default" w:ascii="Times New Roman" w:hAnsi="Times New Roman" w:cs="Times New Roman"/>
                <w:color w:val="auto"/>
                <w:sz w:val="21"/>
                <w:szCs w:val="21"/>
                <w:highlight w:val="none"/>
              </w:rPr>
            </w:pPr>
          </w:p>
        </w:tc>
        <w:tc>
          <w:tcPr>
            <w:tcW w:w="731" w:type="pct"/>
            <w:shd w:val="clear" w:color="auto" w:fill="auto"/>
            <w:noWrap w:val="0"/>
            <w:vAlign w:val="center"/>
          </w:tcPr>
          <w:p w14:paraId="649DE38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资源开发效率要求</w:t>
            </w:r>
          </w:p>
        </w:tc>
        <w:tc>
          <w:tcPr>
            <w:tcW w:w="1525" w:type="pct"/>
            <w:shd w:val="clear" w:color="auto" w:fill="auto"/>
            <w:noWrap w:val="0"/>
            <w:vAlign w:val="center"/>
          </w:tcPr>
          <w:p w14:paraId="73FFD1A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257" w:type="pct"/>
            <w:shd w:val="clear" w:color="auto" w:fill="auto"/>
            <w:noWrap w:val="0"/>
            <w:vAlign w:val="center"/>
          </w:tcPr>
          <w:p w14:paraId="245BDBD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92" w:type="pct"/>
            <w:shd w:val="clear" w:color="auto" w:fill="auto"/>
            <w:noWrap w:val="0"/>
            <w:vAlign w:val="center"/>
          </w:tcPr>
          <w:p w14:paraId="34C7355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bl>
    <w:p w14:paraId="22BAA0D3">
      <w:pPr>
        <w:spacing w:line="360" w:lineRule="auto"/>
        <w:ind w:firstLine="480" w:firstLineChars="200"/>
        <w:rPr>
          <w:rFonts w:hint="default" w:ascii="Times New Roman" w:hAnsi="Times New Roman" w:cs="Times New Roman" w:eastAsiaTheme="minorEastAsia"/>
          <w:bCs/>
          <w:color w:val="auto"/>
          <w:sz w:val="24"/>
          <w:highlight w:val="none"/>
        </w:rPr>
      </w:pPr>
      <w:r>
        <w:rPr>
          <w:rFonts w:hint="default" w:ascii="Times New Roman" w:hAnsi="Times New Roman" w:cs="Times New Roman"/>
          <w:bCs/>
          <w:color w:val="auto"/>
          <w:kern w:val="0"/>
          <w:sz w:val="24"/>
          <w:highlight w:val="none"/>
        </w:rPr>
        <w:t>综上所述，</w:t>
      </w:r>
      <w:r>
        <w:rPr>
          <w:rFonts w:hint="default" w:ascii="Times New Roman" w:hAnsi="Times New Roman" w:cs="Times New Roman" w:eastAsiaTheme="minorEastAsia"/>
          <w:bCs/>
          <w:color w:val="auto"/>
          <w:sz w:val="24"/>
          <w:highlight w:val="none"/>
          <w:lang w:val="en-US" w:eastAsia="zh-CN"/>
        </w:rPr>
        <w:t>根据波密县自然资源和林业草原局关于《关于核实波密县岗云杉林旅游景区创建4A级规划范围的函》复函可知，规划范围涉及雅鲁藏布大峡谷国家级自然保护区、西藏嘎朗国家湿地公园，不涉及其他西藏林业自然保护区、风景名胜区、森林公园，规划范围涉及生态保护红线面积365.27公顷</w:t>
      </w:r>
      <w:r>
        <w:rPr>
          <w:rFonts w:hint="default" w:ascii="Times New Roman" w:hAnsi="Times New Roman" w:cs="Times New Roman"/>
          <w:bCs/>
          <w:color w:val="auto"/>
          <w:kern w:val="0"/>
          <w:sz w:val="24"/>
          <w:highlight w:val="none"/>
        </w:rPr>
        <w:t>。本规划为生态旅游景区规划，不进行大规模、高强度的工业和城镇开发建设，并按相关法律法规及管控要求进行管控，尽量保留原有生态现状，</w:t>
      </w:r>
      <w:r>
        <w:rPr>
          <w:rFonts w:hint="default" w:ascii="Times New Roman" w:hAnsi="Times New Roman" w:cs="Times New Roman"/>
          <w:bCs/>
          <w:color w:val="auto"/>
          <w:sz w:val="24"/>
          <w:highlight w:val="none"/>
        </w:rPr>
        <w:t>符合</w:t>
      </w:r>
      <w:r>
        <w:rPr>
          <w:rFonts w:hint="default" w:ascii="Times New Roman" w:hAnsi="Times New Roman" w:cs="Times New Roman"/>
          <w:bCs/>
          <w:color w:val="auto"/>
          <w:sz w:val="24"/>
          <w:highlight w:val="none"/>
          <w:lang w:val="en-US" w:eastAsia="zh-CN"/>
        </w:rPr>
        <w:t>相关管理</w:t>
      </w:r>
      <w:r>
        <w:rPr>
          <w:rFonts w:hint="default" w:ascii="Times New Roman" w:hAnsi="Times New Roman" w:cs="Times New Roman"/>
          <w:bCs/>
          <w:color w:val="auto"/>
          <w:sz w:val="24"/>
          <w:highlight w:val="none"/>
        </w:rPr>
        <w:t>要求</w:t>
      </w:r>
      <w:r>
        <w:rPr>
          <w:rFonts w:hint="default" w:ascii="Times New Roman" w:hAnsi="Times New Roman" w:cs="Times New Roman"/>
          <w:bCs/>
          <w:color w:val="auto"/>
          <w:kern w:val="0"/>
          <w:sz w:val="24"/>
          <w:highlight w:val="none"/>
        </w:rPr>
        <w:t>，规划的实施符合水环境质量、大气环境质量、土壤环境风险防控底线及管控要求，符合资源利用上线要求，并满足生态准入清单的要求。因此，本规划的实施完全符合</w:t>
      </w:r>
      <w:r>
        <w:rPr>
          <w:rFonts w:hint="default" w:ascii="Times New Roman" w:hAnsi="Times New Roman" w:cs="Times New Roman"/>
          <w:bCs/>
          <w:color w:val="auto"/>
          <w:kern w:val="0"/>
          <w:sz w:val="24"/>
          <w:highlight w:val="none"/>
          <w:lang w:val="en-US" w:eastAsia="zh-CN"/>
        </w:rPr>
        <w:t>生态环境分区管控</w:t>
      </w:r>
      <w:r>
        <w:rPr>
          <w:rFonts w:hint="default" w:ascii="Times New Roman" w:hAnsi="Times New Roman" w:cs="Times New Roman"/>
          <w:bCs/>
          <w:color w:val="auto"/>
          <w:kern w:val="0"/>
          <w:sz w:val="24"/>
          <w:highlight w:val="none"/>
        </w:rPr>
        <w:t>的要求。</w:t>
      </w:r>
    </w:p>
    <w:p w14:paraId="0BCB4982">
      <w:pPr>
        <w:pStyle w:val="36"/>
        <w:rPr>
          <w:rFonts w:hint="default" w:ascii="Times New Roman" w:hAnsi="Times New Roman" w:cs="Times New Roman"/>
          <w:color w:val="auto"/>
          <w:highlight w:val="none"/>
          <w:lang w:val="en-US"/>
        </w:rPr>
      </w:pPr>
    </w:p>
    <w:p w14:paraId="25E42C28">
      <w:pPr>
        <w:pStyle w:val="36"/>
        <w:rPr>
          <w:rFonts w:hint="default" w:ascii="Times New Roman" w:hAnsi="Times New Roman" w:cs="Times New Roman"/>
          <w:color w:val="auto"/>
          <w:highlight w:val="none"/>
          <w:lang w:val="en-US"/>
        </w:rPr>
        <w:sectPr>
          <w:pgSz w:w="16838" w:h="11906" w:orient="landscape"/>
          <w:pgMar w:top="1474" w:right="1474" w:bottom="1474" w:left="1474" w:header="1134" w:footer="851" w:gutter="0"/>
          <w:cols w:space="720" w:num="1"/>
          <w:docGrid w:type="linesAndChars" w:linePitch="312" w:charSpace="0"/>
        </w:sectPr>
      </w:pPr>
    </w:p>
    <w:p w14:paraId="19B1F19D">
      <w:pPr>
        <w:pStyle w:val="2"/>
        <w:spacing w:before="312" w:after="312"/>
        <w:rPr>
          <w:rFonts w:hint="default" w:ascii="Times New Roman" w:hAnsi="Times New Roman" w:cs="Times New Roman"/>
          <w:color w:val="auto"/>
          <w:highlight w:val="none"/>
        </w:rPr>
      </w:pPr>
      <w:bookmarkStart w:id="85" w:name="_Toc519260287"/>
      <w:bookmarkStart w:id="86" w:name="_Toc328303357"/>
      <w:bookmarkStart w:id="87" w:name="_Toc327771533"/>
      <w:bookmarkStart w:id="88" w:name="_Toc472881901"/>
      <w:bookmarkStart w:id="89" w:name="_Toc6003"/>
      <w:r>
        <w:rPr>
          <w:rFonts w:hint="default" w:ascii="Times New Roman" w:hAnsi="Times New Roman" w:cs="Times New Roman"/>
          <w:color w:val="auto"/>
          <w:highlight w:val="none"/>
        </w:rPr>
        <w:t>环境</w:t>
      </w:r>
      <w:bookmarkEnd w:id="85"/>
      <w:bookmarkEnd w:id="86"/>
      <w:bookmarkEnd w:id="87"/>
      <w:bookmarkEnd w:id="88"/>
      <w:r>
        <w:rPr>
          <w:rFonts w:hint="default" w:ascii="Times New Roman" w:hAnsi="Times New Roman" w:cs="Times New Roman"/>
          <w:color w:val="auto"/>
          <w:highlight w:val="none"/>
        </w:rPr>
        <w:t>现状调查与评价</w:t>
      </w:r>
      <w:bookmarkEnd w:id="89"/>
    </w:p>
    <w:p w14:paraId="5A8ECDE1">
      <w:pPr>
        <w:pStyle w:val="3"/>
        <w:spacing w:before="156" w:after="156"/>
        <w:rPr>
          <w:rFonts w:hint="default" w:ascii="Times New Roman" w:hAnsi="Times New Roman" w:cs="Times New Roman"/>
          <w:color w:val="auto"/>
          <w:highlight w:val="none"/>
        </w:rPr>
      </w:pPr>
      <w:bookmarkStart w:id="90" w:name="_Toc32566"/>
      <w:bookmarkStart w:id="91" w:name="_Toc233614598"/>
      <w:bookmarkStart w:id="92" w:name="_Toc519260407"/>
      <w:bookmarkStart w:id="93" w:name="_Toc250706331"/>
      <w:bookmarkStart w:id="94" w:name="_Toc519260409"/>
      <w:bookmarkStart w:id="95" w:name="_Toc327771685"/>
      <w:bookmarkStart w:id="96" w:name="_Toc328303419"/>
      <w:bookmarkStart w:id="97" w:name="_Toc472881955"/>
      <w:bookmarkStart w:id="98" w:name="_Toc327771687"/>
      <w:bookmarkStart w:id="99" w:name="_Toc472881957"/>
      <w:bookmarkStart w:id="100" w:name="_Toc328303417"/>
      <w:r>
        <w:rPr>
          <w:rFonts w:hint="default" w:ascii="Times New Roman" w:hAnsi="Times New Roman" w:cs="Times New Roman"/>
          <w:color w:val="auto"/>
          <w:highlight w:val="none"/>
        </w:rPr>
        <w:t>自然环境概况</w:t>
      </w:r>
      <w:bookmarkEnd w:id="90"/>
    </w:p>
    <w:p w14:paraId="337D1345">
      <w:pPr>
        <w:pStyle w:val="4"/>
        <w:spacing w:before="156" w:after="156"/>
        <w:rPr>
          <w:rFonts w:hint="default" w:ascii="Times New Roman" w:hAnsi="Times New Roman" w:cs="Times New Roman"/>
          <w:color w:val="auto"/>
          <w:highlight w:val="none"/>
        </w:rPr>
      </w:pPr>
      <w:bookmarkStart w:id="101" w:name="_Toc519260289"/>
      <w:bookmarkStart w:id="102" w:name="_Toc9092752"/>
      <w:r>
        <w:rPr>
          <w:rFonts w:hint="default" w:ascii="Times New Roman" w:hAnsi="Times New Roman" w:cs="Times New Roman"/>
          <w:color w:val="auto"/>
          <w:highlight w:val="none"/>
        </w:rPr>
        <w:t>地理位置</w:t>
      </w:r>
      <w:bookmarkEnd w:id="101"/>
      <w:bookmarkEnd w:id="102"/>
    </w:p>
    <w:p w14:paraId="7AA22E6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波密县位于西藏自治区东南部，帕隆藏布河北岸。地处东经94度-96度，北纬29度-30度。全县总面积16578平方公里，318国道从县中心穿过，距自治区首府拉萨市636公里，距林芝地区政府驻地林芝县八一镇230公里，距昌都市八宿县217公里。1959年成立波密县委。地处喜马拉雅山脉东段北麓。为冲积平原。最高峰明朴不登山，海拔6118米。</w:t>
      </w:r>
    </w:p>
    <w:p w14:paraId="1DEAFF0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县城所在地扎木镇，海拔2700米。气候温和湿润，年均温8.5℃，1月均温零下0.2℃，7月均温16.5℃，年降水量900毫米。农作物主要产小麦、青稞、油菜等，是西藏商品粮基地县之一。有海拔最高的茶园133公顷，所产茶叶质量颇佳。也是出口菌类松茸、羊肚菌的重要产地之一。岗乡自然保护区是山地温带针叶林的典型。境内海洋型冰川发育极好，有著名的卡钦、则普、若果、古乡等冰川。其中卡钦冰川长35千米，面积172平方千米，冰舌末端伸入森林，下达海拔2500米的地方，蔚为壮观。</w:t>
      </w:r>
    </w:p>
    <w:p w14:paraId="43D9070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岗云杉林景区</w:t>
      </w:r>
      <w:r>
        <w:rPr>
          <w:rFonts w:hint="default" w:ascii="Times New Roman" w:hAnsi="Times New Roman" w:cs="Times New Roman"/>
          <w:color w:val="auto"/>
          <w:sz w:val="24"/>
          <w:highlight w:val="none"/>
          <w:lang w:val="en-US" w:eastAsia="zh-CN"/>
        </w:rPr>
        <w:t>位于</w:t>
      </w:r>
      <w:r>
        <w:rPr>
          <w:rFonts w:hint="default" w:ascii="Times New Roman" w:hAnsi="Times New Roman" w:cs="Times New Roman"/>
          <w:color w:val="auto"/>
          <w:sz w:val="24"/>
          <w:highlight w:val="none"/>
        </w:rPr>
        <w:t>西藏自治区林芝市波密县扎木镇、古乡，北起帕隆藏布，南至拉卡背后山林，西起巴卡大桥，东至岗巴大桥，规划范围总面积6.81平方公里，主要涉及村庄包含岗巴村和巴卡村。</w:t>
      </w:r>
    </w:p>
    <w:p w14:paraId="760D1454">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规划区地理区位图见附图2。</w:t>
      </w:r>
    </w:p>
    <w:p w14:paraId="6ED1C12A">
      <w:pPr>
        <w:pStyle w:val="4"/>
        <w:numPr>
          <w:ilvl w:val="2"/>
          <w:numId w:val="5"/>
        </w:numPr>
        <w:spacing w:before="156" w:after="156"/>
        <w:rPr>
          <w:rFonts w:hint="default" w:ascii="Times New Roman" w:hAnsi="Times New Roman" w:cs="Times New Roman"/>
          <w:color w:val="auto"/>
          <w:highlight w:val="none"/>
        </w:rPr>
      </w:pPr>
      <w:bookmarkStart w:id="103" w:name="_Toc519260290"/>
      <w:bookmarkStart w:id="104" w:name="_Toc9092753"/>
      <w:r>
        <w:rPr>
          <w:rFonts w:hint="default" w:ascii="Times New Roman" w:hAnsi="Times New Roman" w:cs="Times New Roman"/>
          <w:color w:val="auto"/>
          <w:highlight w:val="none"/>
        </w:rPr>
        <w:t>地形地貌</w:t>
      </w:r>
      <w:bookmarkEnd w:id="103"/>
      <w:bookmarkEnd w:id="104"/>
    </w:p>
    <w:p w14:paraId="1C4AF042">
      <w:pPr>
        <w:pStyle w:val="545"/>
        <w:adjustRightInd/>
        <w:spacing w:line="360" w:lineRule="auto"/>
        <w:ind w:firstLine="512"/>
        <w:contextualSpacing/>
        <w:jc w:val="both"/>
        <w:rPr>
          <w:rFonts w:hint="default" w:ascii="Times New Roman" w:hAnsi="Times New Roman" w:cs="Times New Roman"/>
          <w:color w:val="auto"/>
          <w:spacing w:val="0"/>
          <w:kern w:val="10"/>
          <w:highlight w:val="none"/>
        </w:rPr>
      </w:pPr>
      <w:r>
        <w:rPr>
          <w:rFonts w:hint="default" w:ascii="Times New Roman" w:hAnsi="Times New Roman" w:cs="Times New Roman"/>
          <w:color w:val="auto"/>
          <w:spacing w:val="0"/>
          <w:kern w:val="10"/>
          <w:highlight w:val="none"/>
        </w:rPr>
        <w:t>波密县地处念青唐古拉山东段和喜马拉雅山东端，北高南低，高山连绵，中部为帕龙藏布河谷和易贡藏布河谷，支流数十条，流域面积4549.6平方公里。境内有卡青、木如草复、罪玛、日母、关星、洛腮、公汤、曲玛尔矿勒、杂接着等十大名山。波密县境内最高海拔6648米，最低2001.4米，县城驻地扎木镇海拔2720米。</w:t>
      </w:r>
    </w:p>
    <w:p w14:paraId="01EFDB16">
      <w:pPr>
        <w:pStyle w:val="4"/>
        <w:spacing w:before="156" w:after="156"/>
        <w:rPr>
          <w:rFonts w:hint="default" w:ascii="Times New Roman" w:hAnsi="Times New Roman" w:cs="Times New Roman"/>
          <w:color w:val="auto"/>
          <w:highlight w:val="none"/>
        </w:rPr>
      </w:pPr>
      <w:bookmarkStart w:id="105" w:name="_Toc519260291"/>
      <w:bookmarkStart w:id="106" w:name="_Toc9092754"/>
      <w:r>
        <w:rPr>
          <w:rFonts w:hint="default" w:ascii="Times New Roman" w:hAnsi="Times New Roman" w:cs="Times New Roman"/>
          <w:color w:val="auto"/>
          <w:highlight w:val="none"/>
        </w:rPr>
        <w:t>地表水系</w:t>
      </w:r>
      <w:bookmarkEnd w:id="105"/>
      <w:bookmarkEnd w:id="106"/>
    </w:p>
    <w:p w14:paraId="779FF424">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波密县地表水系以帕隆藏布、易贡藏布、波堆藏布、康玉曲为四大主干，支流密布，冰川湖泊众多，属雅鲁藏布江流域。</w:t>
      </w:r>
    </w:p>
    <w:p w14:paraId="4FCB3A47">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一、主干河流</w:t>
      </w:r>
    </w:p>
    <w:p w14:paraId="3C3D61E6">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lang w:eastAsia="zh-CN"/>
        </w:rPr>
        <w:t>（</w:t>
      </w:r>
      <w:r>
        <w:rPr>
          <w:rFonts w:hint="default" w:ascii="Times New Roman" w:hAnsi="Times New Roman" w:cs="Times New Roman"/>
          <w:color w:val="auto"/>
          <w:kern w:val="10"/>
          <w:highlight w:val="none"/>
          <w:lang w:val="en-US" w:eastAsia="zh-CN"/>
        </w:rPr>
        <w:t>1</w:t>
      </w:r>
      <w:r>
        <w:rPr>
          <w:rFonts w:hint="default" w:ascii="Times New Roman" w:hAnsi="Times New Roman" w:cs="Times New Roman"/>
          <w:color w:val="auto"/>
          <w:kern w:val="10"/>
          <w:highlight w:val="none"/>
          <w:lang w:eastAsia="zh-CN"/>
        </w:rPr>
        <w:t>）</w:t>
      </w:r>
      <w:r>
        <w:rPr>
          <w:rFonts w:hint="default" w:ascii="Times New Roman" w:hAnsi="Times New Roman" w:cs="Times New Roman"/>
          <w:color w:val="auto"/>
          <w:kern w:val="10"/>
          <w:highlight w:val="none"/>
        </w:rPr>
        <w:t>帕隆藏布（母亲河）</w:t>
      </w:r>
    </w:p>
    <w:p w14:paraId="0C934F26">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雅鲁藏布江水量最大支流，发源于八宿县阿扎贡拉冰川，经然乌湖入波密。</w:t>
      </w:r>
    </w:p>
    <w:p w14:paraId="29CEB963">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境内流程约150km，流向自东向西，贯穿玉普、松宗、扎木、古乡、通麦。</w:t>
      </w:r>
    </w:p>
    <w:p w14:paraId="34746296">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主要支流：松宗藏布（曲宗藏布）、波堆藏布、拉月曲。</w:t>
      </w:r>
    </w:p>
    <w:p w14:paraId="2E3B3180">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lang w:eastAsia="zh-CN"/>
        </w:rPr>
        <w:t>（</w:t>
      </w:r>
      <w:r>
        <w:rPr>
          <w:rFonts w:hint="default" w:ascii="Times New Roman" w:hAnsi="Times New Roman" w:cs="Times New Roman"/>
          <w:color w:val="auto"/>
          <w:kern w:val="10"/>
          <w:highlight w:val="none"/>
          <w:lang w:val="en-US" w:eastAsia="zh-CN"/>
        </w:rPr>
        <w:t>2</w:t>
      </w:r>
      <w:r>
        <w:rPr>
          <w:rFonts w:hint="default" w:ascii="Times New Roman" w:hAnsi="Times New Roman" w:cs="Times New Roman"/>
          <w:color w:val="auto"/>
          <w:kern w:val="10"/>
          <w:highlight w:val="none"/>
          <w:lang w:eastAsia="zh-CN"/>
        </w:rPr>
        <w:t>）</w:t>
      </w:r>
      <w:r>
        <w:rPr>
          <w:rFonts w:hint="default" w:ascii="Times New Roman" w:hAnsi="Times New Roman" w:cs="Times New Roman"/>
          <w:color w:val="auto"/>
          <w:kern w:val="10"/>
          <w:highlight w:val="none"/>
        </w:rPr>
        <w:t>易贡藏布</w:t>
      </w:r>
    </w:p>
    <w:p w14:paraId="34A8BE53">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帕隆藏布最大支流，发源于嘉黎县，由西北向东南流入波密，在通麦汇入帕隆藏布。</w:t>
      </w:r>
    </w:p>
    <w:p w14:paraId="7795C5D4">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境内长约80km，流经易贡乡；支流有勒曲藏布、亚龙藏布。</w:t>
      </w:r>
    </w:p>
    <w:p w14:paraId="0590C118">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lang w:eastAsia="zh-CN"/>
        </w:rPr>
        <w:t>（</w:t>
      </w:r>
      <w:r>
        <w:rPr>
          <w:rFonts w:hint="default" w:ascii="Times New Roman" w:hAnsi="Times New Roman" w:cs="Times New Roman"/>
          <w:color w:val="auto"/>
          <w:kern w:val="10"/>
          <w:highlight w:val="none"/>
          <w:lang w:val="en-US" w:eastAsia="zh-CN"/>
        </w:rPr>
        <w:t>3</w:t>
      </w:r>
      <w:r>
        <w:rPr>
          <w:rFonts w:hint="default" w:ascii="Times New Roman" w:hAnsi="Times New Roman" w:cs="Times New Roman"/>
          <w:color w:val="auto"/>
          <w:kern w:val="10"/>
          <w:highlight w:val="none"/>
          <w:lang w:eastAsia="zh-CN"/>
        </w:rPr>
        <w:t>）</w:t>
      </w:r>
      <w:r>
        <w:rPr>
          <w:rFonts w:hint="default" w:ascii="Times New Roman" w:hAnsi="Times New Roman" w:cs="Times New Roman"/>
          <w:color w:val="auto"/>
          <w:kern w:val="10"/>
          <w:highlight w:val="none"/>
        </w:rPr>
        <w:t>波堆藏布（波得藏布）</w:t>
      </w:r>
    </w:p>
    <w:p w14:paraId="1ACC000B">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帕隆藏布中游左岸支流，发源于念青唐古拉山脉冰川，流经倾多镇，在扎木镇西侧汇入帕隆藏布。</w:t>
      </w:r>
    </w:p>
    <w:p w14:paraId="6EC3A2FA">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长约100km，河谷开阔，冰川地貌发育。</w:t>
      </w:r>
    </w:p>
    <w:p w14:paraId="20F4A0EC">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lang w:eastAsia="zh-CN"/>
        </w:rPr>
        <w:t>（</w:t>
      </w:r>
      <w:r>
        <w:rPr>
          <w:rFonts w:hint="default" w:ascii="Times New Roman" w:hAnsi="Times New Roman" w:cs="Times New Roman"/>
          <w:color w:val="auto"/>
          <w:kern w:val="10"/>
          <w:highlight w:val="none"/>
          <w:lang w:val="en-US" w:eastAsia="zh-CN"/>
        </w:rPr>
        <w:t>4</w:t>
      </w:r>
      <w:r>
        <w:rPr>
          <w:rFonts w:hint="default" w:ascii="Times New Roman" w:hAnsi="Times New Roman" w:cs="Times New Roman"/>
          <w:color w:val="auto"/>
          <w:kern w:val="10"/>
          <w:highlight w:val="none"/>
          <w:lang w:eastAsia="zh-CN"/>
        </w:rPr>
        <w:t>）</w:t>
      </w:r>
      <w:r>
        <w:rPr>
          <w:rFonts w:hint="default" w:ascii="Times New Roman" w:hAnsi="Times New Roman" w:cs="Times New Roman"/>
          <w:color w:val="auto"/>
          <w:kern w:val="10"/>
          <w:highlight w:val="none"/>
        </w:rPr>
        <w:t>康玉曲</w:t>
      </w:r>
    </w:p>
    <w:p w14:paraId="1E3082B8">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位于县域北部，属怒江流域，流经康玉乡，支流短小湍急。</w:t>
      </w:r>
    </w:p>
    <w:p w14:paraId="39F09C21">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二、主要湖泊（冰碛湖为主）</w:t>
      </w:r>
    </w:p>
    <w:p w14:paraId="44A5F50E">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易贡措：藏东最大淡水湖，1900年泥石流堵江形成，面积约22km²。</w:t>
      </w:r>
    </w:p>
    <w:p w14:paraId="19A7159C">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古乡湖：古乡沟冰川泥石流堵塞帕隆藏布形成，长约5km。</w:t>
      </w:r>
    </w:p>
    <w:p w14:paraId="5BBF8207">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嘎朗湖：位于嘎朗乡，湿地生态良好。</w:t>
      </w:r>
    </w:p>
    <w:p w14:paraId="26CB3285">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另有80余个中小型冰碛湖，多分布于高海拔冰川区。</w:t>
      </w:r>
    </w:p>
    <w:p w14:paraId="5BC15CBD">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三、水系特征</w:t>
      </w:r>
    </w:p>
    <w:p w14:paraId="14A6F367">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水系格局：主干呈“两河并行（帕隆、易贡）、支流羽状分布”，河网密度大。</w:t>
      </w:r>
    </w:p>
    <w:p w14:paraId="4751CF84">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补给类型：以冰川融水+大气降水为主，季节性明显，夏季（5-9月）为汛期。</w:t>
      </w:r>
    </w:p>
    <w:p w14:paraId="5EE66438">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地貌成因：河流深切高山峡谷，相对高差2000-4000m；冰川作用强烈，多冰蚀/冰碛地貌。</w:t>
      </w:r>
    </w:p>
    <w:p w14:paraId="7935FF46">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水资源量：年均径流总量约312亿m³，水能蕴藏量大，开发潜力高。</w:t>
      </w:r>
    </w:p>
    <w:p w14:paraId="0F00F6C5">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四、流域概况</w:t>
      </w:r>
    </w:p>
    <w:p w14:paraId="1FE76832">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全县流域面积4549.6km²，均属雅鲁藏布江流域（除北部康玉曲属怒江流域）。</w:t>
      </w:r>
    </w:p>
    <w:p w14:paraId="72A7D960">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rPr>
        <w:t>帕隆藏布流域为西藏现代冰川分布核心区，冰川面积约6800km²，有“冰川之乡”之称。</w:t>
      </w:r>
    </w:p>
    <w:p w14:paraId="29AA6925">
      <w:pPr>
        <w:pStyle w:val="716"/>
        <w:ind w:firstLine="480"/>
        <w:rPr>
          <w:rFonts w:hint="default" w:ascii="Times New Roman" w:hAnsi="Times New Roman" w:cs="Times New Roman"/>
          <w:color w:val="auto"/>
          <w:kern w:val="10"/>
          <w:highlight w:val="none"/>
        </w:rPr>
      </w:pPr>
      <w:r>
        <w:rPr>
          <w:rFonts w:hint="default" w:ascii="Times New Roman" w:hAnsi="Times New Roman" w:cs="Times New Roman"/>
          <w:color w:val="auto"/>
          <w:kern w:val="10"/>
          <w:highlight w:val="none"/>
          <w:lang w:val="en-US" w:eastAsia="zh-CN"/>
        </w:rPr>
        <w:t>规划区紧邻</w:t>
      </w:r>
      <w:r>
        <w:rPr>
          <w:rFonts w:hint="default" w:ascii="Times New Roman" w:hAnsi="Times New Roman" w:cs="Times New Roman"/>
          <w:color w:val="auto"/>
          <w:kern w:val="10"/>
          <w:highlight w:val="none"/>
        </w:rPr>
        <w:t>帕隆藏布。</w:t>
      </w:r>
    </w:p>
    <w:p w14:paraId="6D3E7866">
      <w:pPr>
        <w:pStyle w:val="4"/>
        <w:numPr>
          <w:ilvl w:val="2"/>
          <w:numId w:val="5"/>
        </w:numPr>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水文地质</w:t>
      </w:r>
    </w:p>
    <w:p w14:paraId="29BBDBC9">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规划区邻</w:t>
      </w:r>
      <w:r>
        <w:rPr>
          <w:rFonts w:hint="default" w:ascii="Times New Roman" w:hAnsi="Times New Roman" w:cs="Times New Roman"/>
          <w:bCs/>
          <w:color w:val="auto"/>
          <w:kern w:val="0"/>
          <w:sz w:val="24"/>
          <w:highlight w:val="none"/>
          <w:lang w:eastAsia="zh-CN"/>
        </w:rPr>
        <w:t>帕隆藏布</w:t>
      </w:r>
      <w:r>
        <w:rPr>
          <w:rFonts w:hint="default"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lang w:eastAsia="zh-CN"/>
        </w:rPr>
        <w:t>帕隆藏布</w:t>
      </w:r>
      <w:r>
        <w:rPr>
          <w:rFonts w:hint="default" w:ascii="Times New Roman" w:hAnsi="Times New Roman" w:cs="Times New Roman"/>
          <w:bCs/>
          <w:color w:val="auto"/>
          <w:kern w:val="0"/>
          <w:sz w:val="24"/>
          <w:highlight w:val="none"/>
        </w:rPr>
        <w:t>河谷松散层厚、孔隙水极发育；两岸基岩裂隙水/断裂带水富集；冰川融水+降水补给强、河水—地下水转化频繁；斜坡地下水作用强、滑坡泥石流高发。</w:t>
      </w:r>
    </w:p>
    <w:p w14:paraId="34953419">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一、地形地貌与地层岩性</w:t>
      </w:r>
    </w:p>
    <w:p w14:paraId="6A0B33DD">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地貌：高山峡谷，谷底宽300–800 m，两岸坡度35°–60°，相对高差2000–4000 m；发育河漫滩、多级阶地、冰碛台地、泥石流扇。</w:t>
      </w:r>
    </w:p>
    <w:p w14:paraId="41956C4A">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地层（由新到老）</w:t>
      </w:r>
    </w:p>
    <w:p w14:paraId="2B2D38B4">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全新世：冲洪积砂砾石、泥石流堆积（厚5–30m），渗透性强。</w:t>
      </w:r>
    </w:p>
    <w:p w14:paraId="2C4D1021">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更新世：冰碛层（含冰碛砾石+黏土），结构致密、弱透水；夹冰水砂层，局部含水。</w:t>
      </w:r>
    </w:p>
    <w:p w14:paraId="781473FF">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基岩：花岗岩、片麻岩、石英片岩；断裂带（如通麦断裂）碎裂岩、糜棱岩，富水。</w:t>
      </w:r>
    </w:p>
    <w:p w14:paraId="1A03A430">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二、地下水类型与富水性</w:t>
      </w:r>
    </w:p>
    <w:p w14:paraId="10B45521">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松散岩类孔隙水（河谷主导）</w:t>
      </w:r>
    </w:p>
    <w:p w14:paraId="29E18428">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分布：河漫滩、阶地、古河道，带状连续分布。</w:t>
      </w:r>
    </w:p>
    <w:p w14:paraId="6D80FC88">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含水层：砂砾石层，厚10–50m，渗透系数K=10–50m/d，强富水。</w:t>
      </w:r>
    </w:p>
    <w:p w14:paraId="6B7EAB2B">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水位：埋深0.5–5 m，近河地带**&lt;1 m**，与河水互补。</w:t>
      </w:r>
    </w:p>
    <w:p w14:paraId="5109A94F">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基岩裂隙水（两岸斜坡）</w:t>
      </w:r>
    </w:p>
    <w:p w14:paraId="403AC216">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风化裂隙水：花岗岩/片麻岩风化层（厚5–20m），中等富水，泉流量0.1–1L/s。</w:t>
      </w:r>
    </w:p>
    <w:p w14:paraId="6D2F7C86">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构造裂隙水（断裂带）：通麦—通灯断裂、帕隆藏布断裂带，脉状/带状富水；泉群出露，如迫隆温泉（35–79℃，5L/s）、拉月温泉（37–43℃，3.86L/s）。</w:t>
      </w:r>
    </w:p>
    <w:p w14:paraId="756114E4">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冰碛层上层滞水/裂隙水</w:t>
      </w:r>
    </w:p>
    <w:p w14:paraId="5C1B4830">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分布：古冰碛台地（如102滑坡区），上部冲洪积碎石土透水、下部致密冰碛隔水，形成2300–2335m含水带；滑坡后壁线状渗水，诱发滑坡。</w:t>
      </w:r>
    </w:p>
    <w:p w14:paraId="3261DF7C">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三、补给、径流、排泄</w:t>
      </w:r>
    </w:p>
    <w:p w14:paraId="21C22C07">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补给（三源）</w:t>
      </w:r>
    </w:p>
    <w:p w14:paraId="28B72BAB">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冰川融水（5–9月主导）：占径流58%+，高海拔冰川/积雪消融入渗。</w:t>
      </w:r>
    </w:p>
    <w:p w14:paraId="6B37F5E4">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大气降水（全年）：年降水1500–1800mm，雨季（6–9月）占70%–90%，入渗补给强。</w:t>
      </w:r>
    </w:p>
    <w:p w14:paraId="200A0317">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河水侧渗：洪水期河水补给阶地地下水；枯水期地下水反补给河水。</w:t>
      </w:r>
    </w:p>
    <w:p w14:paraId="54C6CF28">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径流：河谷孔隙水近水平向河径流；基岩裂隙水顺坡/沿断裂向河谷汇流。</w:t>
      </w:r>
    </w:p>
    <w:p w14:paraId="48E2A3D4">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排泄：向帕隆藏布排泄（主）；泉/泉群出露（次）；蒸发/植被蒸腾（弱）。</w:t>
      </w:r>
    </w:p>
    <w:p w14:paraId="04CBD940">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四、水化学与水温</w:t>
      </w:r>
    </w:p>
    <w:p w14:paraId="1942060A">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孔隙水：HCO₃⁻–Ca²⁺/Mg²⁺型，TDS&lt;300mg/L，弱碱性（pH7.5–8.5）。</w:t>
      </w:r>
    </w:p>
    <w:p w14:paraId="04EB4ADA">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断裂带热水：HCO₃⁻–Na⁺型，TDS 500–1000 mg/L，温度35–94℃（如常青沸泉94℃）。</w:t>
      </w:r>
    </w:p>
    <w:p w14:paraId="526D05B2">
      <w:pPr>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冰川融水：低矿化、低离子，HCO₃⁻–Ca²⁺型，TDS&lt;150 mg/L。</w:t>
      </w:r>
    </w:p>
    <w:p w14:paraId="087EAD79">
      <w:pPr>
        <w:pStyle w:val="4"/>
        <w:numPr>
          <w:ilvl w:val="2"/>
          <w:numId w:val="5"/>
        </w:numPr>
        <w:spacing w:before="156" w:after="156"/>
        <w:rPr>
          <w:rFonts w:hint="default" w:ascii="Times New Roman" w:hAnsi="Times New Roman" w:cs="Times New Roman"/>
          <w:color w:val="auto"/>
          <w:highlight w:val="none"/>
        </w:rPr>
      </w:pPr>
      <w:bookmarkStart w:id="107" w:name="_Toc519260293"/>
      <w:bookmarkStart w:id="108" w:name="_Toc9092756"/>
      <w:r>
        <w:rPr>
          <w:rFonts w:hint="default" w:ascii="Times New Roman" w:hAnsi="Times New Roman" w:cs="Times New Roman"/>
          <w:color w:val="auto"/>
          <w:highlight w:val="none"/>
        </w:rPr>
        <w:t>气候气象</w:t>
      </w:r>
      <w:bookmarkEnd w:id="107"/>
      <w:bookmarkEnd w:id="108"/>
    </w:p>
    <w:p w14:paraId="34B611AD">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波密县受印度洋海洋性西南季风影响，印度洋暖湿气流沿雅鲁藏布江进入帕龙藏布河，因此，海拔2700米以下属亚热带气候带，2700—4200米属高原温暖半湿润气候，4200米以上属高原冷湿寒湿带，年日照时间1563小时，年均温度8.5度，年无霜期176天，年均降水量977毫米。</w:t>
      </w:r>
    </w:p>
    <w:p w14:paraId="47D0F2F0">
      <w:pPr>
        <w:pStyle w:val="4"/>
        <w:numPr>
          <w:ilvl w:val="2"/>
          <w:numId w:val="5"/>
        </w:numPr>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土壤</w:t>
      </w:r>
    </w:p>
    <w:p w14:paraId="0F04FE70">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波密县土壤呈垂直带谱明显、类型多样、发育年轻、砾质化强、有机质普遍较高，整体从低海拔河谷到高海拔雪山呈黄壤→暗棕壤→棕壤→草甸土→寒漠土的完整序列。</w:t>
      </w:r>
    </w:p>
    <w:p w14:paraId="6555EA1C">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一、主要土壤类型与垂直分布（海拔由低到高）</w:t>
      </w:r>
    </w:p>
    <w:p w14:paraId="3E9ED4B3">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1）山地黄壤（＜2600m）</w:t>
      </w:r>
    </w:p>
    <w:p w14:paraId="4BD9BF13">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分布：易贡以下河谷、帕隆藏布低海拔段（如通麦）。</w:t>
      </w:r>
    </w:p>
    <w:p w14:paraId="1F97E9F2">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特征：暖湿、强风化、酸性（pH4.5–5.5）、土层厚（50–80cm）、质地黏壤；常绿/落叶阔叶混交林，有机质高（60–120g/kg）。</w:t>
      </w:r>
    </w:p>
    <w:p w14:paraId="3346D70A">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2）山地暗棕壤（2600–3500m，最广）</w:t>
      </w:r>
    </w:p>
    <w:p w14:paraId="16CE71EA">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分布：帕隆藏布、易贡藏布两岸山地，高山松/云杉/冷杉林带。</w:t>
      </w:r>
    </w:p>
    <w:p w14:paraId="760CBA23">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特征：中酸性（pH5.0–6.5）、厚层（40–70cm）、砾质壤土、腐殖质层厚（15–25cm）、肥力高；有机质80–150g/kg，林业主产区。</w:t>
      </w:r>
    </w:p>
    <w:p w14:paraId="7FFCCA06">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3）山地棕壤（3500–4000m）</w:t>
      </w:r>
    </w:p>
    <w:p w14:paraId="49B30617">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分布：亚高山针阔混交林/云杉林带，坡麓、洪积扇。</w:t>
      </w:r>
    </w:p>
    <w:p w14:paraId="1C7F7FB5">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特征：微酸至中性（pH6.0–7.0）、砾质砂壤、土层中等（30–50cm）、养分中等；有机质50–100g/kg。</w:t>
      </w:r>
    </w:p>
    <w:p w14:paraId="7F84014E">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4）亚高山草甸土（4000–4500m）</w:t>
      </w:r>
    </w:p>
    <w:p w14:paraId="4EC9C162">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分布：林线以上、平缓坡/台地，灌丛草甸。</w:t>
      </w:r>
    </w:p>
    <w:p w14:paraId="445A75DB">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特征：中性（pH6.5–7.5）、腐殖质层厚（20–30cm）、有机质高（100–200g/kg）、砾石多；夏季牧场。</w:t>
      </w:r>
    </w:p>
    <w:p w14:paraId="44B7814A">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5）高山草甸土（4500–4800m）</w:t>
      </w:r>
    </w:p>
    <w:p w14:paraId="0CD6D9AB">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分布：高山带、缓坡，高寒草甸。</w:t>
      </w:r>
    </w:p>
    <w:p w14:paraId="4A26C817">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特征：土层薄（15–30cm）、砾石含量＞50%、有机质高（80–150g/kg）、弱酸性；仅夏季放牧。</w:t>
      </w:r>
    </w:p>
    <w:p w14:paraId="6485187F">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6）高山寒漠土（＞4800m）</w:t>
      </w:r>
    </w:p>
    <w:p w14:paraId="120BC31A">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分布：雪线以下、流石滩/裸岩区。</w:t>
      </w:r>
    </w:p>
    <w:p w14:paraId="302CE75B">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特征：粗骨土、土层＜10cm、砾石＞70%、有机质低（＜20g/kg）、无植被或垫状植物；不可利用。</w:t>
      </w:r>
    </w:p>
    <w:p w14:paraId="3A88B013">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7）河谷草甸土/沼泽化草甸土（河漫滩、阶地低洼处）</w:t>
      </w:r>
    </w:p>
    <w:p w14:paraId="4EE42F0B">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分布：帕隆藏布、易贡藏布河漫滩、古乡湖/易贡湖周边。</w:t>
      </w:r>
    </w:p>
    <w:p w14:paraId="02BDFED0">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特征：地下水位高、湿润至饱和、有机质极高（150–300g/kg）、中性、黏土至壤土；局部沼泽化，宜牧。</w:t>
      </w:r>
    </w:p>
    <w:p w14:paraId="512F54E0">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8）冲积土/洪积土（河谷阶地、洪积扇）</w:t>
      </w:r>
    </w:p>
    <w:p w14:paraId="24CA428A">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分布：扎木、松宗、倾多等河谷农田区。</w:t>
      </w:r>
    </w:p>
    <w:p w14:paraId="06BD7A6A">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特征：成土年轻、砾质砂壤至壤土、土层厚（30–60cm）、通透性好、肥力中等、中性；主要耕作土壤，种青稞、小麦、油菜。</w:t>
      </w:r>
    </w:p>
    <w:p w14:paraId="29DEF4B7">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二、土壤总体特征</w:t>
      </w:r>
    </w:p>
    <w:p w14:paraId="378088B4">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垂直带谱完整：从亚热带黄壤到高寒寒漠土，海拔每升高1000m，土壤类型更替一次。</w:t>
      </w:r>
    </w:p>
    <w:p w14:paraId="087173DA">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砾质化强：除河谷冲积土外，多数土壤砾石含量30%–70%，高海拔可达80%。</w:t>
      </w:r>
    </w:p>
    <w:p w14:paraId="5BD4B85D">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有机质普遍高：森林/草甸土50–200g/kg，高寒环境分解慢、积累强。</w:t>
      </w:r>
    </w:p>
    <w:p w14:paraId="0C98F670">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酸性至中性为主：低海拔黄壤pH4.5–5.5；暗棕壤pH5.0–6.5；草甸土pH6.5–7.5。</w:t>
      </w:r>
    </w:p>
    <w:p w14:paraId="6CAA3CDB">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发育年轻：冰川/新构造运动活跃，成土时间短、剖面层次简单、粗骨性强。</w:t>
      </w:r>
    </w:p>
    <w:p w14:paraId="23CA2B18">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三、区域分布要点</w:t>
      </w:r>
    </w:p>
    <w:p w14:paraId="0992F481">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帕隆藏布干流（扎木—通麦）：阶地冲积土（农田）+山坡暗棕壤（森林）+河漫滩草甸土。</w:t>
      </w:r>
    </w:p>
    <w:p w14:paraId="36C78095">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易贡藏布/易贡湖：沼泽化草甸土+暗棕壤+少量黄壤（下游）。</w:t>
      </w:r>
    </w:p>
    <w:p w14:paraId="03049A71">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波堆藏布（倾多）：洪积扇棕壤+阶地冲积土+山地暗棕壤。</w:t>
      </w:r>
    </w:p>
    <w:p w14:paraId="27AF854A">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高海拔山区（＞4000m）：亚高山草甸土→高山草甸土→寒漠土。</w:t>
      </w:r>
    </w:p>
    <w:p w14:paraId="6A82D6FE">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四、土地利用与肥力</w:t>
      </w:r>
    </w:p>
    <w:p w14:paraId="04BA3521">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耕地：集中2600–3200m河谷阶地，冲积土/洪积土，肥力中等，宜青稞、小麦、油菜。</w:t>
      </w:r>
    </w:p>
    <w:p w14:paraId="14126AFE">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林地：2600–4000 m山地，暗棕壤/棕壤，肥力高，原始林集中。</w:t>
      </w:r>
    </w:p>
    <w:p w14:paraId="3D1E03B7">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草地：4000–4800 m草甸土+河谷草甸土，有机质高、优质牧场。</w:t>
      </w:r>
    </w:p>
    <w:p w14:paraId="4FA08BEB">
      <w:pPr>
        <w:pStyle w:val="71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肥力特点：氮高、磷低、钾中等；高山松林土壤全磷/速效磷极缺。</w:t>
      </w:r>
    </w:p>
    <w:p w14:paraId="5D6A068A">
      <w:pPr>
        <w:pStyle w:val="4"/>
        <w:numPr>
          <w:ilvl w:val="2"/>
          <w:numId w:val="5"/>
        </w:numPr>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地震烈度</w:t>
      </w:r>
    </w:p>
    <w:p w14:paraId="4789C3E9">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本规划区位于</w:t>
      </w:r>
      <w:r>
        <w:rPr>
          <w:rFonts w:hint="default" w:ascii="Times New Roman" w:hAnsi="Times New Roman" w:cs="Times New Roman" w:eastAsiaTheme="minorEastAsia"/>
          <w:bCs/>
          <w:color w:val="auto"/>
          <w:highlight w:val="none"/>
        </w:rPr>
        <w:t>西藏</w:t>
      </w:r>
      <w:r>
        <w:rPr>
          <w:rFonts w:hint="default" w:ascii="Times New Roman" w:hAnsi="Times New Roman" w:cs="Times New Roman" w:eastAsiaTheme="minorEastAsia"/>
          <w:bCs/>
          <w:color w:val="auto"/>
          <w:highlight w:val="none"/>
          <w:lang w:eastAsia="zh-CN"/>
        </w:rPr>
        <w:t>林芝市波密县扎木镇、古乡</w:t>
      </w:r>
      <w:r>
        <w:rPr>
          <w:rFonts w:hint="default" w:ascii="Times New Roman" w:hAnsi="Times New Roman" w:cs="Times New Roman"/>
          <w:color w:val="auto"/>
          <w:spacing w:val="0"/>
          <w:kern w:val="24"/>
          <w:highlight w:val="none"/>
        </w:rPr>
        <w:t>，根据《中国地震动参数区划图》（GB 18306-2015）</w:t>
      </w:r>
      <w:r>
        <w:rPr>
          <w:rFonts w:hint="default" w:ascii="Times New Roman" w:hAnsi="Times New Roman" w:cs="Times New Roman"/>
          <w:color w:val="auto"/>
          <w:spacing w:val="0"/>
          <w:kern w:val="24"/>
          <w:highlight w:val="none"/>
          <w:lang w:eastAsia="zh-CN"/>
        </w:rPr>
        <w:t>，</w:t>
      </w:r>
      <w:r>
        <w:rPr>
          <w:rFonts w:hint="default" w:ascii="Times New Roman" w:hAnsi="Times New Roman" w:cs="Times New Roman"/>
          <w:color w:val="auto"/>
          <w:spacing w:val="0"/>
          <w:kern w:val="24"/>
          <w:highlight w:val="none"/>
        </w:rPr>
        <w:t>波密全县：Ⅷ度（8度）设防</w:t>
      </w:r>
      <w:r>
        <w:rPr>
          <w:rFonts w:hint="default" w:ascii="Times New Roman" w:hAnsi="Times New Roman" w:cs="Times New Roman"/>
          <w:color w:val="auto"/>
          <w:spacing w:val="0"/>
          <w:kern w:val="24"/>
          <w:highlight w:val="none"/>
          <w:lang w:eastAsia="zh-CN"/>
        </w:rPr>
        <w:t>，</w:t>
      </w:r>
      <w:r>
        <w:rPr>
          <w:rFonts w:hint="default" w:ascii="Times New Roman" w:hAnsi="Times New Roman" w:cs="Times New Roman"/>
          <w:color w:val="auto"/>
          <w:spacing w:val="0"/>
          <w:kern w:val="24"/>
          <w:highlight w:val="none"/>
        </w:rPr>
        <w:t>对应地震动峰值加速度0.20g，第二。县城（扎木镇）、松宗、倾多、古乡、易贡、八盖、玉许等乡镇均属Ⅷ度区。</w:t>
      </w:r>
    </w:p>
    <w:p w14:paraId="0B2D8B14">
      <w:pPr>
        <w:pStyle w:val="3"/>
        <w:numPr>
          <w:ilvl w:val="1"/>
          <w:numId w:val="5"/>
        </w:numPr>
        <w:spacing w:before="156" w:after="156"/>
        <w:rPr>
          <w:rFonts w:hint="default" w:ascii="Times New Roman" w:hAnsi="Times New Roman" w:cs="Times New Roman"/>
          <w:color w:val="auto"/>
          <w:highlight w:val="none"/>
        </w:rPr>
      </w:pPr>
      <w:bookmarkStart w:id="109" w:name="_Toc809"/>
      <w:r>
        <w:rPr>
          <w:rFonts w:hint="default" w:ascii="Times New Roman" w:hAnsi="Times New Roman" w:cs="Times New Roman"/>
          <w:color w:val="auto"/>
          <w:highlight w:val="none"/>
        </w:rPr>
        <w:t>社会环境概况</w:t>
      </w:r>
      <w:bookmarkEnd w:id="109"/>
    </w:p>
    <w:p w14:paraId="2E05275A">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2023年，波密县实现地区生产总值（GDP）40.35亿元，同比增长8.55%；一般公共财政预算收入1.61亿元，同比增长2.4%；固定资产投资26.13亿元，同比增长30.42%；农村居民人均可支配收入27958元，同比增长11.1%。</w:t>
      </w:r>
    </w:p>
    <w:p w14:paraId="3E39E2D0">
      <w:pPr>
        <w:pStyle w:val="3"/>
        <w:spacing w:before="156" w:after="156"/>
        <w:rPr>
          <w:rFonts w:hint="default" w:ascii="Times New Roman" w:hAnsi="Times New Roman" w:cs="Times New Roman"/>
          <w:color w:val="auto"/>
          <w:highlight w:val="none"/>
        </w:rPr>
      </w:pPr>
      <w:bookmarkStart w:id="110" w:name="_Toc9737"/>
      <w:r>
        <w:rPr>
          <w:rFonts w:hint="default" w:ascii="Times New Roman" w:hAnsi="Times New Roman" w:cs="Times New Roman"/>
          <w:color w:val="auto"/>
          <w:highlight w:val="none"/>
        </w:rPr>
        <w:t>环境敏感区</w:t>
      </w:r>
      <w:bookmarkEnd w:id="110"/>
    </w:p>
    <w:p w14:paraId="4DBF1D87">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雅鲁藏布大峡谷国家级自然保护区</w:t>
      </w:r>
    </w:p>
    <w:p w14:paraId="13C69F93">
      <w:pPr>
        <w:pStyle w:val="57"/>
        <w:spacing w:after="0" w:line="360" w:lineRule="auto"/>
        <w:ind w:left="0" w:leftChars="0" w:firstLine="480"/>
        <w:rPr>
          <w:rFonts w:hint="default" w:ascii="Times New Roman" w:hAnsi="Times New Roman" w:cs="Times New Roman" w:eastAsiaTheme="minorEastAsia"/>
          <w:color w:val="auto"/>
          <w:sz w:val="24"/>
          <w:highlight w:val="none"/>
          <w:lang w:val="en-US" w:eastAsia="zh-CN"/>
        </w:rPr>
      </w:pPr>
      <w:r>
        <w:rPr>
          <w:rFonts w:hint="default" w:ascii="Times New Roman" w:hAnsi="Times New Roman" w:eastAsia="宋体" w:cs="Times New Roman"/>
          <w:color w:val="auto"/>
          <w:sz w:val="24"/>
          <w:highlight w:val="none"/>
        </w:rPr>
        <w:t>本</w:t>
      </w:r>
      <w:r>
        <w:rPr>
          <w:rFonts w:hint="default" w:ascii="Times New Roman" w:hAnsi="Times New Roman" w:eastAsia="宋体" w:cs="Times New Roman"/>
          <w:color w:val="auto"/>
          <w:sz w:val="24"/>
          <w:highlight w:val="none"/>
          <w:lang w:eastAsia="zh-CN"/>
        </w:rPr>
        <w:t>规划区部分位于雅鲁藏布大峡谷国家级自然保护区</w:t>
      </w:r>
      <w:r>
        <w:rPr>
          <w:rFonts w:hint="default" w:ascii="Times New Roman" w:hAnsi="Times New Roman" w:eastAsia="宋体" w:cs="Times New Roman"/>
          <w:color w:val="auto"/>
          <w:sz w:val="24"/>
          <w:highlight w:val="none"/>
        </w:rPr>
        <w:t>内</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涉及其试验区</w:t>
      </w:r>
      <w:r>
        <w:rPr>
          <w:rFonts w:hint="default" w:ascii="Times New Roman" w:hAnsi="Times New Roman" w:eastAsia="宋体" w:cs="Times New Roman"/>
          <w:color w:val="auto"/>
          <w:sz w:val="24"/>
          <w:highlight w:val="none"/>
        </w:rPr>
        <w:t>，</w:t>
      </w:r>
      <w:r>
        <w:rPr>
          <w:rFonts w:hint="default" w:ascii="Times New Roman" w:hAnsi="Times New Roman" w:cs="Times New Roman"/>
          <w:bCs/>
          <w:color w:val="auto"/>
          <w:sz w:val="24"/>
          <w:szCs w:val="20"/>
          <w:highlight w:val="none"/>
          <w:lang w:val="en-US"/>
        </w:rPr>
        <w:t>《雅鲁藏布大峡谷国家级自然保护区总体规划</w:t>
      </w:r>
      <w:r>
        <w:rPr>
          <w:rFonts w:hint="default" w:ascii="Times New Roman" w:hAnsi="Times New Roman" w:cs="Times New Roman"/>
          <w:bCs/>
          <w:color w:val="auto"/>
          <w:sz w:val="24"/>
          <w:szCs w:val="20"/>
          <w:highlight w:val="none"/>
        </w:rPr>
        <w:t>（</w:t>
      </w:r>
      <w:r>
        <w:rPr>
          <w:rFonts w:hint="default" w:ascii="Times New Roman" w:hAnsi="Times New Roman" w:cs="Times New Roman"/>
          <w:bCs/>
          <w:color w:val="auto"/>
          <w:sz w:val="24"/>
          <w:szCs w:val="20"/>
          <w:highlight w:val="none"/>
          <w:lang w:val="en-US" w:eastAsia="zh-CN"/>
        </w:rPr>
        <w:t>2000</w:t>
      </w:r>
      <w:r>
        <w:rPr>
          <w:rFonts w:hint="default" w:ascii="Times New Roman" w:hAnsi="Times New Roman" w:cs="Times New Roman"/>
          <w:bCs/>
          <w:color w:val="auto"/>
          <w:sz w:val="24"/>
          <w:szCs w:val="20"/>
          <w:highlight w:val="none"/>
        </w:rPr>
        <w:t>-20</w:t>
      </w:r>
      <w:r>
        <w:rPr>
          <w:rFonts w:hint="default" w:ascii="Times New Roman" w:hAnsi="Times New Roman" w:cs="Times New Roman"/>
          <w:bCs/>
          <w:color w:val="auto"/>
          <w:sz w:val="24"/>
          <w:szCs w:val="20"/>
          <w:highlight w:val="none"/>
          <w:lang w:val="en-US" w:eastAsia="zh-CN"/>
        </w:rPr>
        <w:t>1</w:t>
      </w:r>
      <w:r>
        <w:rPr>
          <w:rFonts w:hint="default" w:ascii="Times New Roman" w:hAnsi="Times New Roman" w:cs="Times New Roman"/>
          <w:bCs/>
          <w:color w:val="auto"/>
          <w:sz w:val="24"/>
          <w:szCs w:val="20"/>
          <w:highlight w:val="none"/>
        </w:rPr>
        <w:t>0）</w:t>
      </w:r>
      <w:r>
        <w:rPr>
          <w:rFonts w:hint="default" w:ascii="Times New Roman" w:hAnsi="Times New Roman" w:cs="Times New Roman"/>
          <w:bCs/>
          <w:color w:val="auto"/>
          <w:sz w:val="24"/>
          <w:szCs w:val="20"/>
          <w:highlight w:val="none"/>
          <w:lang w:val="en-US"/>
        </w:rPr>
        <w:t>》</w:t>
      </w:r>
      <w:r>
        <w:rPr>
          <w:rFonts w:hint="default" w:ascii="Times New Roman" w:hAnsi="Times New Roman" w:cs="Times New Roman"/>
          <w:bCs/>
          <w:color w:val="auto"/>
          <w:sz w:val="24"/>
          <w:szCs w:val="20"/>
          <w:highlight w:val="none"/>
          <w:lang w:val="en-US" w:eastAsia="zh-CN"/>
        </w:rPr>
        <w:t>于2000年获批。</w:t>
      </w:r>
    </w:p>
    <w:p w14:paraId="5DF6E53A">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一、规划基本信息（2000原版）</w:t>
      </w:r>
    </w:p>
    <w:p w14:paraId="09BA7E4D">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名称：《雅鲁藏布大峡谷国家级自然保护区总体规划》</w:t>
      </w:r>
      <w:r>
        <w:rPr>
          <w:rFonts w:hint="default" w:ascii="Times New Roman" w:hAnsi="Times New Roman" w:cs="Times New Roman"/>
          <w:bCs/>
          <w:color w:val="auto"/>
          <w:sz w:val="24"/>
          <w:szCs w:val="20"/>
          <w:highlight w:val="none"/>
          <w:lang w:val="en-US" w:eastAsia="zh-CN"/>
        </w:rPr>
        <w:t>。</w:t>
      </w:r>
    </w:p>
    <w:p w14:paraId="16A2FC33">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编制：中科院植物所李勃生牵头，西藏自治区林草局、国家林业局联合编制</w:t>
      </w:r>
      <w:r>
        <w:rPr>
          <w:rFonts w:hint="default" w:ascii="Times New Roman" w:hAnsi="Times New Roman" w:cs="Times New Roman"/>
          <w:bCs/>
          <w:color w:val="auto"/>
          <w:sz w:val="24"/>
          <w:szCs w:val="20"/>
          <w:highlight w:val="none"/>
          <w:lang w:val="en-US" w:eastAsia="zh-CN"/>
        </w:rPr>
        <w:t>。</w:t>
      </w:r>
    </w:p>
    <w:p w14:paraId="5E936CB0">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评审：1999.10西藏区政府通过；2000.4国家林业局专家评审通过</w:t>
      </w:r>
      <w:r>
        <w:rPr>
          <w:rFonts w:hint="default" w:ascii="Times New Roman" w:hAnsi="Times New Roman" w:cs="Times New Roman"/>
          <w:bCs/>
          <w:color w:val="auto"/>
          <w:sz w:val="24"/>
          <w:szCs w:val="20"/>
          <w:highlight w:val="none"/>
          <w:lang w:val="en-US" w:eastAsia="zh-CN"/>
        </w:rPr>
        <w:t>。</w:t>
      </w:r>
    </w:p>
    <w:p w14:paraId="05367267">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批复：2000.4国务院办公厅批复（国办发〔2000〕20号），由原墨脱国家级自然保护区扩界更名</w:t>
      </w:r>
      <w:r>
        <w:rPr>
          <w:rFonts w:hint="default" w:ascii="Times New Roman" w:hAnsi="Times New Roman" w:cs="Times New Roman"/>
          <w:bCs/>
          <w:color w:val="auto"/>
          <w:sz w:val="24"/>
          <w:szCs w:val="20"/>
          <w:highlight w:val="none"/>
          <w:lang w:val="en-US" w:eastAsia="zh-CN"/>
        </w:rPr>
        <w:t>。</w:t>
      </w:r>
    </w:p>
    <w:p w14:paraId="663F6C9A">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规划期限：2000—2015（已到期，2025修编版待国家林草局批复）</w:t>
      </w:r>
      <w:r>
        <w:rPr>
          <w:rFonts w:hint="default" w:ascii="Times New Roman" w:hAnsi="Times New Roman" w:cs="Times New Roman"/>
          <w:bCs/>
          <w:color w:val="auto"/>
          <w:sz w:val="24"/>
          <w:szCs w:val="20"/>
          <w:highlight w:val="none"/>
          <w:lang w:val="en-US" w:eastAsia="zh-CN"/>
        </w:rPr>
        <w:t>。</w:t>
      </w:r>
    </w:p>
    <w:p w14:paraId="558E94A3">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二、保护区范围与规模（核心数据）</w:t>
      </w:r>
    </w:p>
    <w:p w14:paraId="093B872D">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地理位置：北纬29°05′—30°20′、东经94°39′—96°06′，地跨林芝市墨脱、波密、米林、巴宜4县（区）14乡镇</w:t>
      </w:r>
      <w:r>
        <w:rPr>
          <w:rFonts w:hint="default" w:ascii="Times New Roman" w:hAnsi="Times New Roman" w:cs="Times New Roman"/>
          <w:bCs/>
          <w:color w:val="auto"/>
          <w:sz w:val="24"/>
          <w:szCs w:val="20"/>
          <w:highlight w:val="none"/>
          <w:lang w:val="en-US" w:eastAsia="zh-CN"/>
        </w:rPr>
        <w:t>。</w:t>
      </w:r>
    </w:p>
    <w:p w14:paraId="64A3379B">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总面积：91.68万公顷（9168km²）</w:t>
      </w:r>
      <w:r>
        <w:rPr>
          <w:rFonts w:hint="default" w:ascii="Times New Roman" w:hAnsi="Times New Roman" w:cs="Times New Roman"/>
          <w:bCs/>
          <w:color w:val="auto"/>
          <w:sz w:val="24"/>
          <w:szCs w:val="20"/>
          <w:highlight w:val="none"/>
          <w:lang w:val="en-US" w:eastAsia="zh-CN"/>
        </w:rPr>
        <w:t>。</w:t>
      </w:r>
    </w:p>
    <w:p w14:paraId="4A2C996F">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功能分区（三区）</w:t>
      </w:r>
    </w:p>
    <w:p w14:paraId="534A8061">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核心区：32.00万公顷（34.9%）——绝对保护，严禁人为干扰</w:t>
      </w:r>
      <w:r>
        <w:rPr>
          <w:rFonts w:hint="default" w:ascii="Times New Roman" w:hAnsi="Times New Roman" w:cs="Times New Roman"/>
          <w:bCs/>
          <w:color w:val="auto"/>
          <w:sz w:val="24"/>
          <w:szCs w:val="20"/>
          <w:highlight w:val="none"/>
          <w:lang w:val="en-US" w:eastAsia="zh-CN"/>
        </w:rPr>
        <w:t>。</w:t>
      </w:r>
    </w:p>
    <w:p w14:paraId="448876C5">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缓冲区：3.70万公顷（4.0%）——科研监测、轻度活动</w:t>
      </w:r>
      <w:r>
        <w:rPr>
          <w:rFonts w:hint="default" w:ascii="Times New Roman" w:hAnsi="Times New Roman" w:cs="Times New Roman"/>
          <w:bCs/>
          <w:color w:val="auto"/>
          <w:sz w:val="24"/>
          <w:szCs w:val="20"/>
          <w:highlight w:val="none"/>
          <w:lang w:val="en-US" w:eastAsia="zh-CN"/>
        </w:rPr>
        <w:t>。</w:t>
      </w:r>
    </w:p>
    <w:p w14:paraId="08C0B07B">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实验区：55.98万公顷（61.1%）——社区、生态旅游、可持续经营</w:t>
      </w:r>
      <w:r>
        <w:rPr>
          <w:rFonts w:hint="default" w:ascii="Times New Roman" w:hAnsi="Times New Roman" w:cs="Times New Roman"/>
          <w:bCs/>
          <w:color w:val="auto"/>
          <w:sz w:val="24"/>
          <w:szCs w:val="20"/>
          <w:highlight w:val="none"/>
          <w:lang w:val="en-US" w:eastAsia="zh-CN"/>
        </w:rPr>
        <w:t>。</w:t>
      </w:r>
    </w:p>
    <w:p w14:paraId="17C4FD01">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边界四至</w:t>
      </w:r>
    </w:p>
    <w:p w14:paraId="1D8C2CC5">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南：高尤拉—丹巴江北分水岭</w:t>
      </w:r>
      <w:r>
        <w:rPr>
          <w:rFonts w:hint="default" w:ascii="Times New Roman" w:hAnsi="Times New Roman" w:cs="Times New Roman"/>
          <w:bCs/>
          <w:color w:val="auto"/>
          <w:sz w:val="24"/>
          <w:szCs w:val="20"/>
          <w:highlight w:val="none"/>
          <w:lang w:val="en-US" w:eastAsia="zh-CN"/>
        </w:rPr>
        <w:t>。</w:t>
      </w:r>
    </w:p>
    <w:p w14:paraId="74947EEB">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北：纳雍嘎簸雪山—迫龙藏布江—哽日嘎布山脊</w:t>
      </w:r>
      <w:r>
        <w:rPr>
          <w:rFonts w:hint="default" w:ascii="Times New Roman" w:hAnsi="Times New Roman" w:cs="Times New Roman"/>
          <w:bCs/>
          <w:color w:val="auto"/>
          <w:sz w:val="24"/>
          <w:szCs w:val="20"/>
          <w:highlight w:val="none"/>
          <w:lang w:val="en-US" w:eastAsia="zh-CN"/>
        </w:rPr>
        <w:t>。</w:t>
      </w:r>
    </w:p>
    <w:p w14:paraId="722AAA55">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西：东喜马拉雅主脊—白努弄巴—则巴弄巴西侧分水岭</w:t>
      </w:r>
      <w:r>
        <w:rPr>
          <w:rFonts w:hint="default" w:ascii="Times New Roman" w:hAnsi="Times New Roman" w:cs="Times New Roman"/>
          <w:bCs/>
          <w:color w:val="auto"/>
          <w:sz w:val="24"/>
          <w:szCs w:val="20"/>
          <w:highlight w:val="none"/>
          <w:lang w:val="en-US" w:eastAsia="zh-CN"/>
        </w:rPr>
        <w:t>。</w:t>
      </w:r>
    </w:p>
    <w:p w14:paraId="31157856">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东：哽日嘎布主峰</w:t>
      </w:r>
      <w:r>
        <w:rPr>
          <w:rFonts w:hint="default" w:ascii="Times New Roman" w:hAnsi="Times New Roman" w:cs="Times New Roman"/>
          <w:bCs/>
          <w:color w:val="auto"/>
          <w:sz w:val="24"/>
          <w:szCs w:val="20"/>
          <w:highlight w:val="none"/>
          <w:lang w:val="en-US" w:eastAsia="zh-CN"/>
        </w:rPr>
        <w:t>。</w:t>
      </w:r>
    </w:p>
    <w:p w14:paraId="7CF1EEEF">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三、规划核心内容（章节摘要）</w:t>
      </w:r>
    </w:p>
    <w:p w14:paraId="283A6A78">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1.总则</w:t>
      </w:r>
    </w:p>
    <w:p w14:paraId="431423A3">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保护对象：完整垂直带谱生态系统、特有珍稀物种、世界第一大峡谷地质地貌、原始森林与湿地</w:t>
      </w:r>
      <w:r>
        <w:rPr>
          <w:rFonts w:hint="default" w:ascii="Times New Roman" w:hAnsi="Times New Roman" w:cs="Times New Roman"/>
          <w:bCs/>
          <w:color w:val="auto"/>
          <w:sz w:val="24"/>
          <w:szCs w:val="20"/>
          <w:highlight w:val="none"/>
          <w:lang w:val="en-US" w:eastAsia="zh-CN"/>
        </w:rPr>
        <w:t>。</w:t>
      </w:r>
    </w:p>
    <w:p w14:paraId="0A3E4F63">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保护级别：国家级；类型：森林生态系统+野生生物+地质遗迹复合型保护区</w:t>
      </w:r>
      <w:r>
        <w:rPr>
          <w:rFonts w:hint="default" w:ascii="Times New Roman" w:hAnsi="Times New Roman" w:cs="Times New Roman"/>
          <w:bCs/>
          <w:color w:val="auto"/>
          <w:sz w:val="24"/>
          <w:szCs w:val="20"/>
          <w:highlight w:val="none"/>
          <w:lang w:val="en-US" w:eastAsia="zh-CN"/>
        </w:rPr>
        <w:t>。</w:t>
      </w:r>
    </w:p>
    <w:p w14:paraId="6D2181A6">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2.自然与社会经济概况</w:t>
      </w:r>
    </w:p>
    <w:p w14:paraId="567D294E">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气候：北亚热带—热带季风，南段年降水2000–4500mm，“西藏雨极”</w:t>
      </w:r>
      <w:r>
        <w:rPr>
          <w:rFonts w:hint="default" w:ascii="Times New Roman" w:hAnsi="Times New Roman" w:cs="Times New Roman"/>
          <w:bCs/>
          <w:color w:val="auto"/>
          <w:sz w:val="24"/>
          <w:szCs w:val="20"/>
          <w:highlight w:val="none"/>
          <w:lang w:val="en-US" w:eastAsia="zh-CN"/>
        </w:rPr>
        <w:t>。</w:t>
      </w:r>
    </w:p>
    <w:p w14:paraId="1FDEC5A1">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植被：9个垂直带（冰雪带→高寒草甸→针叶林→常绿阔叶林→热带雨林），中国唯一热带基带完整垂直带谱</w:t>
      </w:r>
      <w:r>
        <w:rPr>
          <w:rFonts w:hint="default" w:ascii="Times New Roman" w:hAnsi="Times New Roman" w:cs="Times New Roman"/>
          <w:bCs/>
          <w:color w:val="auto"/>
          <w:sz w:val="24"/>
          <w:szCs w:val="20"/>
          <w:highlight w:val="none"/>
          <w:lang w:val="en-US" w:eastAsia="zh-CN"/>
        </w:rPr>
        <w:t>。</w:t>
      </w:r>
    </w:p>
    <w:p w14:paraId="0ED8E49C">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生物多样性：维管束植物6171种（国家保护187种）；脊椎动物783种（国家保护147种）；含云豹、赤斑羚、喜马拉雅红豆杉、桫椤等</w:t>
      </w:r>
      <w:r>
        <w:rPr>
          <w:rFonts w:hint="default" w:ascii="Times New Roman" w:hAnsi="Times New Roman" w:cs="Times New Roman"/>
          <w:bCs/>
          <w:color w:val="auto"/>
          <w:sz w:val="24"/>
          <w:szCs w:val="20"/>
          <w:highlight w:val="none"/>
          <w:lang w:val="en-US" w:eastAsia="zh-CN"/>
        </w:rPr>
        <w:t>。</w:t>
      </w:r>
    </w:p>
    <w:p w14:paraId="3C2608BA">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人口：1.49万人，门巴、珞巴、藏族为主，传统农牧业</w:t>
      </w:r>
      <w:r>
        <w:rPr>
          <w:rFonts w:hint="default" w:ascii="Times New Roman" w:hAnsi="Times New Roman" w:cs="Times New Roman"/>
          <w:bCs/>
          <w:color w:val="auto"/>
          <w:sz w:val="24"/>
          <w:szCs w:val="20"/>
          <w:highlight w:val="none"/>
          <w:lang w:val="en-US" w:eastAsia="zh-CN"/>
        </w:rPr>
        <w:t>。</w:t>
      </w:r>
    </w:p>
    <w:p w14:paraId="59916F73">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3.功能区划（2000版）</w:t>
      </w:r>
    </w:p>
    <w:p w14:paraId="41800448">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核心区（32万ha）：大峡谷主峡谷（墨脱甘登—米林派镇）、岗乡云杉林、南迦巴瓦峰周边、易贡湖湿地</w:t>
      </w:r>
      <w:r>
        <w:rPr>
          <w:rFonts w:hint="default" w:ascii="Times New Roman" w:hAnsi="Times New Roman" w:cs="Times New Roman"/>
          <w:bCs/>
          <w:color w:val="auto"/>
          <w:sz w:val="24"/>
          <w:szCs w:val="20"/>
          <w:highlight w:val="none"/>
          <w:lang w:val="en-US" w:eastAsia="zh-CN"/>
        </w:rPr>
        <w:t>。</w:t>
      </w:r>
    </w:p>
    <w:p w14:paraId="4FB3F4C8">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缓冲区（3.7万ha）：核心区外围1–2km带状，波密帕隆藏布两岸、米林派镇周边</w:t>
      </w:r>
      <w:r>
        <w:rPr>
          <w:rFonts w:hint="default" w:ascii="Times New Roman" w:hAnsi="Times New Roman" w:cs="Times New Roman"/>
          <w:bCs/>
          <w:color w:val="auto"/>
          <w:sz w:val="24"/>
          <w:szCs w:val="20"/>
          <w:highlight w:val="none"/>
          <w:lang w:val="en-US" w:eastAsia="zh-CN"/>
        </w:rPr>
        <w:t>。</w:t>
      </w:r>
    </w:p>
    <w:p w14:paraId="11B99363">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实验区（55.98万ha）：波密（松宗、倾多）、米林（直白、索松）、巴宜（排龙）、墨脱（背崩）等乡镇及生态旅游区</w:t>
      </w:r>
      <w:r>
        <w:rPr>
          <w:rFonts w:hint="default" w:ascii="Times New Roman" w:hAnsi="Times New Roman" w:cs="Times New Roman"/>
          <w:bCs/>
          <w:color w:val="auto"/>
          <w:sz w:val="24"/>
          <w:szCs w:val="20"/>
          <w:highlight w:val="none"/>
          <w:lang w:val="en-US" w:eastAsia="zh-CN"/>
        </w:rPr>
        <w:t>。</w:t>
      </w:r>
    </w:p>
    <w:p w14:paraId="33D299BD">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4.保护规划（核心措施）</w:t>
      </w:r>
    </w:p>
    <w:p w14:paraId="404E84DA">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生态系统保护：原始森林禁伐、冰川/湿地严格管控、地质灾害（滑坡/泥石流）监测预警</w:t>
      </w:r>
      <w:r>
        <w:rPr>
          <w:rFonts w:hint="default" w:ascii="Times New Roman" w:hAnsi="Times New Roman" w:cs="Times New Roman"/>
          <w:bCs/>
          <w:color w:val="auto"/>
          <w:sz w:val="24"/>
          <w:szCs w:val="20"/>
          <w:highlight w:val="none"/>
          <w:lang w:val="en-US" w:eastAsia="zh-CN"/>
        </w:rPr>
        <w:t>。</w:t>
      </w:r>
    </w:p>
    <w:p w14:paraId="2DE5DA98">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物种保护：建立珍稀物种繁育基地（羚牛、云豹、红豆杉）、禁止非法捕猎/采集</w:t>
      </w:r>
      <w:r>
        <w:rPr>
          <w:rFonts w:hint="default" w:ascii="Times New Roman" w:hAnsi="Times New Roman" w:cs="Times New Roman"/>
          <w:bCs/>
          <w:color w:val="auto"/>
          <w:sz w:val="24"/>
          <w:szCs w:val="20"/>
          <w:highlight w:val="none"/>
          <w:lang w:val="en-US" w:eastAsia="zh-CN"/>
        </w:rPr>
        <w:t>。</w:t>
      </w:r>
    </w:p>
    <w:p w14:paraId="23A566B2">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社区共管：生态补偿、替代生计（生态旅游/手工艺）、限制开垦与放牧</w:t>
      </w:r>
      <w:r>
        <w:rPr>
          <w:rFonts w:hint="default" w:ascii="Times New Roman" w:hAnsi="Times New Roman" w:cs="Times New Roman"/>
          <w:bCs/>
          <w:color w:val="auto"/>
          <w:sz w:val="24"/>
          <w:szCs w:val="20"/>
          <w:highlight w:val="none"/>
          <w:lang w:val="en-US" w:eastAsia="zh-CN"/>
        </w:rPr>
        <w:t>。</w:t>
      </w:r>
    </w:p>
    <w:p w14:paraId="6BE279FC">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5.科研监测规划</w:t>
      </w:r>
    </w:p>
    <w:p w14:paraId="13476FFD">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建立大峡谷生态站（中科院），长期监测气候、水文、植被、动物、地质灾害</w:t>
      </w:r>
      <w:r>
        <w:rPr>
          <w:rFonts w:hint="default" w:ascii="Times New Roman" w:hAnsi="Times New Roman" w:cs="Times New Roman"/>
          <w:bCs/>
          <w:color w:val="auto"/>
          <w:sz w:val="24"/>
          <w:szCs w:val="20"/>
          <w:highlight w:val="none"/>
          <w:lang w:val="en-US" w:eastAsia="zh-CN"/>
        </w:rPr>
        <w:t>。</w:t>
      </w:r>
    </w:p>
    <w:p w14:paraId="423B2C96">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开展生物多样性本底调查、垂直带谱演化、冰川退缩影响研究</w:t>
      </w:r>
      <w:r>
        <w:rPr>
          <w:rFonts w:hint="default" w:ascii="Times New Roman" w:hAnsi="Times New Roman" w:cs="Times New Roman"/>
          <w:bCs/>
          <w:color w:val="auto"/>
          <w:sz w:val="24"/>
          <w:szCs w:val="20"/>
          <w:highlight w:val="none"/>
          <w:lang w:val="en-US" w:eastAsia="zh-CN"/>
        </w:rPr>
        <w:t>。</w:t>
      </w:r>
    </w:p>
    <w:p w14:paraId="2DD1D526">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6.生态旅游规划（2010获批专项）</w:t>
      </w:r>
    </w:p>
    <w:p w14:paraId="4B603B87">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核心景区：南迦巴瓦峰、雅鲁藏布大拐弯、藏布巴东瀑布、岗乡云杉林、易贡湖</w:t>
      </w:r>
    </w:p>
    <w:p w14:paraId="1355108E">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线路：派镇—直白（观山）、波密—古乡—易贡（森林/湿地）、墨脱—背崩（热带雨林）</w:t>
      </w:r>
      <w:r>
        <w:rPr>
          <w:rFonts w:hint="default" w:ascii="Times New Roman" w:hAnsi="Times New Roman" w:cs="Times New Roman"/>
          <w:bCs/>
          <w:color w:val="auto"/>
          <w:sz w:val="24"/>
          <w:szCs w:val="20"/>
          <w:highlight w:val="none"/>
          <w:lang w:val="en-US" w:eastAsia="zh-CN"/>
        </w:rPr>
        <w:t>。</w:t>
      </w:r>
    </w:p>
    <w:p w14:paraId="5708BB96">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管控：实验区限定范围、核心区严禁旅游、日均客流上限</w:t>
      </w:r>
      <w:r>
        <w:rPr>
          <w:rFonts w:hint="default" w:ascii="Times New Roman" w:hAnsi="Times New Roman" w:cs="Times New Roman"/>
          <w:bCs/>
          <w:color w:val="auto"/>
          <w:sz w:val="24"/>
          <w:szCs w:val="20"/>
          <w:highlight w:val="none"/>
          <w:lang w:val="en-US" w:eastAsia="zh-CN"/>
        </w:rPr>
        <w:t>。</w:t>
      </w:r>
    </w:p>
    <w:p w14:paraId="18E159BC">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7.基础设施与管理规划</w:t>
      </w:r>
    </w:p>
    <w:p w14:paraId="7E4E8724">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管理局：林芝市保护区管理局（正处级），波密、米林、墨脱设管理站</w:t>
      </w:r>
      <w:r>
        <w:rPr>
          <w:rFonts w:hint="default" w:ascii="Times New Roman" w:hAnsi="Times New Roman" w:cs="Times New Roman"/>
          <w:bCs/>
          <w:color w:val="auto"/>
          <w:sz w:val="24"/>
          <w:szCs w:val="20"/>
          <w:highlight w:val="none"/>
          <w:lang w:val="en-US" w:eastAsia="zh-CN"/>
        </w:rPr>
        <w:t>。</w:t>
      </w:r>
    </w:p>
    <w:p w14:paraId="5F6C44D6">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设施：管护站、界桩/界碑、防火通道、监测设备、宣教中心</w:t>
      </w:r>
      <w:r>
        <w:rPr>
          <w:rFonts w:hint="default" w:ascii="Times New Roman" w:hAnsi="Times New Roman" w:cs="Times New Roman"/>
          <w:bCs/>
          <w:color w:val="auto"/>
          <w:sz w:val="24"/>
          <w:szCs w:val="20"/>
          <w:highlight w:val="none"/>
          <w:lang w:val="en-US" w:eastAsia="zh-CN"/>
        </w:rPr>
        <w:t>。</w:t>
      </w:r>
    </w:p>
    <w:p w14:paraId="28CB4841">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rPr>
      </w:pPr>
      <w:r>
        <w:rPr>
          <w:rFonts w:hint="default" w:ascii="Times New Roman" w:hAnsi="Times New Roman" w:cs="Times New Roman"/>
          <w:bCs/>
          <w:color w:val="auto"/>
          <w:sz w:val="24"/>
          <w:szCs w:val="20"/>
          <w:highlight w:val="none"/>
          <w:lang w:val="en-US"/>
        </w:rPr>
        <w:t>四、2025修编版进展（最新）</w:t>
      </w:r>
    </w:p>
    <w:p w14:paraId="3C3D2044">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原版2015到期，2023启动修编，2025.1编制完成并上报国家林草局，待批复</w:t>
      </w:r>
      <w:r>
        <w:rPr>
          <w:rFonts w:hint="default" w:ascii="Times New Roman" w:hAnsi="Times New Roman" w:cs="Times New Roman"/>
          <w:bCs/>
          <w:color w:val="auto"/>
          <w:sz w:val="24"/>
          <w:szCs w:val="20"/>
          <w:highlight w:val="none"/>
          <w:lang w:val="en-US" w:eastAsia="zh-CN"/>
        </w:rPr>
        <w:t>。</w:t>
      </w:r>
    </w:p>
    <w:p w14:paraId="52328BF4">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修编重点：优化功能分区（适配国家公园创建）、强化波密/易贡地质灾害防控、协调川藏铁路/公路建设、提升社区参与度</w:t>
      </w:r>
      <w:r>
        <w:rPr>
          <w:rFonts w:hint="default" w:ascii="Times New Roman" w:hAnsi="Times New Roman" w:cs="Times New Roman"/>
          <w:bCs/>
          <w:color w:val="auto"/>
          <w:sz w:val="24"/>
          <w:szCs w:val="20"/>
          <w:highlight w:val="none"/>
          <w:lang w:val="en-US" w:eastAsia="zh-CN"/>
        </w:rPr>
        <w:t>。</w:t>
      </w:r>
    </w:p>
    <w:p w14:paraId="17B02703">
      <w:pPr>
        <w:pStyle w:val="28"/>
        <w:tabs>
          <w:tab w:val="left" w:pos="840"/>
        </w:tabs>
        <w:spacing w:line="360" w:lineRule="auto"/>
        <w:ind w:firstLine="480" w:firstLineChars="200"/>
        <w:rPr>
          <w:rFonts w:hint="default" w:ascii="Times New Roman" w:hAnsi="Times New Roman"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rPr>
        <w:t>国家公园：2022列入国家公园候选区，规划面积超100万ha，以保护区为核心整合周边保护地</w:t>
      </w:r>
      <w:r>
        <w:rPr>
          <w:rFonts w:hint="default" w:ascii="Times New Roman" w:hAnsi="Times New Roman" w:cs="Times New Roman"/>
          <w:bCs/>
          <w:color w:val="auto"/>
          <w:sz w:val="24"/>
          <w:szCs w:val="20"/>
          <w:highlight w:val="none"/>
          <w:lang w:val="en-US" w:eastAsia="zh-CN"/>
        </w:rPr>
        <w:t>。</w:t>
      </w:r>
    </w:p>
    <w:p w14:paraId="744EACC7">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西藏嘎朗国家湿地公园</w:t>
      </w:r>
    </w:p>
    <w:p w14:paraId="4622951C">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w:t>
      </w:r>
      <w:r>
        <w:rPr>
          <w:rFonts w:hint="default" w:ascii="Times New Roman" w:hAnsi="Times New Roman" w:eastAsia="宋体" w:cs="Times New Roman"/>
          <w:color w:val="auto"/>
          <w:sz w:val="24"/>
          <w:highlight w:val="none"/>
          <w:lang w:eastAsia="zh-CN"/>
        </w:rPr>
        <w:t>规划区部分位于</w:t>
      </w:r>
      <w:r>
        <w:rPr>
          <w:rFonts w:hint="default" w:ascii="Times New Roman" w:hAnsi="Times New Roman" w:eastAsia="宋体" w:cs="Times New Roman"/>
          <w:color w:val="auto"/>
          <w:sz w:val="24"/>
          <w:highlight w:val="none"/>
        </w:rPr>
        <w:t>西藏嘎朗国家湿地公园内</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涉及其湿地体验区、湿地功能展示区</w:t>
      </w:r>
      <w:r>
        <w:rPr>
          <w:rFonts w:hint="default" w:ascii="Times New Roman" w:hAnsi="Times New Roman" w:eastAsia="宋体" w:cs="Times New Roman"/>
          <w:color w:val="auto"/>
          <w:sz w:val="24"/>
          <w:highlight w:val="none"/>
        </w:rPr>
        <w:t>，</w:t>
      </w:r>
      <w:r>
        <w:rPr>
          <w:rFonts w:hint="default" w:ascii="Times New Roman" w:hAnsi="Times New Roman" w:cs="Times New Roman"/>
          <w:bCs/>
          <w:color w:val="auto"/>
          <w:sz w:val="24"/>
          <w:szCs w:val="20"/>
          <w:highlight w:val="none"/>
          <w:lang w:val="en-US"/>
        </w:rPr>
        <w:t>《西藏嘎朗国家湿地公园总体规划</w:t>
      </w:r>
      <w:r>
        <w:rPr>
          <w:rFonts w:hint="default" w:ascii="Times New Roman" w:hAnsi="Times New Roman" w:cs="Times New Roman"/>
          <w:bCs/>
          <w:color w:val="auto"/>
          <w:sz w:val="24"/>
          <w:szCs w:val="20"/>
          <w:highlight w:val="none"/>
          <w:lang w:val="en-US" w:eastAsia="zh-CN"/>
        </w:rPr>
        <w:t>（2009-2020）</w:t>
      </w:r>
      <w:r>
        <w:rPr>
          <w:rFonts w:hint="default" w:ascii="Times New Roman" w:hAnsi="Times New Roman" w:cs="Times New Roman"/>
          <w:bCs/>
          <w:color w:val="auto"/>
          <w:sz w:val="24"/>
          <w:szCs w:val="20"/>
          <w:highlight w:val="none"/>
          <w:lang w:val="en-US"/>
        </w:rPr>
        <w:t>》</w:t>
      </w:r>
      <w:r>
        <w:rPr>
          <w:rFonts w:hint="default" w:ascii="Times New Roman" w:hAnsi="Times New Roman" w:cs="Times New Roman"/>
          <w:bCs/>
          <w:color w:val="auto"/>
          <w:sz w:val="24"/>
          <w:szCs w:val="20"/>
          <w:highlight w:val="none"/>
          <w:lang w:val="en-US" w:eastAsia="zh-CN"/>
        </w:rPr>
        <w:t>于2000年获批。</w:t>
      </w:r>
    </w:p>
    <w:p w14:paraId="34AB4143">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一、公园基本信息（2009总体规划）</w:t>
      </w:r>
    </w:p>
    <w:p w14:paraId="3B3011DD">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名称：西藏嘎朗国家湿地公园</w:t>
      </w:r>
      <w:r>
        <w:rPr>
          <w:rFonts w:hint="default" w:ascii="Times New Roman" w:hAnsi="Times New Roman" w:eastAsia="宋体" w:cs="Times New Roman"/>
          <w:color w:val="auto"/>
          <w:sz w:val="24"/>
          <w:highlight w:val="none"/>
          <w:lang w:eastAsia="zh-CN"/>
        </w:rPr>
        <w:t>。</w:t>
      </w:r>
    </w:p>
    <w:p w14:paraId="26048D28">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批复：2009年，国家林业局批准（全国首批62家国家湿地公园试点之一）</w:t>
      </w:r>
      <w:r>
        <w:rPr>
          <w:rFonts w:hint="default" w:ascii="Times New Roman" w:hAnsi="Times New Roman" w:eastAsia="宋体" w:cs="Times New Roman"/>
          <w:color w:val="auto"/>
          <w:sz w:val="24"/>
          <w:highlight w:val="none"/>
          <w:lang w:eastAsia="zh-CN"/>
        </w:rPr>
        <w:t>。</w:t>
      </w:r>
    </w:p>
    <w:p w14:paraId="2DAB9C23">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位置：林芝市波密县古乡嘎朗村，县城以西约18 km，G318北侧，帕隆藏布与彼得藏布交汇处</w:t>
      </w:r>
      <w:r>
        <w:rPr>
          <w:rFonts w:hint="default" w:ascii="Times New Roman" w:hAnsi="Times New Roman" w:eastAsia="宋体" w:cs="Times New Roman"/>
          <w:color w:val="auto"/>
          <w:sz w:val="24"/>
          <w:highlight w:val="none"/>
          <w:lang w:eastAsia="zh-CN"/>
        </w:rPr>
        <w:t>。</w:t>
      </w:r>
    </w:p>
    <w:p w14:paraId="30736466">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海拔：约2700m</w:t>
      </w:r>
      <w:r>
        <w:rPr>
          <w:rFonts w:hint="default" w:ascii="Times New Roman" w:hAnsi="Times New Roman" w:eastAsia="宋体" w:cs="Times New Roman"/>
          <w:color w:val="auto"/>
          <w:sz w:val="24"/>
          <w:highlight w:val="none"/>
          <w:lang w:eastAsia="zh-CN"/>
        </w:rPr>
        <w:t>。</w:t>
      </w:r>
    </w:p>
    <w:p w14:paraId="62E656C9">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总面积：2689hm²（26.89km²）</w:t>
      </w:r>
      <w:r>
        <w:rPr>
          <w:rFonts w:hint="default" w:ascii="Times New Roman" w:hAnsi="Times New Roman" w:eastAsia="宋体" w:cs="Times New Roman"/>
          <w:color w:val="auto"/>
          <w:sz w:val="24"/>
          <w:highlight w:val="none"/>
          <w:lang w:eastAsia="zh-CN"/>
        </w:rPr>
        <w:t>。</w:t>
      </w:r>
    </w:p>
    <w:p w14:paraId="168D8CFF">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湿地类型：高原淡水湖泊+沼泽+河流湿地，核心为嘎朗湖（湖面约2.0km²）</w:t>
      </w:r>
      <w:r>
        <w:rPr>
          <w:rFonts w:hint="default" w:ascii="Times New Roman" w:hAnsi="Times New Roman" w:eastAsia="宋体" w:cs="Times New Roman"/>
          <w:color w:val="auto"/>
          <w:sz w:val="24"/>
          <w:highlight w:val="none"/>
          <w:lang w:eastAsia="zh-CN"/>
        </w:rPr>
        <w:t>。</w:t>
      </w:r>
    </w:p>
    <w:p w14:paraId="16C84EA7">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规划期限：2009</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2020（已到期；现执行“十四五”修编与4A景区融合）</w:t>
      </w:r>
      <w:r>
        <w:rPr>
          <w:rFonts w:hint="default" w:ascii="Times New Roman" w:hAnsi="Times New Roman" w:eastAsia="宋体" w:cs="Times New Roman"/>
          <w:color w:val="auto"/>
          <w:sz w:val="24"/>
          <w:highlight w:val="none"/>
          <w:lang w:eastAsia="zh-CN"/>
        </w:rPr>
        <w:t>。</w:t>
      </w:r>
    </w:p>
    <w:p w14:paraId="1D51FC11">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二、自然地理与保护价值</w:t>
      </w:r>
    </w:p>
    <w:p w14:paraId="2BF6DED0">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1）气候</w:t>
      </w:r>
    </w:p>
    <w:p w14:paraId="4D6731FD">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亚热带山地季风气候，温和湿润、降水充沛</w:t>
      </w:r>
      <w:r>
        <w:rPr>
          <w:rFonts w:hint="default" w:ascii="Times New Roman" w:hAnsi="Times New Roman" w:eastAsia="宋体" w:cs="Times New Roman"/>
          <w:color w:val="auto"/>
          <w:sz w:val="24"/>
          <w:highlight w:val="none"/>
          <w:lang w:eastAsia="zh-CN"/>
        </w:rPr>
        <w:t>。</w:t>
      </w:r>
    </w:p>
    <w:p w14:paraId="335AB16E">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年均温约 8–10℃，年降水量 1000–1500 mm</w:t>
      </w:r>
      <w:r>
        <w:rPr>
          <w:rFonts w:hint="default" w:ascii="Times New Roman" w:hAnsi="Times New Roman" w:eastAsia="宋体" w:cs="Times New Roman"/>
          <w:color w:val="auto"/>
          <w:sz w:val="24"/>
          <w:highlight w:val="none"/>
          <w:lang w:eastAsia="zh-CN"/>
        </w:rPr>
        <w:t>。</w:t>
      </w:r>
    </w:p>
    <w:p w14:paraId="25F68CDA">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冬季晴朗少雪，适合黑颈鹤等越冬候鸟栖息</w:t>
      </w:r>
      <w:r>
        <w:rPr>
          <w:rFonts w:hint="default" w:ascii="Times New Roman" w:hAnsi="Times New Roman" w:eastAsia="宋体" w:cs="Times New Roman"/>
          <w:color w:val="auto"/>
          <w:sz w:val="24"/>
          <w:highlight w:val="none"/>
          <w:lang w:eastAsia="zh-CN"/>
        </w:rPr>
        <w:t>。</w:t>
      </w:r>
    </w:p>
    <w:p w14:paraId="1319684D">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2）水文</w:t>
      </w:r>
    </w:p>
    <w:p w14:paraId="66D3AF39">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嘎朗湖：构造湖，地壳陷落形成，水深适中、水质优良</w:t>
      </w:r>
      <w:r>
        <w:rPr>
          <w:rFonts w:hint="default" w:ascii="Times New Roman" w:hAnsi="Times New Roman" w:eastAsia="宋体" w:cs="Times New Roman"/>
          <w:color w:val="auto"/>
          <w:sz w:val="24"/>
          <w:highlight w:val="none"/>
          <w:lang w:eastAsia="zh-CN"/>
        </w:rPr>
        <w:t>。</w:t>
      </w:r>
    </w:p>
    <w:p w14:paraId="19FA6EBC">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补给：帕隆藏布、彼得藏布、冰川融水+大气降水</w:t>
      </w:r>
      <w:r>
        <w:rPr>
          <w:rFonts w:hint="default" w:ascii="Times New Roman" w:hAnsi="Times New Roman" w:eastAsia="宋体" w:cs="Times New Roman"/>
          <w:color w:val="auto"/>
          <w:sz w:val="24"/>
          <w:highlight w:val="none"/>
          <w:lang w:eastAsia="zh-CN"/>
        </w:rPr>
        <w:t>。</w:t>
      </w:r>
    </w:p>
    <w:p w14:paraId="0F73B904">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出流：汇入帕隆藏布，属雅鲁藏布江流域</w:t>
      </w:r>
      <w:r>
        <w:rPr>
          <w:rFonts w:hint="default" w:ascii="Times New Roman" w:hAnsi="Times New Roman" w:eastAsia="宋体" w:cs="Times New Roman"/>
          <w:color w:val="auto"/>
          <w:sz w:val="24"/>
          <w:highlight w:val="none"/>
          <w:lang w:eastAsia="zh-CN"/>
        </w:rPr>
        <w:t>。</w:t>
      </w:r>
    </w:p>
    <w:p w14:paraId="66D00AB2">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3）植被与动物</w:t>
      </w:r>
    </w:p>
    <w:p w14:paraId="466EF7F6">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植被：山地暗针叶林（云杉/冷杉）+ 高山灌丛 + 草甸 + 湿地草甸；春季野桃花景观突出</w:t>
      </w:r>
      <w:r>
        <w:rPr>
          <w:rFonts w:hint="default" w:ascii="Times New Roman" w:hAnsi="Times New Roman" w:eastAsia="宋体" w:cs="Times New Roman"/>
          <w:color w:val="auto"/>
          <w:sz w:val="24"/>
          <w:highlight w:val="none"/>
          <w:lang w:eastAsia="zh-CN"/>
        </w:rPr>
        <w:t>。</w:t>
      </w:r>
    </w:p>
    <w:p w14:paraId="5FB8601F">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鸟类：黑颈鹤（冬候鸟）、赤麻鸭、斑头雁、普通秋沙鸭等</w:t>
      </w:r>
      <w:r>
        <w:rPr>
          <w:rFonts w:hint="default" w:ascii="Times New Roman" w:hAnsi="Times New Roman" w:eastAsia="宋体" w:cs="Times New Roman"/>
          <w:color w:val="auto"/>
          <w:sz w:val="24"/>
          <w:highlight w:val="none"/>
          <w:lang w:eastAsia="zh-CN"/>
        </w:rPr>
        <w:t>。</w:t>
      </w:r>
    </w:p>
    <w:p w14:paraId="34BDEA9F">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鱼类：高原裂腹鱼等土著鱼类</w:t>
      </w:r>
      <w:r>
        <w:rPr>
          <w:rFonts w:hint="default" w:ascii="Times New Roman" w:hAnsi="Times New Roman" w:eastAsia="宋体" w:cs="Times New Roman"/>
          <w:color w:val="auto"/>
          <w:sz w:val="24"/>
          <w:highlight w:val="none"/>
          <w:lang w:eastAsia="zh-CN"/>
        </w:rPr>
        <w:t>。</w:t>
      </w:r>
    </w:p>
    <w:p w14:paraId="44231679">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保护意义：青藏高原东南部典型高原湖泊湿地，兼具地质遗迹、候鸟驿站、生物多样性基因库价值</w:t>
      </w:r>
      <w:r>
        <w:rPr>
          <w:rFonts w:hint="default" w:ascii="Times New Roman" w:hAnsi="Times New Roman" w:eastAsia="宋体" w:cs="Times New Roman"/>
          <w:color w:val="auto"/>
          <w:sz w:val="24"/>
          <w:highlight w:val="none"/>
          <w:lang w:eastAsia="zh-CN"/>
        </w:rPr>
        <w:t>。</w:t>
      </w:r>
    </w:p>
    <w:p w14:paraId="640B8653">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三、功能分区（2009版核心）</w:t>
      </w:r>
    </w:p>
    <w:p w14:paraId="1FA436FD">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总面积2689 hm²，采用“三区”划分：</w:t>
      </w:r>
    </w:p>
    <w:p w14:paraId="3CCE8258">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湿地保育区（核心保护）</w:t>
      </w:r>
      <w:r>
        <w:rPr>
          <w:rFonts w:hint="default" w:ascii="Times New Roman" w:hAnsi="Times New Roman" w:eastAsia="宋体" w:cs="Times New Roman"/>
          <w:color w:val="auto"/>
          <w:sz w:val="24"/>
          <w:highlight w:val="none"/>
          <w:lang w:eastAsia="zh-CN"/>
        </w:rPr>
        <w:t>。</w:t>
      </w:r>
    </w:p>
    <w:p w14:paraId="3B096A81">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面积：约1500 hm²</w:t>
      </w:r>
      <w:r>
        <w:rPr>
          <w:rFonts w:hint="default" w:ascii="Times New Roman" w:hAnsi="Times New Roman" w:eastAsia="宋体" w:cs="Times New Roman"/>
          <w:color w:val="auto"/>
          <w:sz w:val="24"/>
          <w:highlight w:val="none"/>
          <w:lang w:eastAsia="zh-CN"/>
        </w:rPr>
        <w:t>。</w:t>
      </w:r>
    </w:p>
    <w:p w14:paraId="0F11BC0D">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范围：嘎朗湖湖面、湖滨沼泽、河流主河道及周边原生林</w:t>
      </w:r>
      <w:r>
        <w:rPr>
          <w:rFonts w:hint="default" w:ascii="Times New Roman" w:hAnsi="Times New Roman" w:eastAsia="宋体" w:cs="Times New Roman"/>
          <w:color w:val="auto"/>
          <w:sz w:val="24"/>
          <w:highlight w:val="none"/>
          <w:lang w:eastAsia="zh-CN"/>
        </w:rPr>
        <w:t>。</w:t>
      </w:r>
    </w:p>
    <w:p w14:paraId="57DDC53B">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管控：严禁开发、严格保护、仅限科研监测</w:t>
      </w:r>
      <w:r>
        <w:rPr>
          <w:rFonts w:hint="default" w:ascii="Times New Roman" w:hAnsi="Times New Roman" w:eastAsia="宋体" w:cs="Times New Roman"/>
          <w:color w:val="auto"/>
          <w:sz w:val="24"/>
          <w:highlight w:val="none"/>
          <w:lang w:eastAsia="zh-CN"/>
        </w:rPr>
        <w:t>。</w:t>
      </w:r>
    </w:p>
    <w:p w14:paraId="6E32FFCC">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恢复重建区</w:t>
      </w:r>
    </w:p>
    <w:p w14:paraId="310C28A6">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面积：约 800 hm²</w:t>
      </w:r>
      <w:r>
        <w:rPr>
          <w:rFonts w:hint="default" w:ascii="Times New Roman" w:hAnsi="Times New Roman" w:eastAsia="宋体" w:cs="Times New Roman"/>
          <w:color w:val="auto"/>
          <w:sz w:val="24"/>
          <w:highlight w:val="none"/>
          <w:lang w:eastAsia="zh-CN"/>
        </w:rPr>
        <w:t>。</w:t>
      </w:r>
    </w:p>
    <w:p w14:paraId="7FCBDCF4">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范围：保育区外围、轻度退化湿地、荒滩、弃耕地</w:t>
      </w:r>
      <w:r>
        <w:rPr>
          <w:rFonts w:hint="default" w:ascii="Times New Roman" w:hAnsi="Times New Roman" w:eastAsia="宋体" w:cs="Times New Roman"/>
          <w:color w:val="auto"/>
          <w:sz w:val="24"/>
          <w:highlight w:val="none"/>
          <w:lang w:eastAsia="zh-CN"/>
        </w:rPr>
        <w:t>。</w:t>
      </w:r>
    </w:p>
    <w:p w14:paraId="6CFBE6D3">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措施：湿地水文连通修复、原生植被恢复、退牧还湿</w:t>
      </w:r>
      <w:r>
        <w:rPr>
          <w:rFonts w:hint="default" w:ascii="Times New Roman" w:hAnsi="Times New Roman" w:eastAsia="宋体" w:cs="Times New Roman"/>
          <w:color w:val="auto"/>
          <w:sz w:val="24"/>
          <w:highlight w:val="none"/>
          <w:lang w:eastAsia="zh-CN"/>
        </w:rPr>
        <w:t>。</w:t>
      </w:r>
    </w:p>
    <w:p w14:paraId="7FE3F0A0">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合理利用区（社区+旅游</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湿地体验区、湿地功能展示区、管理服务区</w:t>
      </w:r>
      <w:r>
        <w:rPr>
          <w:rFonts w:hint="default" w:ascii="Times New Roman" w:hAnsi="Times New Roman" w:eastAsia="宋体" w:cs="Times New Roman"/>
          <w:color w:val="auto"/>
          <w:sz w:val="24"/>
          <w:highlight w:val="none"/>
        </w:rPr>
        <w:t>）</w:t>
      </w:r>
    </w:p>
    <w:p w14:paraId="6EEC0D33">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面积：约389 hm²</w:t>
      </w:r>
      <w:r>
        <w:rPr>
          <w:rFonts w:hint="default" w:ascii="Times New Roman" w:hAnsi="Times New Roman" w:eastAsia="宋体" w:cs="Times New Roman"/>
          <w:color w:val="auto"/>
          <w:sz w:val="24"/>
          <w:highlight w:val="none"/>
          <w:lang w:eastAsia="zh-CN"/>
        </w:rPr>
        <w:t>。</w:t>
      </w:r>
    </w:p>
    <w:p w14:paraId="34246B5A">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范围：嘎朗村周边、G318 沿线、湖东平缓地带</w:t>
      </w:r>
      <w:r>
        <w:rPr>
          <w:rFonts w:hint="default" w:ascii="Times New Roman" w:hAnsi="Times New Roman" w:eastAsia="宋体" w:cs="Times New Roman"/>
          <w:color w:val="auto"/>
          <w:sz w:val="24"/>
          <w:highlight w:val="none"/>
          <w:lang w:eastAsia="zh-CN"/>
        </w:rPr>
        <w:t>。</w:t>
      </w:r>
    </w:p>
    <w:p w14:paraId="47673CF2">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功能：生态旅游、科普宣教、社区共管、民宿与民俗体验</w:t>
      </w:r>
      <w:r>
        <w:rPr>
          <w:rFonts w:hint="default" w:ascii="Times New Roman" w:hAnsi="Times New Roman" w:eastAsia="宋体" w:cs="Times New Roman"/>
          <w:color w:val="auto"/>
          <w:sz w:val="24"/>
          <w:highlight w:val="none"/>
          <w:lang w:eastAsia="zh-CN"/>
        </w:rPr>
        <w:t>。</w:t>
      </w:r>
    </w:p>
    <w:p w14:paraId="6925AA02">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四、保护规划（核心措施）</w:t>
      </w:r>
    </w:p>
    <w:p w14:paraId="7A476270">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1）湿地生态保护</w:t>
      </w:r>
    </w:p>
    <w:p w14:paraId="6116F34D">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严控湖面萎缩、沼泽退化、水土流失</w:t>
      </w:r>
      <w:r>
        <w:rPr>
          <w:rFonts w:hint="default" w:ascii="Times New Roman" w:hAnsi="Times New Roman" w:eastAsia="宋体" w:cs="Times New Roman"/>
          <w:color w:val="auto"/>
          <w:sz w:val="24"/>
          <w:highlight w:val="none"/>
          <w:lang w:eastAsia="zh-CN"/>
        </w:rPr>
        <w:t>。</w:t>
      </w:r>
    </w:p>
    <w:p w14:paraId="67754309">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禁止挖沙、围垦、排污、过度放牧</w:t>
      </w:r>
      <w:r>
        <w:rPr>
          <w:rFonts w:hint="default" w:ascii="Times New Roman" w:hAnsi="Times New Roman" w:eastAsia="宋体" w:cs="Times New Roman"/>
          <w:color w:val="auto"/>
          <w:sz w:val="24"/>
          <w:highlight w:val="none"/>
          <w:lang w:eastAsia="zh-CN"/>
        </w:rPr>
        <w:t>。</w:t>
      </w:r>
    </w:p>
    <w:p w14:paraId="13CA2131">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维持自然水文节律，保障入湖水量与水质</w:t>
      </w:r>
      <w:r>
        <w:rPr>
          <w:rFonts w:hint="default" w:ascii="Times New Roman" w:hAnsi="Times New Roman" w:eastAsia="宋体" w:cs="Times New Roman"/>
          <w:color w:val="auto"/>
          <w:sz w:val="24"/>
          <w:highlight w:val="none"/>
          <w:lang w:eastAsia="zh-CN"/>
        </w:rPr>
        <w:t>。</w:t>
      </w:r>
    </w:p>
    <w:p w14:paraId="5341D1BF">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2）生物多样性保护</w:t>
      </w:r>
    </w:p>
    <w:p w14:paraId="6BB8E04E">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重点保护：黑颈鹤（国家一级）、原生鱼类、云杉林、桃花群落</w:t>
      </w:r>
      <w:r>
        <w:rPr>
          <w:rFonts w:hint="default" w:ascii="Times New Roman" w:hAnsi="Times New Roman" w:eastAsia="宋体" w:cs="Times New Roman"/>
          <w:color w:val="auto"/>
          <w:sz w:val="24"/>
          <w:highlight w:val="none"/>
          <w:lang w:eastAsia="zh-CN"/>
        </w:rPr>
        <w:t>。</w:t>
      </w:r>
    </w:p>
    <w:p w14:paraId="487D8069">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设立候鸟监测点、禁猎期、土著鱼类保护小区</w:t>
      </w:r>
      <w:r>
        <w:rPr>
          <w:rFonts w:hint="default" w:ascii="Times New Roman" w:hAnsi="Times New Roman" w:eastAsia="宋体" w:cs="Times New Roman"/>
          <w:color w:val="auto"/>
          <w:sz w:val="24"/>
          <w:highlight w:val="none"/>
          <w:lang w:eastAsia="zh-CN"/>
        </w:rPr>
        <w:t>。</w:t>
      </w:r>
    </w:p>
    <w:p w14:paraId="6A707DE8">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3）地质灾害与生态安全</w:t>
      </w:r>
    </w:p>
    <w:p w14:paraId="3BBB967B">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位于帕隆藏布断裂带附近，地震烈度Ⅷ度</w:t>
      </w:r>
      <w:r>
        <w:rPr>
          <w:rFonts w:hint="default" w:ascii="Times New Roman" w:hAnsi="Times New Roman" w:eastAsia="宋体" w:cs="Times New Roman"/>
          <w:color w:val="auto"/>
          <w:sz w:val="24"/>
          <w:highlight w:val="none"/>
          <w:lang w:eastAsia="zh-CN"/>
        </w:rPr>
        <w:t>。</w:t>
      </w:r>
    </w:p>
    <w:p w14:paraId="4745A6ED">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规划：滑坡/泥石流监测、加固湖滨岸线、生态护坡、避让高风险区</w:t>
      </w:r>
      <w:r>
        <w:rPr>
          <w:rFonts w:hint="default" w:ascii="Times New Roman" w:hAnsi="Times New Roman" w:eastAsia="宋体" w:cs="Times New Roman"/>
          <w:color w:val="auto"/>
          <w:sz w:val="24"/>
          <w:highlight w:val="none"/>
          <w:lang w:eastAsia="zh-CN"/>
        </w:rPr>
        <w:t>。</w:t>
      </w:r>
    </w:p>
    <w:p w14:paraId="0E6CC354">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五、科普宣教与科研监测</w:t>
      </w:r>
    </w:p>
    <w:p w14:paraId="4E1FC2A1">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建设：湿地宣教中心、观鸟台、步道、解说牌、嘎朗文化展示区</w:t>
      </w:r>
      <w:r>
        <w:rPr>
          <w:rFonts w:hint="default" w:ascii="Times New Roman" w:hAnsi="Times New Roman" w:eastAsia="宋体" w:cs="Times New Roman"/>
          <w:color w:val="auto"/>
          <w:sz w:val="24"/>
          <w:highlight w:val="none"/>
          <w:lang w:eastAsia="zh-CN"/>
        </w:rPr>
        <w:t>。</w:t>
      </w:r>
    </w:p>
    <w:p w14:paraId="173D1DF0">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科研：长期监测水文、水质、鸟类、植被、气候变化影响</w:t>
      </w:r>
      <w:r>
        <w:rPr>
          <w:rFonts w:hint="default" w:ascii="Times New Roman" w:hAnsi="Times New Roman" w:eastAsia="宋体" w:cs="Times New Roman"/>
          <w:color w:val="auto"/>
          <w:sz w:val="24"/>
          <w:highlight w:val="none"/>
          <w:lang w:eastAsia="zh-CN"/>
        </w:rPr>
        <w:t>。</w:t>
      </w:r>
    </w:p>
    <w:p w14:paraId="5B6E7FB3">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文化：结合嘎朗王宫遗址、藏王传说、门巴/藏族民俗开展自然+人文教育</w:t>
      </w:r>
      <w:r>
        <w:rPr>
          <w:rFonts w:hint="default" w:ascii="Times New Roman" w:hAnsi="Times New Roman" w:eastAsia="宋体" w:cs="Times New Roman"/>
          <w:color w:val="auto"/>
          <w:sz w:val="24"/>
          <w:highlight w:val="none"/>
          <w:lang w:eastAsia="zh-CN"/>
        </w:rPr>
        <w:t>。</w:t>
      </w:r>
    </w:p>
    <w:p w14:paraId="669E4852">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六、旅游发展规划（2009 + 2023修编）</w:t>
      </w:r>
    </w:p>
    <w:p w14:paraId="45B7ADE1">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2009原规划</w:t>
      </w:r>
    </w:p>
    <w:p w14:paraId="52E429D3">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定位：生态观光+科普+民俗体验，严控强度</w:t>
      </w:r>
    </w:p>
    <w:p w14:paraId="4442F307">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项目：环湖步道、观鸟点、游船（限量）、民俗家访、桃花观赏</w:t>
      </w:r>
    </w:p>
    <w:p w14:paraId="5E1F7218">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游客容量：日上限500人，避免生态过载</w:t>
      </w:r>
      <w:r>
        <w:rPr>
          <w:rFonts w:hint="default" w:ascii="Times New Roman" w:hAnsi="Times New Roman" w:eastAsia="宋体" w:cs="Times New Roman"/>
          <w:color w:val="auto"/>
          <w:sz w:val="24"/>
          <w:highlight w:val="none"/>
          <w:lang w:eastAsia="zh-CN"/>
        </w:rPr>
        <w:t>。</w:t>
      </w:r>
    </w:p>
    <w:p w14:paraId="69EA0F18">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2023–2035（4A景区融合，最新）</w:t>
      </w:r>
    </w:p>
    <w:p w14:paraId="2B54F040">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规划名称：《嘎朗湖创建国家AAAA级旅游景区控制性详细规划》</w:t>
      </w:r>
    </w:p>
    <w:p w14:paraId="1FB5504C">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范围：含湿地公园+嘎朗王宫遗址+嘎朗村，305.33hm²</w:t>
      </w:r>
      <w:r>
        <w:rPr>
          <w:rFonts w:hint="default" w:ascii="Times New Roman" w:hAnsi="Times New Roman" w:eastAsia="宋体" w:cs="Times New Roman"/>
          <w:color w:val="auto"/>
          <w:sz w:val="24"/>
          <w:highlight w:val="none"/>
          <w:lang w:eastAsia="zh-CN"/>
        </w:rPr>
        <w:t>。</w:t>
      </w:r>
    </w:p>
    <w:p w14:paraId="1D596C6A">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期限：2023—2035</w:t>
      </w:r>
    </w:p>
    <w:p w14:paraId="094235DD">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目标：4A景区、生态旅游示范、文旅融合</w:t>
      </w:r>
    </w:p>
    <w:p w14:paraId="18278290">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新增：民宿集群、生态露营、桃花节、文化研学、智慧景区</w:t>
      </w:r>
      <w:r>
        <w:rPr>
          <w:rFonts w:hint="default" w:ascii="Times New Roman" w:hAnsi="Times New Roman" w:eastAsia="宋体" w:cs="Times New Roman"/>
          <w:color w:val="auto"/>
          <w:sz w:val="24"/>
          <w:highlight w:val="none"/>
          <w:lang w:eastAsia="zh-CN"/>
        </w:rPr>
        <w:t>。</w:t>
      </w:r>
    </w:p>
    <w:p w14:paraId="79129B64">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七、社区共管与管理规划</w:t>
      </w:r>
    </w:p>
    <w:p w14:paraId="7100EAAB">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管理机构：波密县林草局+嘎朗国家湿地公园管理站</w:t>
      </w:r>
    </w:p>
    <w:p w14:paraId="7B6102F9">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社区：嘎朗村藏族为主，传统农牧业+生态补偿+旅游参与</w:t>
      </w:r>
    </w:p>
    <w:p w14:paraId="3354B7BA">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措施：生态护林员、禁牧补贴、民宿培训、替代生计、乡规民约护鸟</w:t>
      </w:r>
      <w:r>
        <w:rPr>
          <w:rFonts w:hint="default" w:ascii="Times New Roman" w:hAnsi="Times New Roman" w:eastAsia="宋体" w:cs="Times New Roman"/>
          <w:color w:val="auto"/>
          <w:sz w:val="24"/>
          <w:highlight w:val="none"/>
          <w:lang w:eastAsia="zh-CN"/>
        </w:rPr>
        <w:t>。</w:t>
      </w:r>
    </w:p>
    <w:p w14:paraId="0A234943">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八</w:t>
      </w:r>
      <w:r>
        <w:rPr>
          <w:rFonts w:hint="default" w:ascii="Times New Roman" w:hAnsi="Times New Roman" w:eastAsia="宋体" w:cs="Times New Roman"/>
          <w:color w:val="auto"/>
          <w:sz w:val="24"/>
          <w:highlight w:val="none"/>
        </w:rPr>
        <w:t>、与雅鲁藏布大峡谷保护区关系</w:t>
      </w:r>
    </w:p>
    <w:p w14:paraId="020A0661">
      <w:pPr>
        <w:pStyle w:val="57"/>
        <w:spacing w:after="0" w:line="360" w:lineRule="auto"/>
        <w:ind w:left="0" w:leftChars="0"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嘎朗湿地公园位于大峡谷保护区实验区范围内，属于嵌套保护地</w:t>
      </w:r>
      <w:r>
        <w:rPr>
          <w:rFonts w:hint="default" w:ascii="Times New Roman" w:hAnsi="Times New Roman" w:eastAsia="宋体" w:cs="Times New Roman"/>
          <w:color w:val="auto"/>
          <w:sz w:val="24"/>
          <w:highlight w:val="none"/>
          <w:lang w:eastAsia="zh-CN"/>
        </w:rPr>
        <w:t>。</w:t>
      </w:r>
    </w:p>
    <w:p w14:paraId="0A272465">
      <w:pPr>
        <w:pStyle w:val="28"/>
        <w:tabs>
          <w:tab w:val="left" w:pos="840"/>
        </w:tabs>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遵循：大峡谷总规管控+湿地公园专项保护双重要求</w:t>
      </w:r>
      <w:r>
        <w:rPr>
          <w:rFonts w:hint="default" w:ascii="Times New Roman" w:hAnsi="Times New Roman" w:eastAsia="宋体" w:cs="Times New Roman"/>
          <w:color w:val="auto"/>
          <w:sz w:val="24"/>
          <w:highlight w:val="none"/>
          <w:lang w:eastAsia="zh-CN"/>
        </w:rPr>
        <w:t>。</w:t>
      </w:r>
    </w:p>
    <w:p w14:paraId="30C03DC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生态保护红线</w:t>
      </w:r>
    </w:p>
    <w:p w14:paraId="036D7993">
      <w:pPr>
        <w:pStyle w:val="28"/>
        <w:tabs>
          <w:tab w:val="left" w:pos="840"/>
        </w:tabs>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规划区内涉及生态保护红线，主要为雅鲁藏布大峡谷国家级自然保护区、西藏嘎朗国家湿地公园中的部分区域。</w:t>
      </w:r>
    </w:p>
    <w:p w14:paraId="2329F4E9">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环境保护目标</w:t>
      </w:r>
    </w:p>
    <w:p w14:paraId="47392338">
      <w:pPr>
        <w:pStyle w:val="545"/>
        <w:spacing w:line="360" w:lineRule="auto"/>
        <w:ind w:firstLine="512"/>
        <w:jc w:val="both"/>
        <w:rPr>
          <w:rFonts w:hint="default" w:ascii="Times New Roman" w:hAnsi="Times New Roman" w:cs="Times New Roman"/>
          <w:color w:val="auto"/>
          <w:spacing w:val="0"/>
          <w:kern w:val="24"/>
          <w:highlight w:val="none"/>
        </w:rPr>
      </w:pPr>
      <w:r>
        <w:rPr>
          <w:rFonts w:hint="default" w:ascii="Times New Roman" w:hAnsi="Times New Roman" w:eastAsia="宋体" w:cs="Times New Roman"/>
          <w:color w:val="auto"/>
          <w:sz w:val="24"/>
          <w:highlight w:val="none"/>
        </w:rPr>
        <w:t>规划区内以居住</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bCs/>
          <w:color w:val="auto"/>
          <w:kern w:val="0"/>
          <w:sz w:val="24"/>
          <w:highlight w:val="none"/>
          <w:lang w:eastAsia="zh-CN"/>
        </w:rPr>
        <w:t>森林康养</w:t>
      </w:r>
      <w:r>
        <w:rPr>
          <w:rFonts w:hint="default" w:ascii="Times New Roman" w:hAnsi="Times New Roman" w:cs="Times New Roman"/>
          <w:bCs/>
          <w:color w:val="auto"/>
          <w:kern w:val="0"/>
          <w:sz w:val="24"/>
          <w:highlight w:val="none"/>
          <w:lang w:val="en-US" w:eastAsia="zh-CN"/>
        </w:rPr>
        <w:t>旅游</w:t>
      </w:r>
      <w:r>
        <w:rPr>
          <w:rFonts w:hint="default" w:ascii="Times New Roman" w:hAnsi="Times New Roman" w:eastAsia="宋体" w:cs="Times New Roman"/>
          <w:color w:val="auto"/>
          <w:sz w:val="24"/>
          <w:highlight w:val="none"/>
        </w:rPr>
        <w:t>等为主要功能</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环境保护目标主要为</w:t>
      </w:r>
      <w:r>
        <w:rPr>
          <w:rFonts w:hint="default" w:ascii="Times New Roman" w:hAnsi="Times New Roman" w:cs="Times New Roman"/>
          <w:color w:val="auto"/>
          <w:sz w:val="24"/>
          <w:highlight w:val="none"/>
          <w:lang w:val="en-US" w:eastAsia="zh-CN"/>
        </w:rPr>
        <w:t>规划区内的住宿及商业区</w:t>
      </w:r>
      <w:r>
        <w:rPr>
          <w:rFonts w:hint="default" w:ascii="Times New Roman" w:hAnsi="Times New Roman" w:eastAsia="宋体" w:cs="Times New Roman"/>
          <w:color w:val="auto"/>
          <w:sz w:val="24"/>
          <w:highlight w:val="none"/>
        </w:rPr>
        <w:t>等，具体见“1.10”小节。</w:t>
      </w:r>
    </w:p>
    <w:p w14:paraId="3B8DDDCF">
      <w:pPr>
        <w:pStyle w:val="3"/>
        <w:spacing w:before="156" w:after="156"/>
        <w:rPr>
          <w:rFonts w:hint="default" w:ascii="Times New Roman" w:hAnsi="Times New Roman" w:cs="Times New Roman"/>
          <w:color w:val="auto"/>
          <w:highlight w:val="none"/>
        </w:rPr>
      </w:pPr>
      <w:bookmarkStart w:id="111" w:name="_Toc472881904"/>
      <w:bookmarkStart w:id="112" w:name="_Toc20465"/>
      <w:bookmarkStart w:id="113" w:name="_Toc519260299"/>
      <w:bookmarkStart w:id="114" w:name="_Toc55908624"/>
      <w:r>
        <w:rPr>
          <w:rFonts w:hint="default" w:ascii="Times New Roman" w:hAnsi="Times New Roman" w:cs="Times New Roman"/>
          <w:color w:val="auto"/>
          <w:highlight w:val="none"/>
        </w:rPr>
        <w:t>环境质量现状调查与评价</w:t>
      </w:r>
      <w:bookmarkEnd w:id="111"/>
      <w:bookmarkEnd w:id="112"/>
      <w:bookmarkEnd w:id="113"/>
      <w:bookmarkEnd w:id="114"/>
    </w:p>
    <w:p w14:paraId="1463C224">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本次规划环评现状调查采用了资料收集、现场踏勘、环境监测、生态调查法，现状分析与评价采用了专家咨询、指数法（单指数、综合指数）、类比分析、叠图分析、生态学分析法。</w:t>
      </w:r>
    </w:p>
    <w:p w14:paraId="4C832291">
      <w:pPr>
        <w:pStyle w:val="4"/>
        <w:spacing w:before="156" w:after="156"/>
        <w:rPr>
          <w:rFonts w:hint="default" w:ascii="Times New Roman" w:hAnsi="Times New Roman" w:cs="Times New Roman"/>
          <w:color w:val="auto"/>
          <w:highlight w:val="none"/>
        </w:rPr>
      </w:pPr>
      <w:bookmarkStart w:id="115" w:name="_Toc519260300"/>
      <w:bookmarkStart w:id="116" w:name="_Toc9092763"/>
      <w:bookmarkStart w:id="117" w:name="_Toc9092765"/>
      <w:bookmarkStart w:id="118" w:name="_Toc519260302"/>
      <w:r>
        <w:rPr>
          <w:rFonts w:hint="default" w:ascii="Times New Roman" w:hAnsi="Times New Roman" w:cs="Times New Roman"/>
          <w:color w:val="auto"/>
          <w:highlight w:val="none"/>
        </w:rPr>
        <w:t>大气</w:t>
      </w:r>
      <w:bookmarkEnd w:id="115"/>
      <w:bookmarkEnd w:id="116"/>
      <w:r>
        <w:rPr>
          <w:rFonts w:hint="default" w:ascii="Times New Roman" w:hAnsi="Times New Roman" w:cs="Times New Roman"/>
          <w:color w:val="auto"/>
          <w:highlight w:val="none"/>
        </w:rPr>
        <w:t>环境</w:t>
      </w:r>
    </w:p>
    <w:p w14:paraId="7D0C00C0">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规划所在区域达标判断</w:t>
      </w:r>
    </w:p>
    <w:p w14:paraId="1B3044F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依据《环境影响评价技术导则-大气环境》（HJ2.2-2018）中“6.2数据来源”中对基本污染物环境质量现状数据来源的规定：“项目所在区域达标判定，优先采用国家或地方生态环境主管部门公开发布的评价基准年环境质量公告或环境质量报告中的数据或结论。”本次环评引用《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西藏自治区生态环境状况公报》中大气环境状况数据，评价基准年为202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w:t>
      </w:r>
    </w:p>
    <w:p w14:paraId="15F0A459">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根据《2024西藏自治区生态环境状况公报》，2024年，全区环境空气质量整体保持优良，平均优良天数比例为99.7%，细颗粒物、可吸入颗粒物、二氧化硫、二氧化氮年均浓度达到一级标准；一氧化碳日均值第95百分位数浓度达到一级标准；臭氧日最大8小时平均值第90百分位数浓度达到二级标准。拉萨市环境空气质量达到二级标准，优良天数比例为99.5%，在全国168个重点城市中排名第1位。日喀则市、山南市、林芝市、昌都市、那曲市和阿里地区环境空气质量达到二级标准。在全国339个地级及以上城市环境空气质量排名分别为第18名、第12名、第1名、第7名、第84名、第8名。珠穆朗玛峰区域环境空气质量持续保持在优良状态，达到一级标准。综上，规划区位于</w:t>
      </w:r>
      <w:r>
        <w:rPr>
          <w:rFonts w:hint="default" w:ascii="Times New Roman" w:hAnsi="Times New Roman" w:cs="Times New Roman"/>
          <w:color w:val="auto"/>
          <w:sz w:val="24"/>
          <w:highlight w:val="none"/>
          <w:lang w:val="en-US" w:eastAsia="zh-CN"/>
        </w:rPr>
        <w:t>林芝市波密县</w:t>
      </w:r>
      <w:r>
        <w:rPr>
          <w:rFonts w:hint="default" w:ascii="Times New Roman" w:hAnsi="Times New Roman" w:cs="Times New Roman"/>
          <w:color w:val="auto"/>
          <w:sz w:val="24"/>
          <w:highlight w:val="none"/>
        </w:rPr>
        <w:t>，所在区域为大气环境质量达标区。</w:t>
      </w:r>
    </w:p>
    <w:p w14:paraId="50EDE917">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基本污染物环境质量现状评价</w:t>
      </w:r>
    </w:p>
    <w:p w14:paraId="52140653">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规划范围内大气环境功能区为一类区。</w:t>
      </w:r>
    </w:p>
    <w:p w14:paraId="6543785D">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本次评价委托</w:t>
      </w:r>
      <w:r>
        <w:rPr>
          <w:rFonts w:hint="default" w:ascii="Times New Roman" w:hAnsi="Times New Roman" w:cs="Times New Roman"/>
          <w:color w:val="auto"/>
          <w:highlight w:val="none"/>
          <w:lang w:eastAsia="zh-CN"/>
        </w:rPr>
        <w:t>西藏中科检测技术有限公司</w:t>
      </w:r>
      <w:r>
        <w:rPr>
          <w:rFonts w:hint="default" w:ascii="Times New Roman" w:hAnsi="Times New Roman" w:cs="Times New Roman"/>
          <w:color w:val="auto"/>
          <w:szCs w:val="24"/>
          <w:highlight w:val="none"/>
        </w:rPr>
        <w:t>于202</w:t>
      </w:r>
      <w:r>
        <w:rPr>
          <w:rFonts w:hint="default" w:ascii="Times New Roman" w:hAnsi="Times New Roman" w:cs="Times New Roman"/>
          <w:color w:val="auto"/>
          <w:szCs w:val="24"/>
          <w:highlight w:val="none"/>
          <w:lang w:val="en-US" w:eastAsia="zh-CN"/>
        </w:rPr>
        <w:t>6</w:t>
      </w:r>
      <w:r>
        <w:rPr>
          <w:rFonts w:hint="default" w:ascii="Times New Roman" w:hAnsi="Times New Roman" w:cs="Times New Roman"/>
          <w:color w:val="auto"/>
          <w:szCs w:val="24"/>
          <w:highlight w:val="none"/>
        </w:rPr>
        <w:t>年</w:t>
      </w:r>
      <w:r>
        <w:rPr>
          <w:rFonts w:hint="default"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月2</w:t>
      </w:r>
      <w:r>
        <w:rPr>
          <w:rFonts w:hint="default" w:ascii="Times New Roman" w:hAnsi="Times New Roman" w:cs="Times New Roman"/>
          <w:color w:val="auto"/>
          <w:szCs w:val="24"/>
          <w:highlight w:val="none"/>
          <w:lang w:val="en-US" w:eastAsia="zh-CN"/>
        </w:rPr>
        <w:t>7</w:t>
      </w:r>
      <w:r>
        <w:rPr>
          <w:rFonts w:hint="default" w:ascii="Times New Roman" w:hAnsi="Times New Roman" w:cs="Times New Roman"/>
          <w:color w:val="auto"/>
          <w:szCs w:val="24"/>
          <w:highlight w:val="none"/>
        </w:rPr>
        <w:t>日~</w:t>
      </w:r>
      <w:r>
        <w:rPr>
          <w:rFonts w:hint="default"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rPr>
        <w:t>月</w:t>
      </w:r>
      <w:r>
        <w:rPr>
          <w:rFonts w:hint="default"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日对</w:t>
      </w:r>
      <w:r>
        <w:rPr>
          <w:rFonts w:hint="default" w:ascii="Times New Roman" w:hAnsi="Times New Roman" w:cs="Times New Roman"/>
          <w:color w:val="auto"/>
          <w:highlight w:val="none"/>
        </w:rPr>
        <w:t>规划区基本</w:t>
      </w:r>
      <w:r>
        <w:rPr>
          <w:rFonts w:hint="default" w:ascii="Times New Roman" w:hAnsi="Times New Roman" w:cs="Times New Roman"/>
          <w:color w:val="auto"/>
          <w:szCs w:val="24"/>
          <w:highlight w:val="none"/>
        </w:rPr>
        <w:t>污染物大气环境质量进行了监测</w:t>
      </w:r>
      <w:r>
        <w:rPr>
          <w:rFonts w:hint="default" w:ascii="Times New Roman" w:hAnsi="Times New Roman" w:cs="Times New Roman"/>
          <w:color w:val="auto"/>
          <w:highlight w:val="none"/>
        </w:rPr>
        <w:t>。本次评价按照小时值、日均值进行分析评价。</w:t>
      </w:r>
    </w:p>
    <w:p w14:paraId="686D7C4C">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（1）监测布点</w:t>
      </w:r>
    </w:p>
    <w:p w14:paraId="4B465AC2">
      <w:pPr>
        <w:spacing w:line="360" w:lineRule="auto"/>
        <w:ind w:firstLine="480" w:firstLineChars="200"/>
        <w:rPr>
          <w:rFonts w:hint="default" w:ascii="Times New Roman" w:hAnsi="Times New Roman" w:cs="Times New Roman"/>
          <w:color w:val="auto"/>
          <w:kern w:val="0"/>
          <w:sz w:val="24"/>
          <w:szCs w:val="20"/>
          <w:highlight w:val="none"/>
          <w:lang w:val="zh-CN"/>
        </w:rPr>
      </w:pPr>
      <w:r>
        <w:rPr>
          <w:rFonts w:hint="default" w:ascii="Times New Roman" w:hAnsi="Times New Roman" w:cs="Times New Roman"/>
          <w:color w:val="auto"/>
          <w:kern w:val="0"/>
          <w:sz w:val="24"/>
          <w:szCs w:val="20"/>
          <w:highlight w:val="none"/>
          <w:lang w:val="zh-CN"/>
        </w:rPr>
        <w:t>共布设1处大气环境质量现状监测点，位于规划范围内环境敏感区，具体点位布置情况见表3.4-1。</w:t>
      </w:r>
    </w:p>
    <w:p w14:paraId="65149493">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表3.4-1  大气环境质量现状监测布点一览表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29"/>
        <w:gridCol w:w="729"/>
        <w:gridCol w:w="4440"/>
        <w:gridCol w:w="1589"/>
        <w:gridCol w:w="1585"/>
      </w:tblGrid>
      <w:tr w14:paraId="1703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shd w:val="clear" w:color="auto" w:fill="auto"/>
            <w:vAlign w:val="center"/>
          </w:tcPr>
          <w:p w14:paraId="6194ABE9">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序号</w:t>
            </w:r>
          </w:p>
        </w:tc>
        <w:tc>
          <w:tcPr>
            <w:tcW w:w="402" w:type="pct"/>
            <w:shd w:val="clear" w:color="auto" w:fill="auto"/>
            <w:vAlign w:val="center"/>
          </w:tcPr>
          <w:p w14:paraId="1F93E1B0">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编号</w:t>
            </w:r>
          </w:p>
        </w:tc>
        <w:tc>
          <w:tcPr>
            <w:tcW w:w="2447" w:type="pct"/>
            <w:shd w:val="clear" w:color="auto" w:fill="auto"/>
            <w:vAlign w:val="center"/>
          </w:tcPr>
          <w:p w14:paraId="0745E0D4">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名称</w:t>
            </w:r>
          </w:p>
        </w:tc>
        <w:tc>
          <w:tcPr>
            <w:tcW w:w="876" w:type="pct"/>
            <w:vAlign w:val="center"/>
          </w:tcPr>
          <w:p w14:paraId="1ECEC7DC">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环境功能区</w:t>
            </w:r>
          </w:p>
        </w:tc>
        <w:tc>
          <w:tcPr>
            <w:tcW w:w="873" w:type="pct"/>
            <w:vAlign w:val="center"/>
          </w:tcPr>
          <w:p w14:paraId="7DD60827">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布点功能</w:t>
            </w:r>
          </w:p>
        </w:tc>
      </w:tr>
      <w:tr w14:paraId="0270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shd w:val="clear" w:color="auto" w:fill="auto"/>
            <w:vAlign w:val="center"/>
          </w:tcPr>
          <w:p w14:paraId="05065920">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402" w:type="pct"/>
            <w:shd w:val="clear" w:color="auto" w:fill="auto"/>
            <w:vAlign w:val="center"/>
          </w:tcPr>
          <w:p w14:paraId="5F95DB84">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DQ1</w:t>
            </w:r>
          </w:p>
        </w:tc>
        <w:tc>
          <w:tcPr>
            <w:tcW w:w="2447" w:type="pct"/>
            <w:shd w:val="clear" w:color="auto" w:fill="auto"/>
            <w:vAlign w:val="center"/>
          </w:tcPr>
          <w:p w14:paraId="13134E51">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古乡巴卡村居民点处</w:t>
            </w:r>
          </w:p>
        </w:tc>
        <w:tc>
          <w:tcPr>
            <w:tcW w:w="876" w:type="pct"/>
            <w:vAlign w:val="center"/>
          </w:tcPr>
          <w:p w14:paraId="66B03A76">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一类区</w:t>
            </w:r>
          </w:p>
        </w:tc>
        <w:tc>
          <w:tcPr>
            <w:tcW w:w="873" w:type="pct"/>
            <w:vAlign w:val="center"/>
          </w:tcPr>
          <w:p w14:paraId="11BFB42F">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环境敏感区</w:t>
            </w:r>
          </w:p>
        </w:tc>
      </w:tr>
    </w:tbl>
    <w:p w14:paraId="674564D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（2）监测因子</w:t>
      </w:r>
    </w:p>
    <w:p w14:paraId="6C3B915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基本污染物监测因子包括可吸入颗粒物（PM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）、二氧化硫（SO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）、二氧化氮（NO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），共</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项。监测期间同步观测气温、气压、风向、风速等常规地面气象要素。</w:t>
      </w:r>
    </w:p>
    <w:p w14:paraId="444441C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（3）监测时间及频次</w:t>
      </w:r>
    </w:p>
    <w:p w14:paraId="099D2520">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监测时间与频次见表3.4-2。</w:t>
      </w:r>
    </w:p>
    <w:p w14:paraId="6CA5F352">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表3.4-2  监测时间与频次一览表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701"/>
        <w:gridCol w:w="5238"/>
      </w:tblGrid>
      <w:tr w14:paraId="22F2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8" w:type="pct"/>
            <w:vAlign w:val="center"/>
          </w:tcPr>
          <w:p w14:paraId="3574818F">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监测因子</w:t>
            </w:r>
          </w:p>
        </w:tc>
        <w:tc>
          <w:tcPr>
            <w:tcW w:w="927" w:type="pct"/>
            <w:vAlign w:val="center"/>
          </w:tcPr>
          <w:p w14:paraId="519B0CA9">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取值时间</w:t>
            </w:r>
          </w:p>
        </w:tc>
        <w:tc>
          <w:tcPr>
            <w:tcW w:w="2855" w:type="pct"/>
            <w:vAlign w:val="center"/>
          </w:tcPr>
          <w:p w14:paraId="444194B3">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监测频率</w:t>
            </w:r>
          </w:p>
        </w:tc>
      </w:tr>
      <w:tr w14:paraId="414D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8" w:type="pct"/>
            <w:vAlign w:val="center"/>
          </w:tcPr>
          <w:p w14:paraId="43BBB8CC">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可吸入颗粒物（PM</w:t>
            </w:r>
            <w:r>
              <w:rPr>
                <w:rFonts w:hint="default" w:ascii="Times New Roman" w:hAnsi="Times New Roman" w:cs="Times New Roman"/>
                <w:color w:val="auto"/>
                <w:szCs w:val="21"/>
                <w:highlight w:val="none"/>
                <w:vertAlign w:val="subscript"/>
              </w:rPr>
              <w:t>10</w:t>
            </w:r>
            <w:r>
              <w:rPr>
                <w:rFonts w:hint="default" w:ascii="Times New Roman" w:hAnsi="Times New Roman" w:cs="Times New Roman"/>
                <w:color w:val="auto"/>
                <w:szCs w:val="21"/>
                <w:highlight w:val="none"/>
              </w:rPr>
              <w:t>）</w:t>
            </w:r>
          </w:p>
        </w:tc>
        <w:tc>
          <w:tcPr>
            <w:tcW w:w="927" w:type="pct"/>
            <w:vAlign w:val="center"/>
          </w:tcPr>
          <w:p w14:paraId="13AD3424">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24h平均</w:t>
            </w:r>
          </w:p>
        </w:tc>
        <w:tc>
          <w:tcPr>
            <w:tcW w:w="2855" w:type="pct"/>
            <w:vAlign w:val="center"/>
          </w:tcPr>
          <w:p w14:paraId="76B60E3C">
            <w:pPr>
              <w:pStyle w:val="666"/>
              <w:adjustRightInd/>
              <w:ind w:firstLine="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连续监测7天，每天采样时间不少于20小时</w:t>
            </w:r>
          </w:p>
        </w:tc>
      </w:tr>
      <w:tr w14:paraId="02F4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8" w:type="pct"/>
            <w:vMerge w:val="restart"/>
            <w:vAlign w:val="center"/>
          </w:tcPr>
          <w:p w14:paraId="43084CB6">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二氧化硫（SO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w:t>
            </w:r>
          </w:p>
          <w:p w14:paraId="3073C9F8">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二氧化氮（NO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w:t>
            </w:r>
          </w:p>
        </w:tc>
        <w:tc>
          <w:tcPr>
            <w:tcW w:w="927" w:type="pct"/>
            <w:vAlign w:val="center"/>
          </w:tcPr>
          <w:p w14:paraId="6517FF7D">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24h平均</w:t>
            </w:r>
          </w:p>
        </w:tc>
        <w:tc>
          <w:tcPr>
            <w:tcW w:w="2855" w:type="pct"/>
            <w:vAlign w:val="center"/>
          </w:tcPr>
          <w:p w14:paraId="64B15ACA">
            <w:pPr>
              <w:pStyle w:val="666"/>
              <w:adjustRightInd/>
              <w:ind w:firstLine="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连续监测7天，每天采样时间不少于20小时</w:t>
            </w:r>
          </w:p>
        </w:tc>
      </w:tr>
      <w:tr w14:paraId="0C5F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8" w:type="pct"/>
            <w:vMerge w:val="continue"/>
            <w:vAlign w:val="center"/>
          </w:tcPr>
          <w:p w14:paraId="75A95FA6">
            <w:pPr>
              <w:pStyle w:val="666"/>
              <w:adjustRightInd/>
              <w:ind w:firstLine="0"/>
              <w:jc w:val="center"/>
              <w:rPr>
                <w:rFonts w:hint="default" w:ascii="Times New Roman" w:hAnsi="Times New Roman" w:cs="Times New Roman"/>
                <w:color w:val="auto"/>
                <w:szCs w:val="21"/>
                <w:highlight w:val="none"/>
              </w:rPr>
            </w:pPr>
          </w:p>
        </w:tc>
        <w:tc>
          <w:tcPr>
            <w:tcW w:w="927" w:type="pct"/>
            <w:vAlign w:val="center"/>
          </w:tcPr>
          <w:p w14:paraId="7DC753D8">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1h平均</w:t>
            </w:r>
          </w:p>
        </w:tc>
        <w:tc>
          <w:tcPr>
            <w:tcW w:w="2855" w:type="pct"/>
            <w:vAlign w:val="center"/>
          </w:tcPr>
          <w:p w14:paraId="62E87F13">
            <w:pPr>
              <w:pStyle w:val="666"/>
              <w:adjustRightInd/>
              <w:ind w:firstLine="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连续监测7天，每天采样4次（02:00、08:00、14:00、20:00），每小时采样时间不少于45min</w:t>
            </w:r>
          </w:p>
        </w:tc>
      </w:tr>
    </w:tbl>
    <w:p w14:paraId="756CCB1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（4）监测方法及方法来源</w:t>
      </w:r>
    </w:p>
    <w:p w14:paraId="69B7703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本次环境空气监测项目的监测方法、方法来源、使用仪器及检出限见表3.4-3。</w:t>
      </w:r>
    </w:p>
    <w:p w14:paraId="3D59DA5B">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表3.4-3  环境空气监测方法、方法来源、使用仪器及检出限一览表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2958"/>
        <w:gridCol w:w="1420"/>
        <w:gridCol w:w="1983"/>
        <w:gridCol w:w="2118"/>
      </w:tblGrid>
      <w:tr w14:paraId="0CF1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3B1ABB1D">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项目</w:t>
            </w:r>
          </w:p>
        </w:tc>
        <w:tc>
          <w:tcPr>
            <w:tcW w:w="1612" w:type="pct"/>
            <w:vAlign w:val="center"/>
          </w:tcPr>
          <w:p w14:paraId="0B890A26">
            <w:pPr>
              <w:ind w:left="225" w:hanging="224" w:hangingChars="107"/>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监测方法</w:t>
            </w:r>
          </w:p>
        </w:tc>
        <w:tc>
          <w:tcPr>
            <w:tcW w:w="774" w:type="pct"/>
            <w:vAlign w:val="center"/>
          </w:tcPr>
          <w:p w14:paraId="235719A4">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方法来源</w:t>
            </w:r>
          </w:p>
        </w:tc>
        <w:tc>
          <w:tcPr>
            <w:tcW w:w="1081" w:type="pct"/>
            <w:vAlign w:val="center"/>
          </w:tcPr>
          <w:p w14:paraId="5F7F6724">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仪器名称及型号</w:t>
            </w:r>
          </w:p>
        </w:tc>
        <w:tc>
          <w:tcPr>
            <w:tcW w:w="1154" w:type="pct"/>
          </w:tcPr>
          <w:p w14:paraId="35A4C39E">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检出限</w:t>
            </w:r>
          </w:p>
        </w:tc>
      </w:tr>
      <w:tr w14:paraId="67FF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34C4F9BD">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PM</w:t>
            </w:r>
            <w:r>
              <w:rPr>
                <w:rFonts w:hint="default" w:ascii="Times New Roman" w:hAnsi="Times New Roman" w:cs="Times New Roman" w:eastAsiaTheme="minorEastAsia"/>
                <w:bCs/>
                <w:color w:val="auto"/>
                <w:kern w:val="0"/>
                <w:szCs w:val="21"/>
                <w:highlight w:val="none"/>
                <w:vertAlign w:val="subscript"/>
              </w:rPr>
              <w:t>10</w:t>
            </w:r>
          </w:p>
        </w:tc>
        <w:tc>
          <w:tcPr>
            <w:tcW w:w="1612" w:type="pct"/>
            <w:vAlign w:val="center"/>
          </w:tcPr>
          <w:p w14:paraId="03AD949E">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环境空气 PM</w:t>
            </w:r>
            <w:r>
              <w:rPr>
                <w:rFonts w:hint="default" w:ascii="Times New Roman" w:hAnsi="Times New Roman" w:cs="Times New Roman" w:eastAsiaTheme="minorEastAsia"/>
                <w:bCs/>
                <w:color w:val="auto"/>
                <w:kern w:val="0"/>
                <w:szCs w:val="21"/>
                <w:highlight w:val="none"/>
                <w:vertAlign w:val="subscript"/>
              </w:rPr>
              <w:t>10</w:t>
            </w:r>
            <w:r>
              <w:rPr>
                <w:rFonts w:hint="default" w:ascii="Times New Roman" w:hAnsi="Times New Roman" w:cs="Times New Roman" w:eastAsiaTheme="minorEastAsia"/>
                <w:bCs/>
                <w:color w:val="auto"/>
                <w:kern w:val="0"/>
                <w:szCs w:val="21"/>
                <w:highlight w:val="none"/>
              </w:rPr>
              <w:t>和PM</w:t>
            </w:r>
            <w:r>
              <w:rPr>
                <w:rFonts w:hint="default" w:ascii="Times New Roman" w:hAnsi="Times New Roman" w:cs="Times New Roman" w:eastAsiaTheme="minorEastAsia"/>
                <w:bCs/>
                <w:color w:val="auto"/>
                <w:kern w:val="0"/>
                <w:szCs w:val="21"/>
                <w:highlight w:val="none"/>
                <w:vertAlign w:val="subscript"/>
              </w:rPr>
              <w:t>2.5</w:t>
            </w:r>
            <w:r>
              <w:rPr>
                <w:rFonts w:hint="default" w:ascii="Times New Roman" w:hAnsi="Times New Roman" w:cs="Times New Roman" w:eastAsiaTheme="minorEastAsia"/>
                <w:bCs/>
                <w:color w:val="auto"/>
                <w:kern w:val="0"/>
                <w:szCs w:val="21"/>
                <w:highlight w:val="none"/>
              </w:rPr>
              <w:t>的测定重量法</w:t>
            </w:r>
          </w:p>
        </w:tc>
        <w:tc>
          <w:tcPr>
            <w:tcW w:w="774" w:type="pct"/>
            <w:vAlign w:val="center"/>
          </w:tcPr>
          <w:p w14:paraId="352B136B">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HJ 618-2011</w:t>
            </w:r>
          </w:p>
        </w:tc>
        <w:tc>
          <w:tcPr>
            <w:tcW w:w="1081" w:type="pct"/>
            <w:vAlign w:val="center"/>
          </w:tcPr>
          <w:p w14:paraId="73F78039">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十万分之一电子天平ES1035A</w:t>
            </w:r>
          </w:p>
        </w:tc>
        <w:tc>
          <w:tcPr>
            <w:tcW w:w="1154" w:type="pct"/>
            <w:vAlign w:val="center"/>
          </w:tcPr>
          <w:p w14:paraId="78FEF4BA">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color w:val="auto"/>
                <w:szCs w:val="21"/>
                <w:highlight w:val="none"/>
              </w:rPr>
              <w:t>10</w:t>
            </w:r>
            <w:r>
              <w:rPr>
                <w:rFonts w:hint="default" w:ascii="Times New Roman" w:hAnsi="Times New Roman" w:cs="Times New Roman"/>
                <w:bCs/>
                <w:color w:val="auto"/>
                <w:szCs w:val="21"/>
                <w:highlight w:val="none"/>
              </w:rPr>
              <w:t>μ</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p>
        </w:tc>
      </w:tr>
      <w:tr w14:paraId="3019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50919320">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SO</w:t>
            </w:r>
            <w:r>
              <w:rPr>
                <w:rFonts w:hint="default" w:ascii="Times New Roman" w:hAnsi="Times New Roman" w:cs="Times New Roman" w:eastAsiaTheme="minorEastAsia"/>
                <w:bCs/>
                <w:color w:val="auto"/>
                <w:kern w:val="0"/>
                <w:szCs w:val="21"/>
                <w:highlight w:val="none"/>
                <w:vertAlign w:val="subscript"/>
              </w:rPr>
              <w:t>2</w:t>
            </w:r>
          </w:p>
        </w:tc>
        <w:tc>
          <w:tcPr>
            <w:tcW w:w="1612" w:type="pct"/>
            <w:vAlign w:val="center"/>
          </w:tcPr>
          <w:p w14:paraId="19DC9DE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环境空气二氧化硫的测定</w:t>
            </w:r>
          </w:p>
          <w:p w14:paraId="7BC607E4">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color w:val="auto"/>
                <w:szCs w:val="21"/>
                <w:highlight w:val="none"/>
              </w:rPr>
              <w:t>甲醛吸收-副玫瑰苯胺分光光度法</w:t>
            </w:r>
          </w:p>
        </w:tc>
        <w:tc>
          <w:tcPr>
            <w:tcW w:w="774" w:type="pct"/>
            <w:vAlign w:val="center"/>
          </w:tcPr>
          <w:p w14:paraId="7729AACA">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HJ 482-2009</w:t>
            </w:r>
          </w:p>
        </w:tc>
        <w:tc>
          <w:tcPr>
            <w:tcW w:w="1081" w:type="pct"/>
            <w:vAlign w:val="center"/>
          </w:tcPr>
          <w:p w14:paraId="0BB13581">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bCs/>
                <w:color w:val="auto"/>
                <w:szCs w:val="21"/>
                <w:highlight w:val="none"/>
              </w:rPr>
              <w:t>可见分光光度计 722S</w:t>
            </w:r>
          </w:p>
        </w:tc>
        <w:tc>
          <w:tcPr>
            <w:tcW w:w="1154" w:type="pct"/>
            <w:vAlign w:val="center"/>
          </w:tcPr>
          <w:p w14:paraId="162C96EA">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小时值:0.007 mg/m</w:t>
            </w:r>
            <w:r>
              <w:rPr>
                <w:rFonts w:hint="default" w:ascii="Times New Roman" w:hAnsi="Times New Roman" w:cs="Times New Roman" w:eastAsiaTheme="minorEastAsia"/>
                <w:color w:val="auto"/>
                <w:kern w:val="0"/>
                <w:szCs w:val="21"/>
                <w:highlight w:val="none"/>
                <w:vertAlign w:val="superscript"/>
              </w:rPr>
              <w:t>3</w:t>
            </w:r>
          </w:p>
          <w:p w14:paraId="45F3ABF9">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日均值:0.004mg/m</w:t>
            </w:r>
            <w:r>
              <w:rPr>
                <w:rFonts w:hint="default" w:ascii="Times New Roman" w:hAnsi="Times New Roman" w:cs="Times New Roman" w:eastAsiaTheme="minorEastAsia"/>
                <w:color w:val="auto"/>
                <w:kern w:val="0"/>
                <w:szCs w:val="21"/>
                <w:highlight w:val="none"/>
                <w:vertAlign w:val="superscript"/>
              </w:rPr>
              <w:t>3</w:t>
            </w:r>
          </w:p>
        </w:tc>
      </w:tr>
      <w:tr w14:paraId="3212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Align w:val="center"/>
          </w:tcPr>
          <w:p w14:paraId="55D2D222">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NO</w:t>
            </w:r>
            <w:r>
              <w:rPr>
                <w:rFonts w:hint="default" w:ascii="Times New Roman" w:hAnsi="Times New Roman" w:cs="Times New Roman" w:eastAsiaTheme="minorEastAsia"/>
                <w:color w:val="auto"/>
                <w:kern w:val="0"/>
                <w:szCs w:val="21"/>
                <w:highlight w:val="none"/>
                <w:vertAlign w:val="subscript"/>
              </w:rPr>
              <w:t>2</w:t>
            </w:r>
          </w:p>
        </w:tc>
        <w:tc>
          <w:tcPr>
            <w:tcW w:w="1612" w:type="pct"/>
            <w:vAlign w:val="center"/>
          </w:tcPr>
          <w:p w14:paraId="13D444A9">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环境空气氮氧化物（一氧化氮和二氧化氮）的测定盐酸萘乙二胺分光光度法</w:t>
            </w:r>
          </w:p>
        </w:tc>
        <w:tc>
          <w:tcPr>
            <w:tcW w:w="774" w:type="pct"/>
            <w:vAlign w:val="center"/>
          </w:tcPr>
          <w:p w14:paraId="515AC6DC">
            <w:pPr>
              <w:jc w:val="center"/>
              <w:rPr>
                <w:rFonts w:hint="default" w:ascii="Times New Roman" w:hAnsi="Times New Roman" w:cs="Times New Roman" w:eastAsiaTheme="minorEastAsia"/>
                <w:bCs/>
                <w:color w:val="auto"/>
                <w:kern w:val="0"/>
                <w:szCs w:val="21"/>
                <w:highlight w:val="none"/>
              </w:rPr>
            </w:pPr>
            <w:r>
              <w:rPr>
                <w:rFonts w:hint="default" w:ascii="Times New Roman" w:hAnsi="Times New Roman" w:cs="Times New Roman" w:eastAsiaTheme="minorEastAsia"/>
                <w:bCs/>
                <w:color w:val="auto"/>
                <w:kern w:val="0"/>
                <w:szCs w:val="21"/>
                <w:highlight w:val="none"/>
              </w:rPr>
              <w:t>HJ 479-2009</w:t>
            </w:r>
          </w:p>
        </w:tc>
        <w:tc>
          <w:tcPr>
            <w:tcW w:w="1081" w:type="pct"/>
            <w:vAlign w:val="center"/>
          </w:tcPr>
          <w:p w14:paraId="656B1778">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bCs/>
                <w:color w:val="auto"/>
                <w:szCs w:val="21"/>
                <w:highlight w:val="none"/>
              </w:rPr>
              <w:t>可见分光光度计 722S</w:t>
            </w:r>
          </w:p>
        </w:tc>
        <w:tc>
          <w:tcPr>
            <w:tcW w:w="1154" w:type="pct"/>
            <w:vAlign w:val="center"/>
          </w:tcPr>
          <w:p w14:paraId="1455FCA6">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小时值:0.005 mg/m</w:t>
            </w:r>
            <w:r>
              <w:rPr>
                <w:rFonts w:hint="default" w:ascii="Times New Roman" w:hAnsi="Times New Roman" w:cs="Times New Roman" w:eastAsiaTheme="minorEastAsia"/>
                <w:color w:val="auto"/>
                <w:kern w:val="0"/>
                <w:szCs w:val="21"/>
                <w:highlight w:val="none"/>
                <w:vertAlign w:val="superscript"/>
              </w:rPr>
              <w:t>3</w:t>
            </w:r>
          </w:p>
          <w:p w14:paraId="647D32CB">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日均值:0.003mg/m</w:t>
            </w:r>
            <w:r>
              <w:rPr>
                <w:rFonts w:hint="default" w:ascii="Times New Roman" w:hAnsi="Times New Roman" w:cs="Times New Roman" w:eastAsiaTheme="minorEastAsia"/>
                <w:color w:val="auto"/>
                <w:kern w:val="0"/>
                <w:szCs w:val="21"/>
                <w:highlight w:val="none"/>
                <w:vertAlign w:val="superscript"/>
              </w:rPr>
              <w:t>3</w:t>
            </w:r>
          </w:p>
        </w:tc>
      </w:tr>
    </w:tbl>
    <w:p w14:paraId="189FFA01">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（5）现场气象条件</w:t>
      </w:r>
    </w:p>
    <w:p w14:paraId="4C46C7B6">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监测期间环境空气气象要素现场记录情况见表3.4-4。</w:t>
      </w:r>
    </w:p>
    <w:p w14:paraId="526878AB">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表3.4-4  监测期间气象要素现场记录一览表</w:t>
      </w:r>
    </w:p>
    <w:tbl>
      <w:tblPr>
        <w:tblStyle w:val="5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231"/>
        <w:gridCol w:w="885"/>
        <w:gridCol w:w="1021"/>
        <w:gridCol w:w="886"/>
        <w:gridCol w:w="886"/>
        <w:gridCol w:w="953"/>
        <w:gridCol w:w="821"/>
        <w:gridCol w:w="877"/>
      </w:tblGrid>
      <w:tr w14:paraId="6364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83" w:type="pct"/>
            <w:vMerge w:val="restart"/>
            <w:tcBorders>
              <w:right w:val="single" w:color="auto" w:sz="4" w:space="0"/>
            </w:tcBorders>
            <w:noWrap w:val="0"/>
            <w:vAlign w:val="center"/>
          </w:tcPr>
          <w:p w14:paraId="6F7A3512">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点位</w:t>
            </w:r>
          </w:p>
        </w:tc>
        <w:tc>
          <w:tcPr>
            <w:tcW w:w="4316" w:type="pct"/>
            <w:gridSpan w:val="8"/>
            <w:tcBorders>
              <w:right w:val="single" w:color="auto" w:sz="4" w:space="0"/>
            </w:tcBorders>
            <w:noWrap w:val="0"/>
            <w:vAlign w:val="center"/>
          </w:tcPr>
          <w:p w14:paraId="50AF3E75">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color w:val="auto"/>
                <w:sz w:val="21"/>
                <w:szCs w:val="21"/>
                <w:highlight w:val="none"/>
              </w:rPr>
              <w:t>气象要素记录表</w:t>
            </w:r>
          </w:p>
        </w:tc>
      </w:tr>
      <w:tr w14:paraId="5A17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3" w:type="pct"/>
            <w:vMerge w:val="continue"/>
            <w:tcBorders>
              <w:right w:val="single" w:color="auto" w:sz="4" w:space="0"/>
            </w:tcBorders>
            <w:noWrap w:val="0"/>
            <w:vAlign w:val="center"/>
          </w:tcPr>
          <w:p w14:paraId="3C0AE031">
            <w:pPr>
              <w:tabs>
                <w:tab w:val="left" w:pos="328"/>
              </w:tabs>
              <w:jc w:val="center"/>
              <w:rPr>
                <w:rFonts w:hint="default" w:ascii="Times New Roman" w:hAnsi="Times New Roman" w:eastAsia="宋体" w:cs="Times New Roman"/>
                <w:color w:val="auto"/>
                <w:sz w:val="21"/>
                <w:szCs w:val="21"/>
                <w:highlight w:val="none"/>
                <w:lang w:val="en-US" w:eastAsia="zh-CN"/>
              </w:rPr>
            </w:pPr>
          </w:p>
        </w:tc>
        <w:tc>
          <w:tcPr>
            <w:tcW w:w="540" w:type="pct"/>
            <w:tcBorders>
              <w:right w:val="single" w:color="auto" w:sz="4" w:space="0"/>
            </w:tcBorders>
            <w:noWrap w:val="0"/>
            <w:vAlign w:val="center"/>
          </w:tcPr>
          <w:p w14:paraId="31F7A215">
            <w:pPr>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rPr>
              <w:t>检测日期</w:t>
            </w:r>
          </w:p>
        </w:tc>
        <w:tc>
          <w:tcPr>
            <w:tcW w:w="540" w:type="pct"/>
            <w:tcBorders>
              <w:right w:val="single" w:color="auto" w:sz="4" w:space="0"/>
            </w:tcBorders>
            <w:noWrap w:val="0"/>
            <w:vAlign w:val="center"/>
          </w:tcPr>
          <w:p w14:paraId="734AA9BC">
            <w:pPr>
              <w:spacing w:line="240" w:lineRule="exact"/>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rPr>
              <w:t>气温（℃）</w:t>
            </w:r>
          </w:p>
        </w:tc>
        <w:tc>
          <w:tcPr>
            <w:tcW w:w="540" w:type="pct"/>
            <w:tcBorders>
              <w:right w:val="single" w:color="auto" w:sz="4" w:space="0"/>
            </w:tcBorders>
            <w:noWrap w:val="0"/>
            <w:vAlign w:val="center"/>
          </w:tcPr>
          <w:p w14:paraId="617EDFB1">
            <w:pPr>
              <w:spacing w:line="240" w:lineRule="exact"/>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rPr>
              <w:t>气压（kPa）</w:t>
            </w:r>
          </w:p>
        </w:tc>
        <w:tc>
          <w:tcPr>
            <w:tcW w:w="540" w:type="pct"/>
            <w:tcBorders>
              <w:right w:val="single" w:color="auto" w:sz="4" w:space="0"/>
            </w:tcBorders>
            <w:noWrap w:val="0"/>
            <w:vAlign w:val="center"/>
          </w:tcPr>
          <w:p w14:paraId="4132C952">
            <w:pPr>
              <w:spacing w:line="240" w:lineRule="exact"/>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rPr>
              <w:t>相对湿度（％）</w:t>
            </w:r>
          </w:p>
        </w:tc>
        <w:tc>
          <w:tcPr>
            <w:tcW w:w="540" w:type="pct"/>
            <w:tcBorders>
              <w:right w:val="single" w:color="auto" w:sz="4" w:space="0"/>
            </w:tcBorders>
            <w:noWrap w:val="0"/>
            <w:vAlign w:val="center"/>
          </w:tcPr>
          <w:p w14:paraId="5210F806">
            <w:pPr>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rPr>
              <w:t>风向</w:t>
            </w:r>
          </w:p>
        </w:tc>
        <w:tc>
          <w:tcPr>
            <w:tcW w:w="540" w:type="pct"/>
            <w:tcBorders>
              <w:right w:val="single" w:color="auto" w:sz="4" w:space="0"/>
            </w:tcBorders>
            <w:noWrap w:val="0"/>
            <w:vAlign w:val="center"/>
          </w:tcPr>
          <w:p w14:paraId="2E50B07E">
            <w:pPr>
              <w:spacing w:line="240" w:lineRule="exact"/>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rPr>
              <w:t>风速（m/s）</w:t>
            </w:r>
          </w:p>
        </w:tc>
        <w:tc>
          <w:tcPr>
            <w:tcW w:w="541" w:type="pct"/>
            <w:tcBorders>
              <w:right w:val="single" w:color="auto" w:sz="4" w:space="0"/>
            </w:tcBorders>
            <w:noWrap w:val="0"/>
            <w:vAlign w:val="center"/>
          </w:tcPr>
          <w:p w14:paraId="30C94C6C">
            <w:pPr>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rPr>
              <w:t>天气状况</w:t>
            </w:r>
          </w:p>
        </w:tc>
        <w:tc>
          <w:tcPr>
            <w:tcW w:w="530" w:type="pct"/>
            <w:tcBorders>
              <w:right w:val="single" w:color="auto" w:sz="4" w:space="0"/>
            </w:tcBorders>
            <w:noWrap w:val="0"/>
            <w:vAlign w:val="center"/>
          </w:tcPr>
          <w:p w14:paraId="57C5B9AA">
            <w:pPr>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rPr>
              <w:t>记录人</w:t>
            </w:r>
          </w:p>
        </w:tc>
      </w:tr>
      <w:tr w14:paraId="7FCD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83" w:type="pct"/>
            <w:vMerge w:val="restart"/>
            <w:tcBorders>
              <w:right w:val="single" w:color="auto" w:sz="4" w:space="0"/>
            </w:tcBorders>
            <w:noWrap w:val="0"/>
            <w:vAlign w:val="center"/>
          </w:tcPr>
          <w:p w14:paraId="5D5D7ACD">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古乡巴卡村居民点监测点</w:t>
            </w:r>
          </w:p>
          <w:p w14:paraId="284E7E8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 w:val="21"/>
                <w:szCs w:val="21"/>
                <w:highlight w:val="none"/>
              </w:rPr>
              <w:t>（E</w:t>
            </w:r>
            <w:r>
              <w:rPr>
                <w:rFonts w:hint="default" w:ascii="Times New Roman" w:hAnsi="Times New Roman" w:eastAsia="宋体" w:cs="Times New Roman"/>
                <w:bCs/>
                <w:color w:val="auto"/>
                <w:sz w:val="21"/>
                <w:szCs w:val="21"/>
                <w:highlight w:val="none"/>
                <w:lang w:val="en-US" w:eastAsia="zh-CN"/>
              </w:rPr>
              <w:t>95</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41</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33</w:t>
            </w:r>
            <w:r>
              <w:rPr>
                <w:rFonts w:hint="default" w:ascii="Times New Roman" w:hAnsi="Times New Roman" w:eastAsia="宋体" w:cs="Times New Roman"/>
                <w:bCs/>
                <w:color w:val="auto"/>
                <w:sz w:val="21"/>
                <w:szCs w:val="21"/>
                <w:highlight w:val="none"/>
              </w:rPr>
              <w:t xml:space="preserve">″，N </w:t>
            </w:r>
            <w:r>
              <w:rPr>
                <w:rFonts w:hint="default" w:ascii="Times New Roman" w:hAnsi="Times New Roman" w:cs="Times New Roman"/>
                <w:bCs/>
                <w:color w:val="auto"/>
                <w:sz w:val="21"/>
                <w:szCs w:val="21"/>
                <w:highlight w:val="none"/>
                <w:lang w:val="en-US" w:eastAsia="zh-CN"/>
              </w:rPr>
              <w:t>29</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53</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rPr>
              <w:t>″）</w:t>
            </w:r>
          </w:p>
        </w:tc>
        <w:tc>
          <w:tcPr>
            <w:tcW w:w="540" w:type="pct"/>
            <w:tcBorders>
              <w:right w:val="single" w:color="auto" w:sz="4" w:space="0"/>
            </w:tcBorders>
            <w:noWrap w:val="0"/>
            <w:vAlign w:val="center"/>
          </w:tcPr>
          <w:p w14:paraId="6B24B671">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6.04.27-</w:t>
            </w:r>
          </w:p>
          <w:p w14:paraId="1A451E81">
            <w:pPr>
              <w:pStyle w:val="28"/>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2026.04.28</w:t>
            </w:r>
          </w:p>
        </w:tc>
        <w:tc>
          <w:tcPr>
            <w:tcW w:w="540" w:type="pct"/>
            <w:tcBorders>
              <w:right w:val="single" w:color="auto" w:sz="4" w:space="0"/>
            </w:tcBorders>
            <w:noWrap w:val="0"/>
            <w:vAlign w:val="center"/>
          </w:tcPr>
          <w:p w14:paraId="0E714D81">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5.7-8.2</w:t>
            </w:r>
          </w:p>
        </w:tc>
        <w:tc>
          <w:tcPr>
            <w:tcW w:w="540" w:type="pct"/>
            <w:tcBorders>
              <w:right w:val="single" w:color="auto" w:sz="4" w:space="0"/>
            </w:tcBorders>
            <w:noWrap w:val="0"/>
            <w:vAlign w:val="center"/>
          </w:tcPr>
          <w:p w14:paraId="44834554">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61.3</w:t>
            </w:r>
          </w:p>
        </w:tc>
        <w:tc>
          <w:tcPr>
            <w:tcW w:w="540" w:type="pct"/>
            <w:tcBorders>
              <w:right w:val="single" w:color="auto" w:sz="4" w:space="0"/>
            </w:tcBorders>
            <w:noWrap w:val="0"/>
            <w:vAlign w:val="center"/>
          </w:tcPr>
          <w:p w14:paraId="0302E756">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42-49</w:t>
            </w:r>
          </w:p>
        </w:tc>
        <w:tc>
          <w:tcPr>
            <w:tcW w:w="540" w:type="pct"/>
            <w:tcBorders>
              <w:right w:val="single" w:color="auto" w:sz="4" w:space="0"/>
            </w:tcBorders>
            <w:noWrap w:val="0"/>
            <w:vAlign w:val="center"/>
          </w:tcPr>
          <w:p w14:paraId="5A3DF30F">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西风</w:t>
            </w:r>
          </w:p>
        </w:tc>
        <w:tc>
          <w:tcPr>
            <w:tcW w:w="540" w:type="pct"/>
            <w:tcBorders>
              <w:right w:val="single" w:color="auto" w:sz="4" w:space="0"/>
            </w:tcBorders>
            <w:noWrap w:val="0"/>
            <w:vAlign w:val="center"/>
          </w:tcPr>
          <w:p w14:paraId="60D9DD95">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1.0-1.1</w:t>
            </w:r>
          </w:p>
        </w:tc>
        <w:tc>
          <w:tcPr>
            <w:tcW w:w="541" w:type="pct"/>
            <w:tcBorders>
              <w:right w:val="single" w:color="auto" w:sz="4" w:space="0"/>
            </w:tcBorders>
            <w:noWrap w:val="0"/>
            <w:vAlign w:val="center"/>
          </w:tcPr>
          <w:p w14:paraId="200A3EC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晴</w:t>
            </w:r>
          </w:p>
        </w:tc>
        <w:tc>
          <w:tcPr>
            <w:tcW w:w="530" w:type="pct"/>
            <w:vMerge w:val="restart"/>
            <w:tcBorders>
              <w:right w:val="single" w:color="auto" w:sz="4" w:space="0"/>
            </w:tcBorders>
            <w:noWrap w:val="0"/>
            <w:vAlign w:val="center"/>
          </w:tcPr>
          <w:p w14:paraId="016FFBBC">
            <w:pPr>
              <w:pStyle w:val="28"/>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西邓</w:t>
            </w:r>
          </w:p>
          <w:p w14:paraId="5E6A446D">
            <w:pPr>
              <w:pStyle w:val="28"/>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赤桑</w:t>
            </w:r>
          </w:p>
        </w:tc>
      </w:tr>
      <w:tr w14:paraId="5234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83" w:type="pct"/>
            <w:vMerge w:val="continue"/>
            <w:tcBorders>
              <w:right w:val="single" w:color="auto" w:sz="4" w:space="0"/>
            </w:tcBorders>
            <w:noWrap w:val="0"/>
            <w:vAlign w:val="center"/>
          </w:tcPr>
          <w:p w14:paraId="0E49C3A0">
            <w:pPr>
              <w:pStyle w:val="28"/>
              <w:jc w:val="center"/>
              <w:rPr>
                <w:rFonts w:hint="default" w:ascii="Times New Roman" w:hAnsi="Times New Roman" w:eastAsia="宋体" w:cs="Times New Roman"/>
                <w:color w:val="auto"/>
                <w:highlight w:val="none"/>
              </w:rPr>
            </w:pPr>
          </w:p>
        </w:tc>
        <w:tc>
          <w:tcPr>
            <w:tcW w:w="540" w:type="pct"/>
            <w:tcBorders>
              <w:right w:val="single" w:color="auto" w:sz="4" w:space="0"/>
            </w:tcBorders>
            <w:noWrap w:val="0"/>
            <w:vAlign w:val="center"/>
          </w:tcPr>
          <w:p w14:paraId="7C5F74E4">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6.04.28-</w:t>
            </w:r>
          </w:p>
          <w:p w14:paraId="0EDC9D22">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2026.04.29</w:t>
            </w:r>
          </w:p>
        </w:tc>
        <w:tc>
          <w:tcPr>
            <w:tcW w:w="540" w:type="pct"/>
            <w:tcBorders>
              <w:right w:val="single" w:color="auto" w:sz="4" w:space="0"/>
            </w:tcBorders>
            <w:noWrap w:val="0"/>
            <w:vAlign w:val="center"/>
          </w:tcPr>
          <w:p w14:paraId="21DFCFE8">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6.2-9.1</w:t>
            </w:r>
          </w:p>
        </w:tc>
        <w:tc>
          <w:tcPr>
            <w:tcW w:w="540" w:type="pct"/>
            <w:tcBorders>
              <w:right w:val="single" w:color="auto" w:sz="4" w:space="0"/>
            </w:tcBorders>
            <w:noWrap w:val="0"/>
            <w:vAlign w:val="center"/>
          </w:tcPr>
          <w:p w14:paraId="1745CDC6">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61.2-61.3</w:t>
            </w:r>
          </w:p>
        </w:tc>
        <w:tc>
          <w:tcPr>
            <w:tcW w:w="540" w:type="pct"/>
            <w:tcBorders>
              <w:right w:val="single" w:color="auto" w:sz="4" w:space="0"/>
            </w:tcBorders>
            <w:noWrap w:val="0"/>
            <w:vAlign w:val="center"/>
          </w:tcPr>
          <w:p w14:paraId="272DC206">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39-47</w:t>
            </w:r>
          </w:p>
        </w:tc>
        <w:tc>
          <w:tcPr>
            <w:tcW w:w="540" w:type="pct"/>
            <w:tcBorders>
              <w:right w:val="single" w:color="auto" w:sz="4" w:space="0"/>
            </w:tcBorders>
            <w:noWrap w:val="0"/>
            <w:vAlign w:val="center"/>
          </w:tcPr>
          <w:p w14:paraId="2958D690">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南风</w:t>
            </w:r>
          </w:p>
        </w:tc>
        <w:tc>
          <w:tcPr>
            <w:tcW w:w="540" w:type="pct"/>
            <w:tcBorders>
              <w:right w:val="single" w:color="auto" w:sz="4" w:space="0"/>
            </w:tcBorders>
            <w:noWrap w:val="0"/>
            <w:vAlign w:val="center"/>
          </w:tcPr>
          <w:p w14:paraId="241C826F">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1.0-1.1</w:t>
            </w:r>
          </w:p>
        </w:tc>
        <w:tc>
          <w:tcPr>
            <w:tcW w:w="541" w:type="pct"/>
            <w:tcBorders>
              <w:right w:val="single" w:color="auto" w:sz="4" w:space="0"/>
            </w:tcBorders>
            <w:noWrap w:val="0"/>
            <w:vAlign w:val="center"/>
          </w:tcPr>
          <w:p w14:paraId="5C1DDCA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晴</w:t>
            </w:r>
          </w:p>
        </w:tc>
        <w:tc>
          <w:tcPr>
            <w:tcW w:w="530" w:type="pct"/>
            <w:vMerge w:val="continue"/>
            <w:tcBorders>
              <w:right w:val="single" w:color="auto" w:sz="4" w:space="0"/>
            </w:tcBorders>
            <w:noWrap w:val="0"/>
            <w:vAlign w:val="center"/>
          </w:tcPr>
          <w:p w14:paraId="2926CF09">
            <w:pPr>
              <w:spacing w:line="0" w:lineRule="atLeast"/>
              <w:jc w:val="center"/>
              <w:rPr>
                <w:rFonts w:hint="default" w:ascii="Times New Roman" w:hAnsi="Times New Roman" w:eastAsia="宋体" w:cs="Times New Roman"/>
                <w:color w:val="auto"/>
                <w:sz w:val="21"/>
                <w:szCs w:val="21"/>
                <w:highlight w:val="none"/>
                <w:lang w:val="en-US" w:eastAsia="zh-CN"/>
              </w:rPr>
            </w:pPr>
          </w:p>
        </w:tc>
      </w:tr>
      <w:tr w14:paraId="3C87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83" w:type="pct"/>
            <w:vMerge w:val="continue"/>
            <w:tcBorders>
              <w:right w:val="single" w:color="auto" w:sz="4" w:space="0"/>
            </w:tcBorders>
            <w:noWrap w:val="0"/>
            <w:vAlign w:val="center"/>
          </w:tcPr>
          <w:p w14:paraId="3A759853">
            <w:pPr>
              <w:pStyle w:val="28"/>
              <w:jc w:val="center"/>
              <w:rPr>
                <w:rFonts w:hint="default" w:ascii="Times New Roman" w:hAnsi="Times New Roman" w:eastAsia="宋体" w:cs="Times New Roman"/>
                <w:color w:val="auto"/>
                <w:highlight w:val="none"/>
              </w:rPr>
            </w:pPr>
          </w:p>
        </w:tc>
        <w:tc>
          <w:tcPr>
            <w:tcW w:w="540" w:type="pct"/>
            <w:tcBorders>
              <w:right w:val="single" w:color="auto" w:sz="4" w:space="0"/>
            </w:tcBorders>
            <w:noWrap w:val="0"/>
            <w:vAlign w:val="center"/>
          </w:tcPr>
          <w:p w14:paraId="1AEFB15E">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6.04.29-</w:t>
            </w:r>
          </w:p>
          <w:p w14:paraId="78808836">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2026.04.30</w:t>
            </w:r>
          </w:p>
        </w:tc>
        <w:tc>
          <w:tcPr>
            <w:tcW w:w="540" w:type="pct"/>
            <w:tcBorders>
              <w:right w:val="single" w:color="auto" w:sz="4" w:space="0"/>
            </w:tcBorders>
            <w:noWrap w:val="0"/>
            <w:vAlign w:val="center"/>
          </w:tcPr>
          <w:p w14:paraId="7D6C2D2C">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6.0-8.5</w:t>
            </w:r>
          </w:p>
        </w:tc>
        <w:tc>
          <w:tcPr>
            <w:tcW w:w="540" w:type="pct"/>
            <w:tcBorders>
              <w:right w:val="single" w:color="auto" w:sz="4" w:space="0"/>
            </w:tcBorders>
            <w:noWrap w:val="0"/>
            <w:vAlign w:val="center"/>
          </w:tcPr>
          <w:p w14:paraId="0E6B4F09">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61.3-61.4</w:t>
            </w:r>
          </w:p>
        </w:tc>
        <w:tc>
          <w:tcPr>
            <w:tcW w:w="540" w:type="pct"/>
            <w:tcBorders>
              <w:right w:val="single" w:color="auto" w:sz="4" w:space="0"/>
            </w:tcBorders>
            <w:noWrap w:val="0"/>
            <w:vAlign w:val="center"/>
          </w:tcPr>
          <w:p w14:paraId="19AB25C5">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42-52</w:t>
            </w:r>
          </w:p>
        </w:tc>
        <w:tc>
          <w:tcPr>
            <w:tcW w:w="540" w:type="pct"/>
            <w:tcBorders>
              <w:right w:val="single" w:color="auto" w:sz="4" w:space="0"/>
            </w:tcBorders>
            <w:noWrap w:val="0"/>
            <w:vAlign w:val="center"/>
          </w:tcPr>
          <w:p w14:paraId="006129AE">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北风</w:t>
            </w:r>
          </w:p>
        </w:tc>
        <w:tc>
          <w:tcPr>
            <w:tcW w:w="540" w:type="pct"/>
            <w:tcBorders>
              <w:right w:val="single" w:color="auto" w:sz="4" w:space="0"/>
            </w:tcBorders>
            <w:noWrap w:val="0"/>
            <w:vAlign w:val="center"/>
          </w:tcPr>
          <w:p w14:paraId="2D094F12">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541" w:type="pct"/>
            <w:tcBorders>
              <w:right w:val="single" w:color="auto" w:sz="4" w:space="0"/>
            </w:tcBorders>
            <w:noWrap w:val="0"/>
            <w:vAlign w:val="center"/>
          </w:tcPr>
          <w:p w14:paraId="52F7790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晴</w:t>
            </w:r>
          </w:p>
        </w:tc>
        <w:tc>
          <w:tcPr>
            <w:tcW w:w="530" w:type="pct"/>
            <w:vMerge w:val="continue"/>
            <w:tcBorders>
              <w:right w:val="single" w:color="auto" w:sz="4" w:space="0"/>
            </w:tcBorders>
            <w:noWrap w:val="0"/>
            <w:vAlign w:val="center"/>
          </w:tcPr>
          <w:p w14:paraId="70110226">
            <w:pPr>
              <w:spacing w:line="0" w:lineRule="atLeast"/>
              <w:jc w:val="center"/>
              <w:rPr>
                <w:rFonts w:hint="default" w:ascii="Times New Roman" w:hAnsi="Times New Roman" w:eastAsia="宋体" w:cs="Times New Roman"/>
                <w:color w:val="auto"/>
                <w:sz w:val="21"/>
                <w:szCs w:val="21"/>
                <w:highlight w:val="none"/>
                <w:lang w:val="en-US" w:eastAsia="zh-CN"/>
              </w:rPr>
            </w:pPr>
          </w:p>
        </w:tc>
      </w:tr>
      <w:tr w14:paraId="4889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83" w:type="pct"/>
            <w:vMerge w:val="continue"/>
            <w:tcBorders>
              <w:right w:val="single" w:color="auto" w:sz="4" w:space="0"/>
            </w:tcBorders>
            <w:noWrap w:val="0"/>
            <w:vAlign w:val="center"/>
          </w:tcPr>
          <w:p w14:paraId="2BDC2302">
            <w:pPr>
              <w:pStyle w:val="28"/>
              <w:jc w:val="center"/>
              <w:rPr>
                <w:rFonts w:hint="default" w:ascii="Times New Roman" w:hAnsi="Times New Roman" w:eastAsia="宋体" w:cs="Times New Roman"/>
                <w:color w:val="auto"/>
                <w:highlight w:val="none"/>
              </w:rPr>
            </w:pPr>
          </w:p>
        </w:tc>
        <w:tc>
          <w:tcPr>
            <w:tcW w:w="540" w:type="pct"/>
            <w:tcBorders>
              <w:right w:val="single" w:color="auto" w:sz="4" w:space="0"/>
            </w:tcBorders>
            <w:noWrap w:val="0"/>
            <w:vAlign w:val="center"/>
          </w:tcPr>
          <w:p w14:paraId="68A6746C">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6.04.30-</w:t>
            </w:r>
          </w:p>
          <w:p w14:paraId="02C0C730">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2026.05.01</w:t>
            </w:r>
          </w:p>
        </w:tc>
        <w:tc>
          <w:tcPr>
            <w:tcW w:w="540" w:type="pct"/>
            <w:tcBorders>
              <w:right w:val="single" w:color="auto" w:sz="4" w:space="0"/>
            </w:tcBorders>
            <w:noWrap w:val="0"/>
            <w:vAlign w:val="center"/>
          </w:tcPr>
          <w:p w14:paraId="1D263CE6">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6.8-8.1</w:t>
            </w:r>
          </w:p>
        </w:tc>
        <w:tc>
          <w:tcPr>
            <w:tcW w:w="540" w:type="pct"/>
            <w:tcBorders>
              <w:right w:val="single" w:color="auto" w:sz="4" w:space="0"/>
            </w:tcBorders>
            <w:noWrap w:val="0"/>
            <w:vAlign w:val="center"/>
          </w:tcPr>
          <w:p w14:paraId="1490E422">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61.4</w:t>
            </w:r>
          </w:p>
        </w:tc>
        <w:tc>
          <w:tcPr>
            <w:tcW w:w="540" w:type="pct"/>
            <w:tcBorders>
              <w:right w:val="single" w:color="auto" w:sz="4" w:space="0"/>
            </w:tcBorders>
            <w:noWrap w:val="0"/>
            <w:vAlign w:val="center"/>
          </w:tcPr>
          <w:p w14:paraId="7959731B">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40-52</w:t>
            </w:r>
          </w:p>
        </w:tc>
        <w:tc>
          <w:tcPr>
            <w:tcW w:w="540" w:type="pct"/>
            <w:tcBorders>
              <w:right w:val="single" w:color="auto" w:sz="4" w:space="0"/>
            </w:tcBorders>
            <w:noWrap w:val="0"/>
            <w:vAlign w:val="center"/>
          </w:tcPr>
          <w:p w14:paraId="103AE6AE">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北风</w:t>
            </w:r>
          </w:p>
        </w:tc>
        <w:tc>
          <w:tcPr>
            <w:tcW w:w="540" w:type="pct"/>
            <w:tcBorders>
              <w:right w:val="single" w:color="auto" w:sz="4" w:space="0"/>
            </w:tcBorders>
            <w:noWrap w:val="0"/>
            <w:vAlign w:val="center"/>
          </w:tcPr>
          <w:p w14:paraId="04014C52">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1.0-1.1</w:t>
            </w:r>
          </w:p>
        </w:tc>
        <w:tc>
          <w:tcPr>
            <w:tcW w:w="541" w:type="pct"/>
            <w:tcBorders>
              <w:right w:val="single" w:color="auto" w:sz="4" w:space="0"/>
            </w:tcBorders>
            <w:noWrap w:val="0"/>
            <w:vAlign w:val="center"/>
          </w:tcPr>
          <w:p w14:paraId="2449E96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晴</w:t>
            </w:r>
          </w:p>
        </w:tc>
        <w:tc>
          <w:tcPr>
            <w:tcW w:w="530" w:type="pct"/>
            <w:vMerge w:val="continue"/>
            <w:tcBorders>
              <w:right w:val="single" w:color="auto" w:sz="4" w:space="0"/>
            </w:tcBorders>
            <w:noWrap w:val="0"/>
            <w:vAlign w:val="center"/>
          </w:tcPr>
          <w:p w14:paraId="754D6625">
            <w:pPr>
              <w:spacing w:line="0" w:lineRule="atLeast"/>
              <w:jc w:val="center"/>
              <w:rPr>
                <w:rFonts w:hint="default" w:ascii="Times New Roman" w:hAnsi="Times New Roman" w:eastAsia="宋体" w:cs="Times New Roman"/>
                <w:color w:val="auto"/>
                <w:sz w:val="21"/>
                <w:szCs w:val="21"/>
                <w:highlight w:val="none"/>
                <w:lang w:val="en-US" w:eastAsia="zh-CN"/>
              </w:rPr>
            </w:pPr>
          </w:p>
        </w:tc>
      </w:tr>
      <w:tr w14:paraId="6EA6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83" w:type="pct"/>
            <w:vMerge w:val="continue"/>
            <w:tcBorders>
              <w:right w:val="single" w:color="auto" w:sz="4" w:space="0"/>
            </w:tcBorders>
            <w:noWrap w:val="0"/>
            <w:vAlign w:val="center"/>
          </w:tcPr>
          <w:p w14:paraId="402DFD55">
            <w:pPr>
              <w:pStyle w:val="28"/>
              <w:jc w:val="center"/>
              <w:rPr>
                <w:rFonts w:hint="default" w:ascii="Times New Roman" w:hAnsi="Times New Roman" w:eastAsia="宋体" w:cs="Times New Roman"/>
                <w:color w:val="auto"/>
                <w:highlight w:val="none"/>
              </w:rPr>
            </w:pPr>
          </w:p>
        </w:tc>
        <w:tc>
          <w:tcPr>
            <w:tcW w:w="540" w:type="pct"/>
            <w:tcBorders>
              <w:right w:val="single" w:color="auto" w:sz="4" w:space="0"/>
            </w:tcBorders>
            <w:noWrap w:val="0"/>
            <w:vAlign w:val="center"/>
          </w:tcPr>
          <w:p w14:paraId="11A22017">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6.05.01-</w:t>
            </w:r>
          </w:p>
          <w:p w14:paraId="04792B5B">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2026.05.02</w:t>
            </w:r>
          </w:p>
        </w:tc>
        <w:tc>
          <w:tcPr>
            <w:tcW w:w="540" w:type="pct"/>
            <w:tcBorders>
              <w:right w:val="single" w:color="auto" w:sz="4" w:space="0"/>
            </w:tcBorders>
            <w:noWrap w:val="0"/>
            <w:vAlign w:val="center"/>
          </w:tcPr>
          <w:p w14:paraId="15813841">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6.6-7.9</w:t>
            </w:r>
          </w:p>
        </w:tc>
        <w:tc>
          <w:tcPr>
            <w:tcW w:w="540" w:type="pct"/>
            <w:tcBorders>
              <w:right w:val="single" w:color="auto" w:sz="4" w:space="0"/>
            </w:tcBorders>
            <w:noWrap w:val="0"/>
            <w:vAlign w:val="center"/>
          </w:tcPr>
          <w:p w14:paraId="7B8F33F0">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61.4</w:t>
            </w:r>
          </w:p>
        </w:tc>
        <w:tc>
          <w:tcPr>
            <w:tcW w:w="540" w:type="pct"/>
            <w:tcBorders>
              <w:right w:val="single" w:color="auto" w:sz="4" w:space="0"/>
            </w:tcBorders>
            <w:noWrap w:val="0"/>
            <w:vAlign w:val="center"/>
          </w:tcPr>
          <w:p w14:paraId="629B0B34">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41-52</w:t>
            </w:r>
          </w:p>
        </w:tc>
        <w:tc>
          <w:tcPr>
            <w:tcW w:w="540" w:type="pct"/>
            <w:tcBorders>
              <w:right w:val="single" w:color="auto" w:sz="4" w:space="0"/>
            </w:tcBorders>
            <w:noWrap w:val="0"/>
            <w:vAlign w:val="center"/>
          </w:tcPr>
          <w:p w14:paraId="0859734B">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北风</w:t>
            </w:r>
          </w:p>
        </w:tc>
        <w:tc>
          <w:tcPr>
            <w:tcW w:w="540" w:type="pct"/>
            <w:tcBorders>
              <w:right w:val="single" w:color="auto" w:sz="4" w:space="0"/>
            </w:tcBorders>
            <w:noWrap w:val="0"/>
            <w:vAlign w:val="center"/>
          </w:tcPr>
          <w:p w14:paraId="07C00E47">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1.0-1.1</w:t>
            </w:r>
          </w:p>
        </w:tc>
        <w:tc>
          <w:tcPr>
            <w:tcW w:w="541" w:type="pct"/>
            <w:tcBorders>
              <w:right w:val="single" w:color="auto" w:sz="4" w:space="0"/>
            </w:tcBorders>
            <w:noWrap w:val="0"/>
            <w:vAlign w:val="center"/>
          </w:tcPr>
          <w:p w14:paraId="6F100AC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晴</w:t>
            </w:r>
          </w:p>
        </w:tc>
        <w:tc>
          <w:tcPr>
            <w:tcW w:w="530" w:type="pct"/>
            <w:vMerge w:val="continue"/>
            <w:tcBorders>
              <w:right w:val="single" w:color="auto" w:sz="4" w:space="0"/>
            </w:tcBorders>
            <w:noWrap w:val="0"/>
            <w:vAlign w:val="center"/>
          </w:tcPr>
          <w:p w14:paraId="4B799C2E">
            <w:pPr>
              <w:spacing w:line="0" w:lineRule="atLeast"/>
              <w:jc w:val="center"/>
              <w:rPr>
                <w:rFonts w:hint="default" w:ascii="Times New Roman" w:hAnsi="Times New Roman" w:eastAsia="宋体" w:cs="Times New Roman"/>
                <w:color w:val="auto"/>
                <w:sz w:val="21"/>
                <w:szCs w:val="21"/>
                <w:highlight w:val="none"/>
                <w:lang w:val="en-US" w:eastAsia="zh-CN"/>
              </w:rPr>
            </w:pPr>
          </w:p>
        </w:tc>
      </w:tr>
      <w:tr w14:paraId="5D0E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83" w:type="pct"/>
            <w:vMerge w:val="continue"/>
            <w:tcBorders>
              <w:right w:val="single" w:color="auto" w:sz="4" w:space="0"/>
            </w:tcBorders>
            <w:noWrap w:val="0"/>
            <w:vAlign w:val="center"/>
          </w:tcPr>
          <w:p w14:paraId="125EF19A">
            <w:pPr>
              <w:pStyle w:val="28"/>
              <w:jc w:val="center"/>
              <w:rPr>
                <w:rFonts w:hint="default" w:ascii="Times New Roman" w:hAnsi="Times New Roman" w:eastAsia="宋体" w:cs="Times New Roman"/>
                <w:color w:val="auto"/>
                <w:highlight w:val="none"/>
              </w:rPr>
            </w:pPr>
          </w:p>
        </w:tc>
        <w:tc>
          <w:tcPr>
            <w:tcW w:w="540" w:type="pct"/>
            <w:tcBorders>
              <w:right w:val="single" w:color="auto" w:sz="4" w:space="0"/>
            </w:tcBorders>
            <w:noWrap w:val="0"/>
            <w:vAlign w:val="center"/>
          </w:tcPr>
          <w:p w14:paraId="324E1FD0">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6.05.02-</w:t>
            </w:r>
          </w:p>
          <w:p w14:paraId="6438EE0B">
            <w:pPr>
              <w:pStyle w:val="28"/>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2026.05.03</w:t>
            </w:r>
          </w:p>
        </w:tc>
        <w:tc>
          <w:tcPr>
            <w:tcW w:w="540" w:type="pct"/>
            <w:tcBorders>
              <w:right w:val="single" w:color="auto" w:sz="4" w:space="0"/>
            </w:tcBorders>
            <w:noWrap w:val="0"/>
            <w:vAlign w:val="center"/>
          </w:tcPr>
          <w:p w14:paraId="76962F64">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6.8-7.9</w:t>
            </w:r>
          </w:p>
        </w:tc>
        <w:tc>
          <w:tcPr>
            <w:tcW w:w="540" w:type="pct"/>
            <w:tcBorders>
              <w:right w:val="single" w:color="auto" w:sz="4" w:space="0"/>
            </w:tcBorders>
            <w:noWrap w:val="0"/>
            <w:vAlign w:val="center"/>
          </w:tcPr>
          <w:p w14:paraId="757804B8">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61.4</w:t>
            </w:r>
          </w:p>
        </w:tc>
        <w:tc>
          <w:tcPr>
            <w:tcW w:w="540" w:type="pct"/>
            <w:tcBorders>
              <w:right w:val="single" w:color="auto" w:sz="4" w:space="0"/>
            </w:tcBorders>
            <w:noWrap w:val="0"/>
            <w:vAlign w:val="center"/>
          </w:tcPr>
          <w:p w14:paraId="00F8B907">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42-50</w:t>
            </w:r>
          </w:p>
        </w:tc>
        <w:tc>
          <w:tcPr>
            <w:tcW w:w="540" w:type="pct"/>
            <w:tcBorders>
              <w:right w:val="single" w:color="auto" w:sz="4" w:space="0"/>
            </w:tcBorders>
            <w:noWrap w:val="0"/>
            <w:vAlign w:val="center"/>
          </w:tcPr>
          <w:p w14:paraId="5E9FC114">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南风</w:t>
            </w:r>
          </w:p>
        </w:tc>
        <w:tc>
          <w:tcPr>
            <w:tcW w:w="540" w:type="pct"/>
            <w:tcBorders>
              <w:right w:val="single" w:color="auto" w:sz="4" w:space="0"/>
            </w:tcBorders>
            <w:noWrap w:val="0"/>
            <w:vAlign w:val="center"/>
          </w:tcPr>
          <w:p w14:paraId="07F8ACBC">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1.0-1.2</w:t>
            </w:r>
          </w:p>
        </w:tc>
        <w:tc>
          <w:tcPr>
            <w:tcW w:w="541" w:type="pct"/>
            <w:tcBorders>
              <w:right w:val="single" w:color="auto" w:sz="4" w:space="0"/>
            </w:tcBorders>
            <w:noWrap w:val="0"/>
            <w:vAlign w:val="center"/>
          </w:tcPr>
          <w:p w14:paraId="7F8C82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晴</w:t>
            </w:r>
          </w:p>
        </w:tc>
        <w:tc>
          <w:tcPr>
            <w:tcW w:w="530" w:type="pct"/>
            <w:vMerge w:val="continue"/>
            <w:tcBorders>
              <w:right w:val="single" w:color="auto" w:sz="4" w:space="0"/>
            </w:tcBorders>
            <w:noWrap w:val="0"/>
            <w:vAlign w:val="center"/>
          </w:tcPr>
          <w:p w14:paraId="2A787A05">
            <w:pPr>
              <w:spacing w:line="0" w:lineRule="atLeast"/>
              <w:jc w:val="center"/>
              <w:rPr>
                <w:rFonts w:hint="default" w:ascii="Times New Roman" w:hAnsi="Times New Roman" w:eastAsia="宋体" w:cs="Times New Roman"/>
                <w:color w:val="auto"/>
                <w:sz w:val="21"/>
                <w:szCs w:val="21"/>
                <w:highlight w:val="none"/>
                <w:lang w:val="en-US" w:eastAsia="zh-CN"/>
              </w:rPr>
            </w:pPr>
          </w:p>
        </w:tc>
      </w:tr>
      <w:tr w14:paraId="20CA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83" w:type="pct"/>
            <w:vMerge w:val="continue"/>
            <w:tcBorders>
              <w:right w:val="single" w:color="auto" w:sz="4" w:space="0"/>
            </w:tcBorders>
            <w:noWrap w:val="0"/>
            <w:vAlign w:val="center"/>
          </w:tcPr>
          <w:p w14:paraId="26646624">
            <w:pPr>
              <w:pStyle w:val="28"/>
              <w:jc w:val="center"/>
              <w:rPr>
                <w:rFonts w:hint="default" w:ascii="Times New Roman" w:hAnsi="Times New Roman" w:eastAsia="宋体" w:cs="Times New Roman"/>
                <w:color w:val="auto"/>
                <w:highlight w:val="none"/>
              </w:rPr>
            </w:pPr>
          </w:p>
        </w:tc>
        <w:tc>
          <w:tcPr>
            <w:tcW w:w="540" w:type="pct"/>
            <w:tcBorders>
              <w:right w:val="single" w:color="auto" w:sz="4" w:space="0"/>
            </w:tcBorders>
            <w:noWrap w:val="0"/>
            <w:vAlign w:val="center"/>
          </w:tcPr>
          <w:p w14:paraId="6BFF73B2">
            <w:pPr>
              <w:pStyle w:val="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6.05.03-</w:t>
            </w:r>
          </w:p>
          <w:p w14:paraId="7EB11D56">
            <w:pPr>
              <w:pStyle w:val="28"/>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2026.05.04</w:t>
            </w:r>
          </w:p>
        </w:tc>
        <w:tc>
          <w:tcPr>
            <w:tcW w:w="540" w:type="pct"/>
            <w:tcBorders>
              <w:right w:val="single" w:color="auto" w:sz="4" w:space="0"/>
            </w:tcBorders>
            <w:noWrap w:val="0"/>
            <w:vAlign w:val="center"/>
          </w:tcPr>
          <w:p w14:paraId="4B393CD6">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7.0-8.2</w:t>
            </w:r>
          </w:p>
        </w:tc>
        <w:tc>
          <w:tcPr>
            <w:tcW w:w="540" w:type="pct"/>
            <w:tcBorders>
              <w:right w:val="single" w:color="auto" w:sz="4" w:space="0"/>
            </w:tcBorders>
            <w:noWrap w:val="0"/>
            <w:vAlign w:val="center"/>
          </w:tcPr>
          <w:p w14:paraId="60E7B983">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61.4</w:t>
            </w:r>
          </w:p>
        </w:tc>
        <w:tc>
          <w:tcPr>
            <w:tcW w:w="540" w:type="pct"/>
            <w:tcBorders>
              <w:right w:val="single" w:color="auto" w:sz="4" w:space="0"/>
            </w:tcBorders>
            <w:noWrap w:val="0"/>
            <w:vAlign w:val="center"/>
          </w:tcPr>
          <w:p w14:paraId="2BCAE42C">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38-48</w:t>
            </w:r>
          </w:p>
        </w:tc>
        <w:tc>
          <w:tcPr>
            <w:tcW w:w="540" w:type="pct"/>
            <w:tcBorders>
              <w:right w:val="single" w:color="auto" w:sz="4" w:space="0"/>
            </w:tcBorders>
            <w:noWrap w:val="0"/>
            <w:vAlign w:val="center"/>
          </w:tcPr>
          <w:p w14:paraId="4414D9C5">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西风</w:t>
            </w:r>
          </w:p>
        </w:tc>
        <w:tc>
          <w:tcPr>
            <w:tcW w:w="540" w:type="pct"/>
            <w:tcBorders>
              <w:right w:val="single" w:color="auto" w:sz="4" w:space="0"/>
            </w:tcBorders>
            <w:noWrap w:val="0"/>
            <w:vAlign w:val="center"/>
          </w:tcPr>
          <w:p w14:paraId="42C438F7">
            <w:pPr>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1.0-1.2</w:t>
            </w:r>
          </w:p>
        </w:tc>
        <w:tc>
          <w:tcPr>
            <w:tcW w:w="541" w:type="pct"/>
            <w:tcBorders>
              <w:right w:val="single" w:color="auto" w:sz="4" w:space="0"/>
            </w:tcBorders>
            <w:noWrap w:val="0"/>
            <w:vAlign w:val="center"/>
          </w:tcPr>
          <w:p w14:paraId="6C8597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晴</w:t>
            </w:r>
          </w:p>
        </w:tc>
        <w:tc>
          <w:tcPr>
            <w:tcW w:w="530" w:type="pct"/>
            <w:vMerge w:val="continue"/>
            <w:tcBorders>
              <w:right w:val="single" w:color="auto" w:sz="4" w:space="0"/>
            </w:tcBorders>
            <w:noWrap w:val="0"/>
            <w:vAlign w:val="center"/>
          </w:tcPr>
          <w:p w14:paraId="6E180623">
            <w:pPr>
              <w:spacing w:line="0" w:lineRule="atLeast"/>
              <w:jc w:val="center"/>
              <w:rPr>
                <w:rFonts w:hint="default" w:ascii="Times New Roman" w:hAnsi="Times New Roman" w:eastAsia="宋体" w:cs="Times New Roman"/>
                <w:color w:val="auto"/>
                <w:sz w:val="21"/>
                <w:szCs w:val="21"/>
                <w:highlight w:val="none"/>
                <w:lang w:val="en-US" w:eastAsia="zh-CN"/>
              </w:rPr>
            </w:pPr>
          </w:p>
        </w:tc>
      </w:tr>
    </w:tbl>
    <w:p w14:paraId="28603E98">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p>
    <w:p w14:paraId="74AC2DEF">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（6）评价方法</w:t>
      </w:r>
    </w:p>
    <w:p w14:paraId="0C6B3079">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按照《环境影响评价技术导则大气环境》（HJ 2.2-2018），对于补充监测数据的现状评价内容，分别对各监测点位不同污染物的短期浓度进行环境质量现状评价。对于超标的污染物，计算其超标倍数和超标率。</w:t>
      </w:r>
    </w:p>
    <w:p w14:paraId="072F552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环境空气质量现状评价采用占标率法，当占标率大于100%时，表示环境空气超标。</w:t>
      </w:r>
    </w:p>
    <w:p w14:paraId="3DE329D7">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（7）监测结果及达标情况分析</w:t>
      </w:r>
    </w:p>
    <w:p w14:paraId="4EC8E111">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评价范围内基本污染物环境质量现状及达标情况见表3.4-5。</w:t>
      </w:r>
    </w:p>
    <w:p w14:paraId="0B6F195A">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表3.4-5  本规划评价范围内基本污染物环境质量现状评价表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51"/>
        <w:gridCol w:w="1277"/>
        <w:gridCol w:w="1134"/>
        <w:gridCol w:w="1560"/>
        <w:gridCol w:w="1134"/>
        <w:gridCol w:w="914"/>
        <w:gridCol w:w="1062"/>
      </w:tblGrid>
      <w:tr w14:paraId="526B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7" w:type="pct"/>
            <w:shd w:val="clear" w:color="auto" w:fill="auto"/>
            <w:vAlign w:val="center"/>
          </w:tcPr>
          <w:p w14:paraId="402C52CF">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w:t>
            </w:r>
          </w:p>
          <w:p w14:paraId="7F71A31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点位</w:t>
            </w:r>
          </w:p>
        </w:tc>
        <w:tc>
          <w:tcPr>
            <w:tcW w:w="464" w:type="pct"/>
            <w:shd w:val="clear" w:color="auto" w:fill="auto"/>
            <w:vAlign w:val="center"/>
          </w:tcPr>
          <w:p w14:paraId="458BA085">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污染物</w:t>
            </w:r>
          </w:p>
        </w:tc>
        <w:tc>
          <w:tcPr>
            <w:tcW w:w="696" w:type="pct"/>
            <w:shd w:val="clear" w:color="auto" w:fill="auto"/>
            <w:vAlign w:val="center"/>
          </w:tcPr>
          <w:p w14:paraId="1899FA7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平均时间</w:t>
            </w:r>
          </w:p>
        </w:tc>
        <w:tc>
          <w:tcPr>
            <w:tcW w:w="618" w:type="pct"/>
            <w:shd w:val="clear" w:color="auto" w:fill="auto"/>
            <w:vAlign w:val="center"/>
          </w:tcPr>
          <w:p w14:paraId="662978A5">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评价标准</w:t>
            </w:r>
          </w:p>
        </w:tc>
        <w:tc>
          <w:tcPr>
            <w:tcW w:w="850" w:type="pct"/>
            <w:shd w:val="clear" w:color="auto" w:fill="auto"/>
            <w:vAlign w:val="center"/>
          </w:tcPr>
          <w:p w14:paraId="6006499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监测浓度范围</w:t>
            </w:r>
          </w:p>
        </w:tc>
        <w:tc>
          <w:tcPr>
            <w:tcW w:w="618" w:type="pct"/>
            <w:shd w:val="clear" w:color="auto" w:fill="auto"/>
            <w:vAlign w:val="center"/>
          </w:tcPr>
          <w:p w14:paraId="6C4275DB">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最大浓度</w:t>
            </w:r>
          </w:p>
          <w:p w14:paraId="4CB0356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占标率/%</w:t>
            </w:r>
          </w:p>
        </w:tc>
        <w:tc>
          <w:tcPr>
            <w:tcW w:w="498" w:type="pct"/>
            <w:shd w:val="clear" w:color="auto" w:fill="auto"/>
            <w:vAlign w:val="center"/>
          </w:tcPr>
          <w:p w14:paraId="1EFD074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超标率/%</w:t>
            </w:r>
          </w:p>
        </w:tc>
        <w:tc>
          <w:tcPr>
            <w:tcW w:w="579" w:type="pct"/>
            <w:shd w:val="clear" w:color="auto" w:fill="auto"/>
            <w:vAlign w:val="center"/>
          </w:tcPr>
          <w:p w14:paraId="6C0D39B5">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达标情况</w:t>
            </w:r>
          </w:p>
        </w:tc>
      </w:tr>
      <w:tr w14:paraId="601B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restart"/>
            <w:vAlign w:val="center"/>
          </w:tcPr>
          <w:p w14:paraId="0C76DC8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古乡巴卡村居民点处</w:t>
            </w:r>
          </w:p>
        </w:tc>
        <w:tc>
          <w:tcPr>
            <w:tcW w:w="464" w:type="pct"/>
            <w:vAlign w:val="center"/>
          </w:tcPr>
          <w:p w14:paraId="46F70B7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PM</w:t>
            </w:r>
            <w:r>
              <w:rPr>
                <w:rFonts w:hint="default" w:ascii="Times New Roman" w:hAnsi="Times New Roman" w:cs="Times New Roman"/>
                <w:color w:val="auto"/>
                <w:kern w:val="0"/>
                <w:szCs w:val="21"/>
                <w:highlight w:val="none"/>
                <w:vertAlign w:val="subscript"/>
              </w:rPr>
              <w:t>10</w:t>
            </w:r>
          </w:p>
        </w:tc>
        <w:tc>
          <w:tcPr>
            <w:tcW w:w="696" w:type="pct"/>
            <w:vAlign w:val="center"/>
          </w:tcPr>
          <w:p w14:paraId="0E7EFD8B">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24h平均</w:t>
            </w:r>
          </w:p>
        </w:tc>
        <w:tc>
          <w:tcPr>
            <w:tcW w:w="618" w:type="pct"/>
            <w:noWrap/>
            <w:vAlign w:val="center"/>
          </w:tcPr>
          <w:p w14:paraId="38D16AE7">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50μg/m</w:t>
            </w:r>
            <w:r>
              <w:rPr>
                <w:rFonts w:hint="default" w:ascii="Times New Roman" w:hAnsi="Times New Roman" w:cs="Times New Roman"/>
                <w:color w:val="auto"/>
                <w:kern w:val="0"/>
                <w:szCs w:val="21"/>
                <w:highlight w:val="none"/>
                <w:vertAlign w:val="superscript"/>
              </w:rPr>
              <w:t>3</w:t>
            </w:r>
          </w:p>
        </w:tc>
        <w:tc>
          <w:tcPr>
            <w:tcW w:w="850" w:type="pct"/>
            <w:noWrap/>
            <w:vAlign w:val="center"/>
          </w:tcPr>
          <w:p w14:paraId="54FEFC9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r>
              <w:rPr>
                <w:rFonts w:hint="default" w:ascii="Times New Roman" w:hAnsi="Times New Roman"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28</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18" w:type="pct"/>
            <w:noWrap/>
            <w:vAlign w:val="center"/>
          </w:tcPr>
          <w:p w14:paraId="552D943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56</w:t>
            </w:r>
            <w:r>
              <w:rPr>
                <w:rFonts w:hint="default" w:ascii="Times New Roman" w:hAnsi="Times New Roman" w:cs="Times New Roman"/>
                <w:color w:val="auto"/>
                <w:kern w:val="0"/>
                <w:szCs w:val="21"/>
                <w:highlight w:val="none"/>
              </w:rPr>
              <w:t>.0</w:t>
            </w:r>
          </w:p>
        </w:tc>
        <w:tc>
          <w:tcPr>
            <w:tcW w:w="498" w:type="pct"/>
            <w:vAlign w:val="center"/>
          </w:tcPr>
          <w:p w14:paraId="509C980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579" w:type="pct"/>
            <w:noWrap/>
            <w:vAlign w:val="center"/>
          </w:tcPr>
          <w:p w14:paraId="2281941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r>
      <w:tr w14:paraId="7FC8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vAlign w:val="center"/>
          </w:tcPr>
          <w:p w14:paraId="0F5639F3">
            <w:pPr>
              <w:widowControl/>
              <w:jc w:val="center"/>
              <w:rPr>
                <w:rFonts w:hint="default" w:ascii="Times New Roman" w:hAnsi="Times New Roman" w:cs="Times New Roman"/>
                <w:color w:val="auto"/>
                <w:kern w:val="0"/>
                <w:szCs w:val="21"/>
                <w:highlight w:val="none"/>
              </w:rPr>
            </w:pPr>
          </w:p>
        </w:tc>
        <w:tc>
          <w:tcPr>
            <w:tcW w:w="464" w:type="pct"/>
            <w:vMerge w:val="restart"/>
            <w:vAlign w:val="center"/>
          </w:tcPr>
          <w:p w14:paraId="79F9DCC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SO</w:t>
            </w:r>
            <w:r>
              <w:rPr>
                <w:rFonts w:hint="default" w:ascii="Times New Roman" w:hAnsi="Times New Roman" w:cs="Times New Roman"/>
                <w:color w:val="auto"/>
                <w:kern w:val="0"/>
                <w:szCs w:val="21"/>
                <w:highlight w:val="none"/>
                <w:vertAlign w:val="subscript"/>
              </w:rPr>
              <w:t>2</w:t>
            </w:r>
          </w:p>
        </w:tc>
        <w:tc>
          <w:tcPr>
            <w:tcW w:w="696" w:type="pct"/>
            <w:vAlign w:val="center"/>
          </w:tcPr>
          <w:p w14:paraId="01983676">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24h平均</w:t>
            </w:r>
          </w:p>
        </w:tc>
        <w:tc>
          <w:tcPr>
            <w:tcW w:w="618" w:type="pct"/>
            <w:noWrap/>
            <w:vAlign w:val="center"/>
          </w:tcPr>
          <w:p w14:paraId="476DF0C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50μg/m</w:t>
            </w:r>
            <w:r>
              <w:rPr>
                <w:rFonts w:hint="default" w:ascii="Times New Roman" w:hAnsi="Times New Roman" w:cs="Times New Roman"/>
                <w:color w:val="auto"/>
                <w:kern w:val="0"/>
                <w:szCs w:val="21"/>
                <w:highlight w:val="none"/>
                <w:vertAlign w:val="superscript"/>
              </w:rPr>
              <w:t>3</w:t>
            </w:r>
          </w:p>
        </w:tc>
        <w:tc>
          <w:tcPr>
            <w:tcW w:w="850" w:type="pct"/>
            <w:noWrap/>
            <w:vAlign w:val="center"/>
          </w:tcPr>
          <w:p w14:paraId="5FBA1C8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4</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18" w:type="pct"/>
            <w:noWrap/>
            <w:vAlign w:val="center"/>
          </w:tcPr>
          <w:p w14:paraId="01E5CC2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10</w:t>
            </w:r>
            <w:r>
              <w:rPr>
                <w:rFonts w:hint="default" w:ascii="Times New Roman" w:hAnsi="Times New Roman" w:cs="Times New Roman"/>
                <w:color w:val="auto"/>
                <w:kern w:val="0"/>
                <w:szCs w:val="21"/>
                <w:highlight w:val="none"/>
              </w:rPr>
              <w:t>.0</w:t>
            </w:r>
          </w:p>
        </w:tc>
        <w:tc>
          <w:tcPr>
            <w:tcW w:w="498" w:type="pct"/>
            <w:vAlign w:val="center"/>
          </w:tcPr>
          <w:p w14:paraId="67D69F5B">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579" w:type="pct"/>
            <w:noWrap/>
            <w:vAlign w:val="center"/>
          </w:tcPr>
          <w:p w14:paraId="2FAC4B1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r>
      <w:tr w14:paraId="79A9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vAlign w:val="center"/>
          </w:tcPr>
          <w:p w14:paraId="54E900DA">
            <w:pPr>
              <w:widowControl/>
              <w:jc w:val="center"/>
              <w:rPr>
                <w:rFonts w:hint="default" w:ascii="Times New Roman" w:hAnsi="Times New Roman" w:cs="Times New Roman"/>
                <w:color w:val="auto"/>
                <w:kern w:val="0"/>
                <w:szCs w:val="21"/>
                <w:highlight w:val="none"/>
              </w:rPr>
            </w:pPr>
          </w:p>
        </w:tc>
        <w:tc>
          <w:tcPr>
            <w:tcW w:w="464" w:type="pct"/>
            <w:vMerge w:val="continue"/>
            <w:vAlign w:val="center"/>
          </w:tcPr>
          <w:p w14:paraId="09D28F9A">
            <w:pPr>
              <w:widowControl/>
              <w:jc w:val="center"/>
              <w:rPr>
                <w:rFonts w:hint="default" w:ascii="Times New Roman" w:hAnsi="Times New Roman" w:cs="Times New Roman"/>
                <w:color w:val="auto"/>
                <w:kern w:val="0"/>
                <w:szCs w:val="21"/>
                <w:highlight w:val="none"/>
              </w:rPr>
            </w:pPr>
          </w:p>
        </w:tc>
        <w:tc>
          <w:tcPr>
            <w:tcW w:w="696" w:type="pct"/>
            <w:vAlign w:val="center"/>
          </w:tcPr>
          <w:p w14:paraId="6DDBC9B4">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1h平均</w:t>
            </w:r>
          </w:p>
        </w:tc>
        <w:tc>
          <w:tcPr>
            <w:tcW w:w="618" w:type="pct"/>
            <w:noWrap/>
            <w:vAlign w:val="center"/>
          </w:tcPr>
          <w:p w14:paraId="23D5F887">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150μg/m</w:t>
            </w:r>
            <w:r>
              <w:rPr>
                <w:rFonts w:hint="default" w:ascii="Times New Roman" w:hAnsi="Times New Roman" w:cs="Times New Roman"/>
                <w:color w:val="auto"/>
                <w:kern w:val="0"/>
                <w:szCs w:val="21"/>
                <w:highlight w:val="none"/>
                <w:vertAlign w:val="superscript"/>
              </w:rPr>
              <w:t>3</w:t>
            </w:r>
          </w:p>
        </w:tc>
        <w:tc>
          <w:tcPr>
            <w:tcW w:w="850" w:type="pct"/>
            <w:noWrap/>
            <w:vAlign w:val="center"/>
          </w:tcPr>
          <w:p w14:paraId="62AC0984">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7</w:t>
            </w:r>
            <w:r>
              <w:rPr>
                <w:rFonts w:hint="default"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18" w:type="pct"/>
            <w:noWrap/>
            <w:vAlign w:val="center"/>
          </w:tcPr>
          <w:p w14:paraId="7CF5E8D0">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7.3</w:t>
            </w:r>
          </w:p>
        </w:tc>
        <w:tc>
          <w:tcPr>
            <w:tcW w:w="498" w:type="pct"/>
            <w:vAlign w:val="center"/>
          </w:tcPr>
          <w:p w14:paraId="00F167E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579" w:type="pct"/>
            <w:noWrap/>
            <w:vAlign w:val="center"/>
          </w:tcPr>
          <w:p w14:paraId="482CCC6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r>
      <w:tr w14:paraId="04B5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vAlign w:val="center"/>
          </w:tcPr>
          <w:p w14:paraId="21F1F88D">
            <w:pPr>
              <w:widowControl/>
              <w:jc w:val="center"/>
              <w:rPr>
                <w:rFonts w:hint="default" w:ascii="Times New Roman" w:hAnsi="Times New Roman" w:cs="Times New Roman"/>
                <w:color w:val="auto"/>
                <w:kern w:val="0"/>
                <w:szCs w:val="21"/>
                <w:highlight w:val="none"/>
              </w:rPr>
            </w:pPr>
          </w:p>
        </w:tc>
        <w:tc>
          <w:tcPr>
            <w:tcW w:w="464" w:type="pct"/>
            <w:vMerge w:val="restart"/>
            <w:vAlign w:val="center"/>
          </w:tcPr>
          <w:p w14:paraId="5AD90340">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NO</w:t>
            </w:r>
            <w:r>
              <w:rPr>
                <w:rFonts w:hint="default" w:ascii="Times New Roman" w:hAnsi="Times New Roman" w:cs="Times New Roman"/>
                <w:color w:val="auto"/>
                <w:kern w:val="0"/>
                <w:szCs w:val="21"/>
                <w:highlight w:val="none"/>
                <w:vertAlign w:val="subscript"/>
              </w:rPr>
              <w:t>2</w:t>
            </w:r>
          </w:p>
        </w:tc>
        <w:tc>
          <w:tcPr>
            <w:tcW w:w="696" w:type="pct"/>
            <w:vAlign w:val="center"/>
          </w:tcPr>
          <w:p w14:paraId="525E99C5">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24h平均</w:t>
            </w:r>
          </w:p>
        </w:tc>
        <w:tc>
          <w:tcPr>
            <w:tcW w:w="618" w:type="pct"/>
            <w:noWrap/>
            <w:vAlign w:val="center"/>
          </w:tcPr>
          <w:p w14:paraId="123E0D8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80μg/m</w:t>
            </w:r>
            <w:r>
              <w:rPr>
                <w:rFonts w:hint="default" w:ascii="Times New Roman" w:hAnsi="Times New Roman" w:cs="Times New Roman"/>
                <w:color w:val="auto"/>
                <w:kern w:val="0"/>
                <w:szCs w:val="21"/>
                <w:highlight w:val="none"/>
                <w:vertAlign w:val="superscript"/>
              </w:rPr>
              <w:t>3</w:t>
            </w:r>
          </w:p>
        </w:tc>
        <w:tc>
          <w:tcPr>
            <w:tcW w:w="850" w:type="pct"/>
            <w:noWrap/>
            <w:vAlign w:val="center"/>
          </w:tcPr>
          <w:p w14:paraId="71990020">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r>
              <w:rPr>
                <w:rFonts w:hint="default" w:ascii="Times New Roman" w:hAnsi="Times New Roman" w:cs="Times New Roman"/>
                <w:color w:val="auto"/>
                <w:kern w:val="0"/>
                <w:szCs w:val="21"/>
                <w:highlight w:val="none"/>
                <w:lang w:val="en-US" w:eastAsia="zh-CN"/>
              </w:rPr>
              <w:t>7</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18" w:type="pct"/>
            <w:noWrap/>
            <w:vAlign w:val="center"/>
          </w:tcPr>
          <w:p w14:paraId="15A6CBE8">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8.8</w:t>
            </w:r>
          </w:p>
        </w:tc>
        <w:tc>
          <w:tcPr>
            <w:tcW w:w="498" w:type="pct"/>
            <w:vAlign w:val="center"/>
          </w:tcPr>
          <w:p w14:paraId="3AE9358F">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579" w:type="pct"/>
            <w:noWrap/>
            <w:vAlign w:val="center"/>
          </w:tcPr>
          <w:p w14:paraId="1FB8843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r>
      <w:tr w14:paraId="7E48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vAlign w:val="center"/>
          </w:tcPr>
          <w:p w14:paraId="6E119AED">
            <w:pPr>
              <w:widowControl/>
              <w:jc w:val="center"/>
              <w:rPr>
                <w:rFonts w:hint="default" w:ascii="Times New Roman" w:hAnsi="Times New Roman" w:cs="Times New Roman"/>
                <w:color w:val="auto"/>
                <w:kern w:val="0"/>
                <w:szCs w:val="21"/>
                <w:highlight w:val="none"/>
              </w:rPr>
            </w:pPr>
          </w:p>
        </w:tc>
        <w:tc>
          <w:tcPr>
            <w:tcW w:w="464" w:type="pct"/>
            <w:vMerge w:val="continue"/>
            <w:vAlign w:val="center"/>
          </w:tcPr>
          <w:p w14:paraId="34716C09">
            <w:pPr>
              <w:widowControl/>
              <w:jc w:val="center"/>
              <w:rPr>
                <w:rFonts w:hint="default" w:ascii="Times New Roman" w:hAnsi="Times New Roman" w:cs="Times New Roman"/>
                <w:color w:val="auto"/>
                <w:kern w:val="0"/>
                <w:szCs w:val="21"/>
                <w:highlight w:val="none"/>
              </w:rPr>
            </w:pPr>
          </w:p>
        </w:tc>
        <w:tc>
          <w:tcPr>
            <w:tcW w:w="696" w:type="pct"/>
            <w:vAlign w:val="center"/>
          </w:tcPr>
          <w:p w14:paraId="7E4A6B8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1h平均</w:t>
            </w:r>
          </w:p>
        </w:tc>
        <w:tc>
          <w:tcPr>
            <w:tcW w:w="618" w:type="pct"/>
            <w:noWrap/>
            <w:vAlign w:val="center"/>
          </w:tcPr>
          <w:p w14:paraId="080B5D0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200μg/m</w:t>
            </w:r>
            <w:r>
              <w:rPr>
                <w:rFonts w:hint="default" w:ascii="Times New Roman" w:hAnsi="Times New Roman" w:cs="Times New Roman"/>
                <w:color w:val="auto"/>
                <w:kern w:val="0"/>
                <w:szCs w:val="21"/>
                <w:highlight w:val="none"/>
                <w:vertAlign w:val="superscript"/>
              </w:rPr>
              <w:t>3</w:t>
            </w:r>
          </w:p>
        </w:tc>
        <w:tc>
          <w:tcPr>
            <w:tcW w:w="850" w:type="pct"/>
            <w:noWrap/>
            <w:vAlign w:val="center"/>
          </w:tcPr>
          <w:p w14:paraId="36FD9B4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9</w:t>
            </w:r>
            <w:r>
              <w:rPr>
                <w:rFonts w:hint="default"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lang w:val="en-US" w:eastAsia="zh-CN"/>
              </w:rPr>
              <w:t>3</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18" w:type="pct"/>
            <w:noWrap/>
            <w:vAlign w:val="center"/>
          </w:tcPr>
          <w:p w14:paraId="3A39FD2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6</w:t>
            </w:r>
            <w:r>
              <w:rPr>
                <w:rFonts w:hint="default" w:ascii="Times New Roman" w:hAnsi="Times New Roman" w:cs="Times New Roman"/>
                <w:color w:val="auto"/>
                <w:kern w:val="0"/>
                <w:szCs w:val="21"/>
                <w:highlight w:val="none"/>
              </w:rPr>
              <w:t>.5</w:t>
            </w:r>
          </w:p>
        </w:tc>
        <w:tc>
          <w:tcPr>
            <w:tcW w:w="498" w:type="pct"/>
            <w:vAlign w:val="center"/>
          </w:tcPr>
          <w:p w14:paraId="5DB1BAA0">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579" w:type="pct"/>
            <w:noWrap/>
            <w:vAlign w:val="center"/>
          </w:tcPr>
          <w:p w14:paraId="065176D4">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r>
    </w:tbl>
    <w:p w14:paraId="67C67B39">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本次规划范围内监测点位在监测期间各项基本污染物浓度均可以满足《环境空气质量标准》（GB3095-20</w:t>
      </w:r>
      <w:r>
        <w:rPr>
          <w:rFonts w:hint="default" w:ascii="Times New Roman" w:hAnsi="Times New Roman" w:cs="Times New Roman"/>
          <w:color w:val="auto"/>
          <w:highlight w:val="none"/>
          <w:lang w:val="en-US" w:eastAsia="zh-CN"/>
        </w:rPr>
        <w:t>26</w:t>
      </w:r>
      <w:r>
        <w:rPr>
          <w:rFonts w:hint="default" w:ascii="Times New Roman" w:hAnsi="Times New Roman" w:cs="Times New Roman"/>
          <w:color w:val="auto"/>
          <w:highlight w:val="none"/>
        </w:rPr>
        <w:t>）中一级标准</w:t>
      </w:r>
      <w:r>
        <w:rPr>
          <w:rFonts w:hint="default" w:ascii="Times New Roman" w:hAnsi="Times New Roman" w:cs="Times New Roman"/>
          <w:color w:val="auto"/>
          <w:highlight w:val="none"/>
          <w:lang w:val="en-US" w:eastAsia="zh-CN"/>
        </w:rPr>
        <w:t>限值</w:t>
      </w:r>
      <w:r>
        <w:rPr>
          <w:rFonts w:hint="default" w:ascii="Times New Roman" w:hAnsi="Times New Roman" w:cs="Times New Roman"/>
          <w:color w:val="auto"/>
          <w:highlight w:val="none"/>
        </w:rPr>
        <w:t>要求。其中各项污染物最大浓度占标率范围为</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56</w:t>
      </w:r>
      <w:r>
        <w:rPr>
          <w:rFonts w:hint="default" w:ascii="Times New Roman" w:hAnsi="Times New Roman" w:cs="Times New Roman"/>
          <w:color w:val="auto"/>
          <w:highlight w:val="none"/>
        </w:rPr>
        <w:t>%，最大浓度占标率的因子为</w:t>
      </w:r>
      <w:r>
        <w:rPr>
          <w:rFonts w:hint="default" w:ascii="Times New Roman" w:hAnsi="Times New Roman" w:cs="Times New Roman"/>
          <w:color w:val="auto"/>
          <w:highlight w:val="none"/>
          <w:lang w:val="en-US"/>
        </w:rPr>
        <w:t>PM</w:t>
      </w:r>
      <w:r>
        <w:rPr>
          <w:rFonts w:hint="default" w:ascii="Times New Roman" w:hAnsi="Times New Roman" w:cs="Times New Roman"/>
          <w:color w:val="auto"/>
          <w:highlight w:val="none"/>
          <w:vertAlign w:val="subscript"/>
          <w:lang w:val="en-US"/>
        </w:rPr>
        <w:t>10</w:t>
      </w:r>
      <w:r>
        <w:rPr>
          <w:rFonts w:hint="default" w:ascii="Times New Roman" w:hAnsi="Times New Roman" w:cs="Times New Roman"/>
          <w:color w:val="auto"/>
          <w:highlight w:val="none"/>
        </w:rPr>
        <w:t>的24h平均值。</w:t>
      </w:r>
    </w:p>
    <w:p w14:paraId="5A309D4B">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综上所述，规划区域及周边大气环境质量较好。</w:t>
      </w:r>
    </w:p>
    <w:p w14:paraId="160F1E5E">
      <w:pPr>
        <w:pStyle w:val="4"/>
        <w:spacing w:before="156" w:after="156"/>
        <w:rPr>
          <w:rFonts w:hint="default" w:ascii="Times New Roman" w:hAnsi="Times New Roman" w:cs="Times New Roman"/>
          <w:color w:val="auto"/>
          <w:highlight w:val="none"/>
        </w:rPr>
      </w:pPr>
      <w:bookmarkStart w:id="119" w:name="_Toc519260301"/>
      <w:bookmarkStart w:id="120" w:name="_Toc9092764"/>
      <w:r>
        <w:rPr>
          <w:rFonts w:hint="default" w:ascii="Times New Roman" w:hAnsi="Times New Roman" w:cs="Times New Roman"/>
          <w:color w:val="auto"/>
          <w:highlight w:val="none"/>
        </w:rPr>
        <w:t>地表水</w:t>
      </w:r>
      <w:bookmarkEnd w:id="119"/>
      <w:bookmarkEnd w:id="120"/>
    </w:p>
    <w:p w14:paraId="5D0CB7A4">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规划所在区域达标判断</w:t>
      </w:r>
    </w:p>
    <w:p w14:paraId="4BEDF0F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本规划附近地表水体为</w:t>
      </w:r>
      <w:r>
        <w:rPr>
          <w:rFonts w:hint="default" w:ascii="Times New Roman" w:hAnsi="Times New Roman" w:cs="Times New Roman"/>
          <w:color w:val="auto"/>
          <w:sz w:val="24"/>
          <w:highlight w:val="none"/>
          <w:lang w:eastAsia="zh-CN"/>
        </w:rPr>
        <w:t>帕隆藏布</w:t>
      </w:r>
      <w:r>
        <w:rPr>
          <w:rFonts w:hint="default" w:ascii="Times New Roman" w:hAnsi="Times New Roman" w:cs="Times New Roman"/>
          <w:color w:val="auto"/>
          <w:sz w:val="24"/>
          <w:highlight w:val="none"/>
        </w:rPr>
        <w:t>，执行《地表水环境质量标准》（GB3838-2002）中</w:t>
      </w:r>
      <w:r>
        <w:rPr>
          <w:rFonts w:hint="default" w:ascii="Times New Roman" w:hAnsi="Times New Roman" w:eastAsia="宋体" w:cs="Times New Roman"/>
          <w:color w:val="auto"/>
          <w:sz w:val="24"/>
          <w:highlight w:val="none"/>
        </w:rPr>
        <w:t>Ⅱ</w:t>
      </w:r>
      <w:r>
        <w:rPr>
          <w:rFonts w:hint="default" w:ascii="Times New Roman" w:hAnsi="Times New Roman" w:cs="Times New Roman"/>
          <w:color w:val="auto"/>
          <w:sz w:val="24"/>
          <w:highlight w:val="none"/>
        </w:rPr>
        <w:t>类标准。</w:t>
      </w:r>
    </w:p>
    <w:p w14:paraId="31C6B2AB">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本次环评引用《202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西藏自治区生态环境状况公报》中地表水环境状况数据，评价基准年为202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2024年，全区主要江河、湖泊水质整体保持优良，达到国家规定相应水域的环境质量标准。澜沧江、金沙江、雅鲁藏布江、怒江干流水质达到Ⅱ类标准，拉萨河、年楚河、尼洋河等流经重要城镇的河流水质达到或优于Ⅱ类标准。班公错、普莫雍错、羊卓雍错、色林错、纳木错、佩枯错湖泊水质均达到Ⅱ类标准</w:t>
      </w:r>
      <w:r>
        <w:rPr>
          <w:rFonts w:hint="default" w:ascii="Times New Roman" w:hAnsi="Times New Roman" w:cs="Times New Roman"/>
          <w:color w:val="auto"/>
          <w:sz w:val="24"/>
          <w:highlight w:val="none"/>
          <w:lang w:val="en-GB"/>
        </w:rPr>
        <w:t>。</w:t>
      </w:r>
      <w:r>
        <w:rPr>
          <w:rFonts w:hint="default" w:ascii="Times New Roman" w:hAnsi="Times New Roman" w:cs="Times New Roman"/>
          <w:color w:val="auto"/>
          <w:sz w:val="24"/>
          <w:highlight w:val="none"/>
        </w:rPr>
        <w:t>规划区所在区域为地表水环境质量达标区。</w:t>
      </w:r>
    </w:p>
    <w:p w14:paraId="2EC10C22">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环境质量现状监测与评价</w:t>
      </w:r>
    </w:p>
    <w:p w14:paraId="3EFB4F2A">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本次规划区周边主要地表水系为</w:t>
      </w:r>
      <w:r>
        <w:rPr>
          <w:rFonts w:hint="default" w:ascii="Times New Roman" w:hAnsi="Times New Roman" w:cs="Times New Roman"/>
          <w:color w:val="auto"/>
          <w:kern w:val="0"/>
          <w:sz w:val="24"/>
          <w:highlight w:val="none"/>
          <w:lang w:eastAsia="zh-CN"/>
        </w:rPr>
        <w:t>帕隆藏布</w:t>
      </w:r>
      <w:r>
        <w:rPr>
          <w:rFonts w:hint="default" w:ascii="Times New Roman" w:hAnsi="Times New Roman" w:cs="Times New Roman"/>
          <w:color w:val="auto"/>
          <w:kern w:val="0"/>
          <w:sz w:val="24"/>
          <w:highlight w:val="none"/>
        </w:rPr>
        <w:t>，为了解</w:t>
      </w:r>
      <w:r>
        <w:rPr>
          <w:rFonts w:hint="default" w:ascii="Times New Roman" w:hAnsi="Times New Roman" w:cs="Times New Roman"/>
          <w:color w:val="auto"/>
          <w:kern w:val="0"/>
          <w:sz w:val="24"/>
          <w:highlight w:val="none"/>
          <w:lang w:eastAsia="zh-CN"/>
        </w:rPr>
        <w:t>岗云杉林景区</w:t>
      </w:r>
      <w:r>
        <w:rPr>
          <w:rFonts w:hint="default" w:ascii="Times New Roman" w:hAnsi="Times New Roman" w:cs="Times New Roman"/>
          <w:color w:val="auto"/>
          <w:kern w:val="0"/>
          <w:sz w:val="24"/>
          <w:highlight w:val="none"/>
        </w:rPr>
        <w:t>内部及附近水环境质量现状，本次评价委托</w:t>
      </w:r>
      <w:r>
        <w:rPr>
          <w:rFonts w:hint="default" w:ascii="Times New Roman" w:hAnsi="Times New Roman" w:cs="Times New Roman"/>
          <w:color w:val="auto"/>
          <w:kern w:val="0"/>
          <w:sz w:val="24"/>
          <w:highlight w:val="none"/>
          <w:lang w:eastAsia="zh-CN"/>
        </w:rPr>
        <w:t>西藏中科检测技术有限公司</w:t>
      </w:r>
      <w:r>
        <w:rPr>
          <w:rFonts w:hint="default" w:ascii="Times New Roman" w:hAnsi="Times New Roman" w:cs="Times New Roman"/>
          <w:color w:val="auto"/>
          <w:kern w:val="0"/>
          <w:sz w:val="24"/>
          <w:highlight w:val="none"/>
        </w:rPr>
        <w:t>于202</w:t>
      </w:r>
      <w:r>
        <w:rPr>
          <w:rFonts w:hint="default"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年</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月2</w:t>
      </w:r>
      <w:r>
        <w:rPr>
          <w:rFonts w:hint="default" w:ascii="Times New Roman" w:hAnsi="Times New Roman" w:cs="Times New Roman"/>
          <w:color w:val="auto"/>
          <w:kern w:val="0"/>
          <w:sz w:val="24"/>
          <w:highlight w:val="none"/>
          <w:lang w:val="en-US" w:eastAsia="zh-CN"/>
        </w:rPr>
        <w:t>7</w:t>
      </w:r>
      <w:r>
        <w:rPr>
          <w:rFonts w:hint="default" w:ascii="Times New Roman" w:hAnsi="Times New Roman" w:cs="Times New Roman"/>
          <w:color w:val="auto"/>
          <w:kern w:val="0"/>
          <w:sz w:val="24"/>
          <w:highlight w:val="none"/>
        </w:rPr>
        <w:t>日~</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月2</w:t>
      </w:r>
      <w:r>
        <w:rPr>
          <w:rFonts w:hint="default" w:ascii="Times New Roman" w:hAnsi="Times New Roman"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日对</w:t>
      </w:r>
      <w:r>
        <w:rPr>
          <w:rFonts w:hint="default" w:ascii="Times New Roman" w:hAnsi="Times New Roman" w:cs="Times New Roman"/>
          <w:color w:val="auto"/>
          <w:kern w:val="0"/>
          <w:sz w:val="24"/>
          <w:highlight w:val="none"/>
          <w:lang w:eastAsia="zh-CN"/>
        </w:rPr>
        <w:t>帕隆藏布</w:t>
      </w:r>
      <w:r>
        <w:rPr>
          <w:rFonts w:hint="default" w:ascii="Times New Roman" w:hAnsi="Times New Roman" w:cs="Times New Roman"/>
          <w:color w:val="auto"/>
          <w:kern w:val="0"/>
          <w:sz w:val="24"/>
          <w:highlight w:val="none"/>
        </w:rPr>
        <w:t>水质进行了现状监测。</w:t>
      </w:r>
    </w:p>
    <w:p w14:paraId="4A18DDCB">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（1）监测断面</w:t>
      </w:r>
    </w:p>
    <w:p w14:paraId="37017EED">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共布设2个水质监测断面，具体见表3.4-</w:t>
      </w:r>
      <w:r>
        <w:rPr>
          <w:rFonts w:hint="default"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w:t>
      </w:r>
    </w:p>
    <w:p w14:paraId="4F6F1D31">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w:t>
      </w:r>
      <w:r>
        <w:rPr>
          <w:rFonts w:hint="default" w:ascii="Times New Roman" w:hAnsi="Times New Roman" w:eastAsia="黑体" w:cs="Times New Roman"/>
          <w:bCs/>
          <w:color w:val="auto"/>
          <w:kern w:val="0"/>
          <w:szCs w:val="21"/>
          <w:highlight w:val="none"/>
          <w:lang w:val="en-US" w:eastAsia="zh-CN"/>
        </w:rPr>
        <w:t>6</w:t>
      </w:r>
      <w:r>
        <w:rPr>
          <w:rFonts w:hint="default" w:ascii="Times New Roman" w:hAnsi="Times New Roman" w:eastAsia="黑体" w:cs="Times New Roman"/>
          <w:bCs/>
          <w:color w:val="auto"/>
          <w:kern w:val="0"/>
          <w:szCs w:val="21"/>
          <w:highlight w:val="none"/>
        </w:rPr>
        <w:t xml:space="preserve">  地表水环境质量现状监测断面一览表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134"/>
        <w:gridCol w:w="5104"/>
        <w:gridCol w:w="1127"/>
      </w:tblGrid>
      <w:tr w14:paraId="52DA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Align w:val="center"/>
          </w:tcPr>
          <w:p w14:paraId="74BFCB7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618" w:type="pct"/>
            <w:vAlign w:val="center"/>
          </w:tcPr>
          <w:p w14:paraId="7CEEBA2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河流</w:t>
            </w:r>
          </w:p>
        </w:tc>
        <w:tc>
          <w:tcPr>
            <w:tcW w:w="618" w:type="pct"/>
            <w:vAlign w:val="center"/>
          </w:tcPr>
          <w:p w14:paraId="6D683D1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断面编号</w:t>
            </w:r>
          </w:p>
        </w:tc>
        <w:tc>
          <w:tcPr>
            <w:tcW w:w="2782" w:type="pct"/>
            <w:vAlign w:val="center"/>
          </w:tcPr>
          <w:p w14:paraId="52FD5E5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断面位置</w:t>
            </w:r>
          </w:p>
        </w:tc>
        <w:tc>
          <w:tcPr>
            <w:tcW w:w="614" w:type="pct"/>
            <w:vAlign w:val="center"/>
          </w:tcPr>
          <w:p w14:paraId="5D1A3E7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断面功能</w:t>
            </w:r>
          </w:p>
        </w:tc>
      </w:tr>
      <w:tr w14:paraId="50B4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Align w:val="center"/>
          </w:tcPr>
          <w:p w14:paraId="26D5F67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618" w:type="pct"/>
            <w:vMerge w:val="restart"/>
            <w:vAlign w:val="center"/>
          </w:tcPr>
          <w:p w14:paraId="795D7F08">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帕隆藏布</w:t>
            </w:r>
          </w:p>
        </w:tc>
        <w:tc>
          <w:tcPr>
            <w:tcW w:w="618" w:type="pct"/>
            <w:vAlign w:val="center"/>
          </w:tcPr>
          <w:p w14:paraId="12DF588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DB1</w:t>
            </w:r>
          </w:p>
        </w:tc>
        <w:tc>
          <w:tcPr>
            <w:tcW w:w="2782" w:type="pct"/>
            <w:vAlign w:val="center"/>
          </w:tcPr>
          <w:p w14:paraId="1D533DC8">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规划范围</w:t>
            </w:r>
            <w:r>
              <w:rPr>
                <w:rFonts w:hint="default" w:ascii="Times New Roman" w:hAnsi="Times New Roman" w:cs="Times New Roman"/>
                <w:color w:val="auto"/>
                <w:kern w:val="0"/>
                <w:szCs w:val="21"/>
                <w:highlight w:val="none"/>
                <w:lang w:val="en-US" w:eastAsia="zh-CN"/>
              </w:rPr>
              <w:t>北</w:t>
            </w:r>
            <w:r>
              <w:rPr>
                <w:rFonts w:hint="default" w:ascii="Times New Roman" w:hAnsi="Times New Roman" w:cs="Times New Roman"/>
                <w:color w:val="auto"/>
                <w:kern w:val="0"/>
                <w:szCs w:val="21"/>
                <w:highlight w:val="none"/>
              </w:rPr>
              <w:t>侧</w:t>
            </w:r>
            <w:r>
              <w:rPr>
                <w:rFonts w:hint="default" w:ascii="Times New Roman" w:hAnsi="Times New Roman" w:cs="Times New Roman"/>
                <w:color w:val="auto"/>
                <w:kern w:val="0"/>
                <w:szCs w:val="21"/>
                <w:highlight w:val="none"/>
                <w:lang w:eastAsia="zh-CN"/>
              </w:rPr>
              <w:t>帕隆藏布</w:t>
            </w:r>
            <w:r>
              <w:rPr>
                <w:rFonts w:hint="default" w:ascii="Times New Roman" w:hAnsi="Times New Roman" w:cs="Times New Roman"/>
                <w:color w:val="auto"/>
                <w:kern w:val="0"/>
                <w:szCs w:val="21"/>
                <w:highlight w:val="none"/>
              </w:rPr>
              <w:t>上游500m</w:t>
            </w:r>
          </w:p>
        </w:tc>
        <w:tc>
          <w:tcPr>
            <w:tcW w:w="614" w:type="pct"/>
            <w:vAlign w:val="center"/>
          </w:tcPr>
          <w:p w14:paraId="1D75F13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背景断面</w:t>
            </w:r>
          </w:p>
        </w:tc>
      </w:tr>
      <w:tr w14:paraId="1856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Align w:val="center"/>
          </w:tcPr>
          <w:p w14:paraId="2D361B9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618" w:type="pct"/>
            <w:vMerge w:val="continue"/>
            <w:vAlign w:val="center"/>
          </w:tcPr>
          <w:p w14:paraId="0FCC714E">
            <w:pPr>
              <w:jc w:val="center"/>
              <w:rPr>
                <w:rFonts w:hint="default" w:ascii="Times New Roman" w:hAnsi="Times New Roman" w:cs="Times New Roman"/>
                <w:color w:val="auto"/>
                <w:szCs w:val="21"/>
                <w:highlight w:val="none"/>
              </w:rPr>
            </w:pPr>
          </w:p>
        </w:tc>
        <w:tc>
          <w:tcPr>
            <w:tcW w:w="618" w:type="pct"/>
            <w:vAlign w:val="center"/>
          </w:tcPr>
          <w:p w14:paraId="312378D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DB2</w:t>
            </w:r>
          </w:p>
        </w:tc>
        <w:tc>
          <w:tcPr>
            <w:tcW w:w="2782" w:type="pct"/>
            <w:vAlign w:val="center"/>
          </w:tcPr>
          <w:p w14:paraId="38DF3F66">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规划范围</w:t>
            </w:r>
            <w:r>
              <w:rPr>
                <w:rFonts w:hint="default" w:ascii="Times New Roman" w:hAnsi="Times New Roman" w:cs="Times New Roman"/>
                <w:color w:val="auto"/>
                <w:kern w:val="0"/>
                <w:szCs w:val="21"/>
                <w:highlight w:val="none"/>
                <w:lang w:val="en-US" w:eastAsia="zh-CN"/>
              </w:rPr>
              <w:t>北</w:t>
            </w:r>
            <w:r>
              <w:rPr>
                <w:rFonts w:hint="default" w:ascii="Times New Roman" w:hAnsi="Times New Roman" w:cs="Times New Roman"/>
                <w:color w:val="auto"/>
                <w:kern w:val="0"/>
                <w:szCs w:val="21"/>
                <w:highlight w:val="none"/>
              </w:rPr>
              <w:t>侧</w:t>
            </w:r>
            <w:r>
              <w:rPr>
                <w:rFonts w:hint="default" w:ascii="Times New Roman" w:hAnsi="Times New Roman" w:cs="Times New Roman"/>
                <w:color w:val="auto"/>
                <w:kern w:val="0"/>
                <w:szCs w:val="21"/>
                <w:highlight w:val="none"/>
                <w:lang w:eastAsia="zh-CN"/>
              </w:rPr>
              <w:t>帕隆藏布</w:t>
            </w:r>
            <w:r>
              <w:rPr>
                <w:rFonts w:hint="default" w:ascii="Times New Roman" w:hAnsi="Times New Roman" w:cs="Times New Roman"/>
                <w:color w:val="auto"/>
                <w:kern w:val="0"/>
                <w:szCs w:val="21"/>
                <w:highlight w:val="none"/>
              </w:rPr>
              <w:t>下游1km处</w:t>
            </w:r>
          </w:p>
        </w:tc>
        <w:tc>
          <w:tcPr>
            <w:tcW w:w="614" w:type="pct"/>
            <w:vAlign w:val="center"/>
          </w:tcPr>
          <w:p w14:paraId="678FF27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削减断面</w:t>
            </w:r>
          </w:p>
        </w:tc>
      </w:tr>
    </w:tbl>
    <w:p w14:paraId="47E11CF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（2）监测因子</w:t>
      </w:r>
    </w:p>
    <w:p w14:paraId="11AE5D1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水温、pH、化学需氧量、五日生化需氧量、氨氮、总磷、粪大肠菌群</w:t>
      </w:r>
      <w:r>
        <w:rPr>
          <w:rFonts w:hint="default" w:ascii="Times New Roman" w:hAnsi="Times New Roman" w:cs="Times New Roman"/>
          <w:color w:val="auto"/>
          <w:sz w:val="24"/>
          <w:highlight w:val="none"/>
        </w:rPr>
        <w:t>，共7项。</w:t>
      </w:r>
    </w:p>
    <w:p w14:paraId="6935E53D">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（3）监测时间</w:t>
      </w:r>
    </w:p>
    <w:p w14:paraId="53A8439B">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202</w:t>
      </w:r>
      <w:r>
        <w:rPr>
          <w:rFonts w:hint="default"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年</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月2</w:t>
      </w:r>
      <w:r>
        <w:rPr>
          <w:rFonts w:hint="default" w:ascii="Times New Roman" w:hAnsi="Times New Roman" w:cs="Times New Roman"/>
          <w:color w:val="auto"/>
          <w:kern w:val="0"/>
          <w:sz w:val="24"/>
          <w:highlight w:val="none"/>
          <w:lang w:val="en-US" w:eastAsia="zh-CN"/>
        </w:rPr>
        <w:t>7</w:t>
      </w:r>
      <w:r>
        <w:rPr>
          <w:rFonts w:hint="default" w:ascii="Times New Roman" w:hAnsi="Times New Roman" w:cs="Times New Roman"/>
          <w:color w:val="auto"/>
          <w:kern w:val="0"/>
          <w:sz w:val="24"/>
          <w:highlight w:val="none"/>
        </w:rPr>
        <w:t>日~</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月2</w:t>
      </w:r>
      <w:r>
        <w:rPr>
          <w:rFonts w:hint="default" w:ascii="Times New Roman" w:hAnsi="Times New Roman"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日，连续监测两天，每天采样一次。</w:t>
      </w:r>
    </w:p>
    <w:p w14:paraId="0559C962">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）现状评价</w:t>
      </w:r>
    </w:p>
    <w:p w14:paraId="608F604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①评价因子</w:t>
      </w:r>
    </w:p>
    <w:p w14:paraId="776DA66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水温、pH、化学需氧量、五日生化需氧量、氨氮、总磷、粪大肠菌群</w:t>
      </w:r>
      <w:r>
        <w:rPr>
          <w:rFonts w:hint="default" w:ascii="Times New Roman" w:hAnsi="Times New Roman" w:cs="Times New Roman"/>
          <w:color w:val="auto"/>
          <w:sz w:val="24"/>
          <w:highlight w:val="none"/>
        </w:rPr>
        <w:t>，共7项。</w:t>
      </w:r>
    </w:p>
    <w:p w14:paraId="449503F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②评价标准</w:t>
      </w:r>
    </w:p>
    <w:p w14:paraId="23C54EF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《地表水环境质量标准》（GB3838-2002）</w:t>
      </w:r>
      <w:r>
        <w:rPr>
          <w:rFonts w:hint="default" w:ascii="Times New Roman" w:hAnsi="Times New Roman" w:eastAsia="宋体" w:cs="Times New Roman"/>
          <w:color w:val="auto"/>
          <w:sz w:val="24"/>
          <w:highlight w:val="none"/>
        </w:rPr>
        <w:t>Ⅱ</w:t>
      </w:r>
      <w:r>
        <w:rPr>
          <w:rFonts w:hint="default" w:ascii="Times New Roman" w:hAnsi="Times New Roman" w:cs="Times New Roman"/>
          <w:color w:val="auto"/>
          <w:sz w:val="24"/>
          <w:highlight w:val="none"/>
        </w:rPr>
        <w:t>类标准。</w:t>
      </w:r>
    </w:p>
    <w:p w14:paraId="6373B48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③评价方法</w:t>
      </w:r>
    </w:p>
    <w:p w14:paraId="68E13B2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评价方法采用单项标准指数法，其模式如下：</w:t>
      </w:r>
    </w:p>
    <w:p w14:paraId="23A6B257">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A.一般因子标准指数评价模式：</w:t>
      </w:r>
    </w:p>
    <w:p w14:paraId="4D147A6A">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32"/>
          <w:sz w:val="24"/>
          <w:highlight w:val="none"/>
        </w:rPr>
        <w:object>
          <v:shape id="_x0000_i1025" o:spt="75" type="#_x0000_t75" style="height:36pt;width:43.6pt;" o:ole="t" filled="f" o:preferrelative="t" stroked="f" coordsize="21600,21600">
            <v:path/>
            <v:fill on="f" focussize="0,0"/>
            <v:stroke on="f" joinstyle="miter"/>
            <v:imagedata r:id="rId35" o:title=""/>
            <o:lock v:ext="edit" aspectratio="t"/>
            <w10:wrap type="none"/>
            <w10:anchorlock/>
          </v:shape>
          <o:OLEObject Type="Embed" ProgID="Equation.3" ShapeID="_x0000_i1025" DrawAspect="Content" ObjectID="_1468075725" r:id="rId34">
            <o:LockedField>false</o:LockedField>
          </o:OLEObject>
        </w:object>
      </w:r>
    </w:p>
    <w:p w14:paraId="25A900F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S</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color w:val="auto"/>
          <w:sz w:val="24"/>
          <w:highlight w:val="none"/>
        </w:rPr>
        <w:t>—单项水质参数</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在</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监测点的标准指数；</w:t>
      </w:r>
    </w:p>
    <w:p w14:paraId="5F95B527">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污染物在</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监测点的浓度，mg/L；</w:t>
      </w:r>
    </w:p>
    <w:p w14:paraId="0D537B54">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sj</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污染物评价标准，mg/L。</w:t>
      </w:r>
    </w:p>
    <w:p w14:paraId="56AEF70B">
      <w:pPr>
        <w:pStyle w:val="1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w:t>
      </w:r>
      <w:r>
        <w:rPr>
          <w:rFonts w:hint="default" w:ascii="Times New Roman" w:hAnsi="Times New Roman" w:cs="Times New Roman"/>
          <w:i/>
          <w:iCs/>
          <w:color w:val="auto"/>
          <w:highlight w:val="none"/>
        </w:rPr>
        <w:t>pH</w:t>
      </w:r>
      <w:r>
        <w:rPr>
          <w:rFonts w:hint="default" w:ascii="Times New Roman" w:hAnsi="Times New Roman" w:cs="Times New Roman"/>
          <w:color w:val="auto"/>
          <w:highlight w:val="none"/>
        </w:rPr>
        <w:t>的标准指数评价模式：</w:t>
      </w:r>
    </w:p>
    <w:p w14:paraId="11483D50">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30"/>
          <w:sz w:val="24"/>
          <w:highlight w:val="none"/>
        </w:rPr>
        <w:object>
          <v:shape id="_x0000_i1026" o:spt="75" type="#_x0000_t75" style="height:36pt;width:94.4pt;" o:ole="t" filled="f" o:preferrelative="t" stroked="f" coordsize="21600,21600">
            <v:path/>
            <v:fill on="f" focussize="0,0"/>
            <v:stroke on="f" joinstyle="miter"/>
            <v:imagedata r:id="rId37" o:title=""/>
            <o:lock v:ext="edit" aspectratio="t"/>
            <w10:wrap type="none"/>
            <w10:anchorlock/>
          </v:shape>
          <o:OLEObject Type="Embed" ProgID="Equation.3" ShapeID="_x0000_i1026" DrawAspect="Content" ObjectID="_1468075726" r:id="rId36">
            <o:LockedField>false</o:LockedField>
          </o:OLEObject>
        </w:object>
      </w:r>
      <w:r>
        <w:rPr>
          <w:rFonts w:hint="default" w:ascii="Times New Roman" w:hAnsi="Times New Roman" w:cs="Times New Roman"/>
          <w:color w:val="auto"/>
          <w:position w:val="-14"/>
          <w:sz w:val="24"/>
          <w:highlight w:val="none"/>
        </w:rPr>
        <w:object>
          <v:shape id="_x0000_i1027" o:spt="75" type="#_x0000_t75" style="height:20.4pt;width:52.4pt;" o:ole="t" filled="f" o:preferrelative="t" stroked="f" coordsize="21600,21600">
            <v:path/>
            <v:fill on="f" focussize="0,0"/>
            <v:stroke on="f" joinstyle="miter"/>
            <v:imagedata r:id="rId39" o:title=""/>
            <o:lock v:ext="edit" aspectratio="t"/>
            <w10:wrap type="none"/>
            <w10:anchorlock/>
          </v:shape>
          <o:OLEObject Type="Embed" ProgID="Equation.3" ShapeID="_x0000_i1027" DrawAspect="Content" ObjectID="_1468075727" r:id="rId38">
            <o:LockedField>false</o:LockedField>
          </o:OLEObject>
        </w:object>
      </w:r>
    </w:p>
    <w:p w14:paraId="1B64D126">
      <w:pPr>
        <w:spacing w:line="360" w:lineRule="auto"/>
        <w:jc w:val="center"/>
        <w:rPr>
          <w:rFonts w:hint="default" w:ascii="Times New Roman" w:hAnsi="Times New Roman" w:cs="Times New Roman"/>
          <w:color w:val="auto"/>
          <w:position w:val="-14"/>
          <w:sz w:val="24"/>
          <w:highlight w:val="none"/>
        </w:rPr>
      </w:pPr>
      <w:r>
        <w:rPr>
          <w:rFonts w:hint="default" w:ascii="Times New Roman" w:hAnsi="Times New Roman" w:cs="Times New Roman"/>
          <w:color w:val="auto"/>
          <w:position w:val="-30"/>
          <w:sz w:val="24"/>
          <w:highlight w:val="none"/>
        </w:rPr>
        <w:object>
          <v:shape id="_x0000_i1028" o:spt="75" type="#_x0000_t75" style="height:36pt;width:94.4pt;" o:ole="t" filled="f" o:preferrelative="t" stroked="f" coordsize="21600,21600">
            <v:path/>
            <v:fill on="f" focussize="0,0"/>
            <v:stroke on="f" joinstyle="miter"/>
            <v:imagedata r:id="rId41" o:title=""/>
            <o:lock v:ext="edit" aspectratio="t"/>
            <w10:wrap type="none"/>
            <w10:anchorlock/>
          </v:shape>
          <o:OLEObject Type="Embed" ProgID="Equation.3" ShapeID="_x0000_i1028" DrawAspect="Content" ObjectID="_1468075728" r:id="rId40">
            <o:LockedField>false</o:LockedField>
          </o:OLEObject>
        </w:object>
      </w:r>
      <w:r>
        <w:rPr>
          <w:rFonts w:hint="default" w:ascii="Times New Roman" w:hAnsi="Times New Roman" w:cs="Times New Roman"/>
          <w:color w:val="auto"/>
          <w:position w:val="-14"/>
          <w:sz w:val="24"/>
          <w:highlight w:val="none"/>
        </w:rPr>
        <w:object>
          <v:shape id="_x0000_i1029" o:spt="75" type="#_x0000_t75" style="height:20.4pt;width:58.4pt;" o:ole="t" filled="f" o:preferrelative="t" stroked="f" coordsize="21600,21600">
            <v:path/>
            <v:fill on="f" focussize="0,0"/>
            <v:stroke on="f" joinstyle="miter"/>
            <v:imagedata r:id="rId43" o:title=""/>
            <o:lock v:ext="edit" aspectratio="t"/>
            <w10:wrap type="none"/>
            <w10:anchorlock/>
          </v:shape>
          <o:OLEObject Type="Embed" ProgID="Equation.3" ShapeID="_x0000_i1029" DrawAspect="Content" ObjectID="_1468075729" r:id="rId42">
            <o:LockedField>false</o:LockedField>
          </o:OLEObject>
        </w:object>
      </w:r>
    </w:p>
    <w:p w14:paraId="05B8634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iCs/>
          <w:color w:val="auto"/>
          <w:sz w:val="24"/>
          <w:highlight w:val="none"/>
        </w:rPr>
        <w:t>S</w:t>
      </w:r>
      <w:r>
        <w:rPr>
          <w:rFonts w:hint="default" w:ascii="Times New Roman" w:hAnsi="Times New Roman" w:cs="Times New Roman"/>
          <w:i/>
          <w:iCs/>
          <w:color w:val="auto"/>
          <w:sz w:val="24"/>
          <w:highlight w:val="none"/>
          <w:vertAlign w:val="subscript"/>
        </w:rPr>
        <w:t>pHj</w:t>
      </w:r>
      <w:r>
        <w:rPr>
          <w:rFonts w:hint="default" w:ascii="Times New Roman" w:hAnsi="Times New Roman" w:cs="Times New Roman"/>
          <w:color w:val="auto"/>
          <w:sz w:val="24"/>
          <w:highlight w:val="none"/>
        </w:rPr>
        <w:t>—</w:t>
      </w:r>
      <w:r>
        <w:rPr>
          <w:rFonts w:hint="default" w:ascii="Times New Roman" w:hAnsi="Times New Roman" w:cs="Times New Roman"/>
          <w:i/>
          <w:iCs/>
          <w:color w:val="auto"/>
          <w:sz w:val="24"/>
          <w:highlight w:val="none"/>
        </w:rPr>
        <w:t>pH</w:t>
      </w:r>
      <w:r>
        <w:rPr>
          <w:rFonts w:hint="default" w:ascii="Times New Roman" w:hAnsi="Times New Roman" w:cs="Times New Roman"/>
          <w:color w:val="auto"/>
          <w:sz w:val="24"/>
          <w:highlight w:val="none"/>
        </w:rPr>
        <w:t>在第</w:t>
      </w:r>
      <w:r>
        <w:rPr>
          <w:rFonts w:hint="default" w:ascii="Times New Roman" w:hAnsi="Times New Roman" w:cs="Times New Roman"/>
          <w:i/>
          <w:iCs/>
          <w:color w:val="auto"/>
          <w:sz w:val="24"/>
          <w:highlight w:val="none"/>
        </w:rPr>
        <w:t>i</w:t>
      </w:r>
      <w:r>
        <w:rPr>
          <w:rFonts w:hint="default" w:ascii="Times New Roman" w:hAnsi="Times New Roman" w:cs="Times New Roman"/>
          <w:color w:val="auto"/>
          <w:sz w:val="24"/>
          <w:highlight w:val="none"/>
        </w:rPr>
        <w:t>监测点的标准指数，无量纲；</w:t>
      </w:r>
    </w:p>
    <w:p w14:paraId="0DC5E879">
      <w:pPr>
        <w:spacing w:line="360" w:lineRule="auto"/>
        <w:ind w:firstLine="1202" w:firstLineChars="501"/>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pH</w:t>
      </w:r>
      <w:r>
        <w:rPr>
          <w:rFonts w:hint="default" w:ascii="Times New Roman" w:hAnsi="Times New Roman" w:cs="Times New Roman"/>
          <w:i/>
          <w:iCs/>
          <w:color w:val="auto"/>
          <w:sz w:val="24"/>
          <w:highlight w:val="none"/>
          <w:vertAlign w:val="subscript"/>
        </w:rPr>
        <w:t>j</w:t>
      </w:r>
      <w:r>
        <w:rPr>
          <w:rFonts w:hint="default" w:ascii="Times New Roman" w:hAnsi="Times New Roman" w:cs="Times New Roman"/>
          <w:color w:val="auto"/>
          <w:sz w:val="24"/>
          <w:highlight w:val="none"/>
        </w:rPr>
        <w:t>—</w:t>
      </w:r>
      <w:r>
        <w:rPr>
          <w:rFonts w:hint="default" w:ascii="Times New Roman" w:hAnsi="Times New Roman" w:cs="Times New Roman"/>
          <w:i/>
          <w:iCs/>
          <w:color w:val="auto"/>
          <w:sz w:val="24"/>
          <w:highlight w:val="none"/>
        </w:rPr>
        <w:t>j</w:t>
      </w:r>
      <w:r>
        <w:rPr>
          <w:rFonts w:hint="default" w:ascii="Times New Roman" w:hAnsi="Times New Roman" w:cs="Times New Roman"/>
          <w:color w:val="auto"/>
          <w:sz w:val="24"/>
          <w:highlight w:val="none"/>
        </w:rPr>
        <w:t>监测点实测的</w:t>
      </w:r>
      <w:r>
        <w:rPr>
          <w:rFonts w:hint="default" w:ascii="Times New Roman" w:hAnsi="Times New Roman" w:cs="Times New Roman"/>
          <w:i/>
          <w:iCs/>
          <w:color w:val="auto"/>
          <w:sz w:val="24"/>
          <w:highlight w:val="none"/>
        </w:rPr>
        <w:t>pH</w:t>
      </w:r>
      <w:r>
        <w:rPr>
          <w:rFonts w:hint="default" w:ascii="Times New Roman" w:hAnsi="Times New Roman" w:cs="Times New Roman"/>
          <w:color w:val="auto"/>
          <w:sz w:val="24"/>
          <w:highlight w:val="none"/>
        </w:rPr>
        <w:t>值，无量纲；</w:t>
      </w:r>
    </w:p>
    <w:p w14:paraId="7C743495">
      <w:pPr>
        <w:spacing w:line="360" w:lineRule="auto"/>
        <w:ind w:firstLine="1202" w:firstLineChars="501"/>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pH</w:t>
      </w:r>
      <w:r>
        <w:rPr>
          <w:rFonts w:hint="default" w:ascii="Times New Roman" w:hAnsi="Times New Roman" w:cs="Times New Roman"/>
          <w:i/>
          <w:iCs/>
          <w:color w:val="auto"/>
          <w:sz w:val="24"/>
          <w:highlight w:val="none"/>
          <w:vertAlign w:val="subscript"/>
        </w:rPr>
        <w:t>sd</w:t>
      </w:r>
      <w:r>
        <w:rPr>
          <w:rFonts w:hint="default" w:ascii="Times New Roman" w:hAnsi="Times New Roman" w:cs="Times New Roman"/>
          <w:color w:val="auto"/>
          <w:sz w:val="24"/>
          <w:highlight w:val="none"/>
        </w:rPr>
        <w:t>—评价标准规定的</w:t>
      </w:r>
      <w:r>
        <w:rPr>
          <w:rFonts w:hint="default" w:ascii="Times New Roman" w:hAnsi="Times New Roman" w:cs="Times New Roman"/>
          <w:i/>
          <w:iCs/>
          <w:color w:val="auto"/>
          <w:sz w:val="24"/>
          <w:highlight w:val="none"/>
        </w:rPr>
        <w:t>pH</w:t>
      </w:r>
      <w:r>
        <w:rPr>
          <w:rFonts w:hint="default" w:ascii="Times New Roman" w:hAnsi="Times New Roman" w:cs="Times New Roman"/>
          <w:color w:val="auto"/>
          <w:sz w:val="24"/>
          <w:highlight w:val="none"/>
        </w:rPr>
        <w:t>下限，无量纲；</w:t>
      </w:r>
    </w:p>
    <w:p w14:paraId="1112350A">
      <w:pPr>
        <w:ind w:firstLine="1142" w:firstLineChars="476"/>
        <w:rPr>
          <w:rFonts w:hint="default" w:ascii="Times New Roman" w:hAnsi="Times New Roman" w:cs="Times New Roman"/>
          <w:color w:val="auto"/>
          <w:spacing w:val="6"/>
          <w:sz w:val="24"/>
          <w:highlight w:val="none"/>
        </w:rPr>
      </w:pPr>
      <w:r>
        <w:rPr>
          <w:rFonts w:hint="default" w:ascii="Times New Roman" w:hAnsi="Times New Roman" w:cs="Times New Roman"/>
          <w:i/>
          <w:iCs/>
          <w:color w:val="auto"/>
          <w:sz w:val="24"/>
          <w:highlight w:val="none"/>
        </w:rPr>
        <w:t>pH</w:t>
      </w:r>
      <w:r>
        <w:rPr>
          <w:rFonts w:hint="default" w:ascii="Times New Roman" w:hAnsi="Times New Roman" w:cs="Times New Roman"/>
          <w:i/>
          <w:iCs/>
          <w:color w:val="auto"/>
          <w:sz w:val="24"/>
          <w:highlight w:val="none"/>
          <w:vertAlign w:val="subscript"/>
        </w:rPr>
        <w:t>su</w:t>
      </w:r>
      <w:r>
        <w:rPr>
          <w:rFonts w:hint="default" w:ascii="Times New Roman" w:hAnsi="Times New Roman" w:cs="Times New Roman"/>
          <w:color w:val="auto"/>
          <w:sz w:val="24"/>
          <w:highlight w:val="none"/>
        </w:rPr>
        <w:t>—评价标准规定的</w:t>
      </w:r>
      <w:r>
        <w:rPr>
          <w:rFonts w:hint="default" w:ascii="Times New Roman" w:hAnsi="Times New Roman" w:cs="Times New Roman"/>
          <w:i/>
          <w:iCs/>
          <w:color w:val="auto"/>
          <w:sz w:val="24"/>
          <w:highlight w:val="none"/>
        </w:rPr>
        <w:t>pH</w:t>
      </w:r>
      <w:r>
        <w:rPr>
          <w:rFonts w:hint="default" w:ascii="Times New Roman" w:hAnsi="Times New Roman" w:cs="Times New Roman"/>
          <w:color w:val="auto"/>
          <w:sz w:val="24"/>
          <w:highlight w:val="none"/>
        </w:rPr>
        <w:t>上限，无量纲。</w:t>
      </w:r>
    </w:p>
    <w:p w14:paraId="02896C52">
      <w:pPr>
        <w:pStyle w:val="140"/>
        <w:spacing w:before="156"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default" w:ascii="Times New Roman" w:hAnsi="Times New Roman" w:cs="Times New Roman"/>
          <w:i/>
          <w:iCs/>
          <w:color w:val="auto"/>
          <w:highlight w:val="none"/>
        </w:rPr>
        <w:t>DO</w:t>
      </w:r>
      <w:r>
        <w:rPr>
          <w:rFonts w:hint="default" w:ascii="Times New Roman" w:hAnsi="Times New Roman" w:cs="Times New Roman"/>
          <w:color w:val="auto"/>
          <w:highlight w:val="none"/>
        </w:rPr>
        <w:t>的标准指数评价模式：</w:t>
      </w:r>
    </w:p>
    <w:p w14:paraId="6D0D354B">
      <w:pPr>
        <w:spacing w:line="360" w:lineRule="auto"/>
        <w:jc w:val="center"/>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object>
          <v:shape id="_x0000_i1030" o:spt="75" type="#_x0000_t75" style="height:28.4pt;width:151.6pt;" o:ole="t" filled="f" o:preferrelative="t" stroked="f" coordsize="21600,21600">
            <v:path/>
            <v:fill on="f" focussize="0,0"/>
            <v:stroke on="f" joinstyle="miter"/>
            <v:imagedata r:id="rId45" o:title=""/>
            <o:lock v:ext="edit" aspectratio="t"/>
            <w10:wrap type="none"/>
            <w10:anchorlock/>
          </v:shape>
          <o:OLEObject Type="Embed" ProgID="Equation.3" ShapeID="_x0000_i1030" DrawAspect="Content" ObjectID="_1468075730" r:id="rId44">
            <o:LockedField>false</o:LockedField>
          </o:OLEObject>
        </w:object>
      </w:r>
    </w:p>
    <w:p w14:paraId="2EC25E3C">
      <w:pPr>
        <w:spacing w:line="360" w:lineRule="auto"/>
        <w:jc w:val="center"/>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object>
          <v:shape id="_x0000_i1031" o:spt="75" type="#_x0000_t75" style="height:28.4pt;width:149.2pt;" o:ole="t" filled="f" o:preferrelative="t" stroked="f" coordsize="21600,21600">
            <v:path/>
            <v:fill on="f" focussize="0,0"/>
            <v:stroke on="f" joinstyle="miter"/>
            <v:imagedata r:id="rId47" o:title=""/>
            <o:lock v:ext="edit" aspectratio="t"/>
            <w10:wrap type="none"/>
            <w10:anchorlock/>
          </v:shape>
          <o:OLEObject Type="Embed" ProgID="Equation.3" ShapeID="_x0000_i1031" DrawAspect="Content" ObjectID="_1468075731" r:id="rId46">
            <o:LockedField>false</o:LockedField>
          </o:OLEObject>
        </w:object>
      </w:r>
    </w:p>
    <w:p w14:paraId="71A5E20F">
      <w:pPr>
        <w:spacing w:line="360" w:lineRule="auto"/>
        <w:jc w:val="center"/>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DO</w:t>
      </w:r>
      <w:r>
        <w:rPr>
          <w:rFonts w:hint="default" w:ascii="Times New Roman" w:hAnsi="Times New Roman" w:cs="Times New Roman"/>
          <w:i/>
          <w:color w:val="auto"/>
          <w:spacing w:val="6"/>
          <w:sz w:val="24"/>
          <w:highlight w:val="none"/>
          <w:vertAlign w:val="subscript"/>
        </w:rPr>
        <w:t>f</w:t>
      </w:r>
      <w:r>
        <w:rPr>
          <w:rFonts w:hint="default" w:ascii="Times New Roman" w:hAnsi="Times New Roman" w:cs="Times New Roman"/>
          <w:color w:val="auto"/>
          <w:spacing w:val="6"/>
          <w:sz w:val="24"/>
          <w:highlight w:val="none"/>
        </w:rPr>
        <w:t>=468/（31.6+</w:t>
      </w:r>
      <w:r>
        <w:rPr>
          <w:rFonts w:hint="default" w:ascii="Times New Roman" w:hAnsi="Times New Roman" w:cs="Times New Roman"/>
          <w:i/>
          <w:color w:val="auto"/>
          <w:spacing w:val="6"/>
          <w:sz w:val="24"/>
          <w:highlight w:val="none"/>
        </w:rPr>
        <w:t>T</w:t>
      </w:r>
      <w:r>
        <w:rPr>
          <w:rFonts w:hint="default" w:ascii="Times New Roman" w:hAnsi="Times New Roman" w:cs="Times New Roman"/>
          <w:color w:val="auto"/>
          <w:spacing w:val="6"/>
          <w:sz w:val="24"/>
          <w:highlight w:val="none"/>
        </w:rPr>
        <w:t>）</w:t>
      </w:r>
    </w:p>
    <w:p w14:paraId="03DE577C">
      <w:pPr>
        <w:spacing w:line="360" w:lineRule="auto"/>
        <w:ind w:firstLine="451" w:firstLineChars="179"/>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式中：</w:t>
      </w:r>
      <w:r>
        <w:rPr>
          <w:rFonts w:hint="default" w:ascii="Times New Roman" w:hAnsi="Times New Roman" w:cs="Times New Roman"/>
          <w:i/>
          <w:iCs/>
          <w:color w:val="auto"/>
          <w:spacing w:val="6"/>
          <w:sz w:val="24"/>
          <w:highlight w:val="none"/>
        </w:rPr>
        <w:t>S</w:t>
      </w:r>
      <w:r>
        <w:rPr>
          <w:rFonts w:hint="default" w:ascii="Times New Roman" w:hAnsi="Times New Roman" w:cs="Times New Roman"/>
          <w:i/>
          <w:iCs/>
          <w:color w:val="auto"/>
          <w:spacing w:val="6"/>
          <w:sz w:val="24"/>
          <w:highlight w:val="none"/>
          <w:vertAlign w:val="subscript"/>
        </w:rPr>
        <w:t>DO,j</w:t>
      </w:r>
      <w:r>
        <w:rPr>
          <w:rFonts w:hint="default" w:ascii="Times New Roman" w:hAnsi="Times New Roman" w:cs="Times New Roman"/>
          <w:color w:val="auto"/>
          <w:spacing w:val="6"/>
          <w:sz w:val="24"/>
          <w:highlight w:val="none"/>
        </w:rPr>
        <w:t>—</w:t>
      </w:r>
      <w:r>
        <w:rPr>
          <w:rFonts w:hint="default" w:ascii="Times New Roman" w:hAnsi="Times New Roman" w:cs="Times New Roman"/>
          <w:i/>
          <w:iCs/>
          <w:color w:val="auto"/>
          <w:spacing w:val="6"/>
          <w:sz w:val="24"/>
          <w:highlight w:val="none"/>
        </w:rPr>
        <w:t>DO</w:t>
      </w:r>
      <w:r>
        <w:rPr>
          <w:rFonts w:hint="default" w:ascii="Times New Roman" w:hAnsi="Times New Roman" w:cs="Times New Roman"/>
          <w:color w:val="auto"/>
          <w:spacing w:val="6"/>
          <w:sz w:val="24"/>
          <w:highlight w:val="none"/>
        </w:rPr>
        <w:t>在第</w:t>
      </w:r>
      <w:r>
        <w:rPr>
          <w:rFonts w:hint="default" w:ascii="Times New Roman" w:hAnsi="Times New Roman" w:cs="Times New Roman"/>
          <w:i/>
          <w:iCs/>
          <w:color w:val="auto"/>
          <w:spacing w:val="6"/>
          <w:sz w:val="24"/>
          <w:highlight w:val="none"/>
        </w:rPr>
        <w:t>j</w:t>
      </w:r>
      <w:r>
        <w:rPr>
          <w:rFonts w:hint="default" w:ascii="Times New Roman" w:hAnsi="Times New Roman" w:cs="Times New Roman"/>
          <w:color w:val="auto"/>
          <w:spacing w:val="6"/>
          <w:sz w:val="24"/>
          <w:highlight w:val="none"/>
        </w:rPr>
        <w:t>点的标准指数；</w:t>
      </w:r>
    </w:p>
    <w:p w14:paraId="03CED13E">
      <w:pPr>
        <w:spacing w:line="360" w:lineRule="auto"/>
        <w:ind w:firstLine="1207" w:firstLineChars="479"/>
        <w:rPr>
          <w:rFonts w:hint="default" w:ascii="Times New Roman" w:hAnsi="Times New Roman" w:cs="Times New Roman"/>
          <w:i/>
          <w:color w:val="auto"/>
          <w:spacing w:val="6"/>
          <w:sz w:val="24"/>
          <w:highlight w:val="none"/>
          <w:vertAlign w:val="subscript"/>
        </w:rPr>
      </w:pPr>
      <w:r>
        <w:rPr>
          <w:rFonts w:hint="default" w:ascii="Times New Roman" w:hAnsi="Times New Roman" w:cs="Times New Roman"/>
          <w:i/>
          <w:iCs/>
          <w:color w:val="auto"/>
          <w:spacing w:val="6"/>
          <w:sz w:val="24"/>
          <w:highlight w:val="none"/>
        </w:rPr>
        <w:t>DO</w:t>
      </w:r>
      <w:r>
        <w:rPr>
          <w:rFonts w:hint="default" w:ascii="Times New Roman" w:hAnsi="Times New Roman" w:cs="Times New Roman"/>
          <w:i/>
          <w:iCs/>
          <w:color w:val="auto"/>
          <w:spacing w:val="6"/>
          <w:sz w:val="24"/>
          <w:highlight w:val="none"/>
          <w:vertAlign w:val="subscript"/>
        </w:rPr>
        <w:t>j</w:t>
      </w:r>
      <w:r>
        <w:rPr>
          <w:rFonts w:hint="default" w:ascii="Times New Roman" w:hAnsi="Times New Roman" w:cs="Times New Roman"/>
          <w:color w:val="auto"/>
          <w:spacing w:val="6"/>
          <w:sz w:val="24"/>
          <w:highlight w:val="none"/>
        </w:rPr>
        <w:t>—</w:t>
      </w:r>
      <w:r>
        <w:rPr>
          <w:rFonts w:hint="default" w:ascii="Times New Roman" w:hAnsi="Times New Roman" w:cs="Times New Roman"/>
          <w:i/>
          <w:iCs/>
          <w:color w:val="auto"/>
          <w:spacing w:val="6"/>
          <w:sz w:val="24"/>
          <w:highlight w:val="none"/>
        </w:rPr>
        <w:t>DO</w:t>
      </w:r>
      <w:r>
        <w:rPr>
          <w:rFonts w:hint="default" w:ascii="Times New Roman" w:hAnsi="Times New Roman" w:cs="Times New Roman"/>
          <w:color w:val="auto"/>
          <w:spacing w:val="6"/>
          <w:sz w:val="24"/>
          <w:highlight w:val="none"/>
        </w:rPr>
        <w:t>在第</w:t>
      </w:r>
      <w:r>
        <w:rPr>
          <w:rFonts w:hint="default" w:ascii="Times New Roman" w:hAnsi="Times New Roman" w:cs="Times New Roman"/>
          <w:i/>
          <w:iCs/>
          <w:color w:val="auto"/>
          <w:spacing w:val="6"/>
          <w:sz w:val="24"/>
          <w:highlight w:val="none"/>
        </w:rPr>
        <w:t>j</w:t>
      </w:r>
      <w:r>
        <w:rPr>
          <w:rFonts w:hint="default" w:ascii="Times New Roman" w:hAnsi="Times New Roman" w:cs="Times New Roman"/>
          <w:color w:val="auto"/>
          <w:spacing w:val="6"/>
          <w:sz w:val="24"/>
          <w:highlight w:val="none"/>
        </w:rPr>
        <w:t>点的浓度（mg/L）；</w:t>
      </w:r>
    </w:p>
    <w:p w14:paraId="303DFCE9">
      <w:pPr>
        <w:spacing w:line="360" w:lineRule="auto"/>
        <w:ind w:firstLine="1207" w:firstLineChars="479"/>
        <w:rPr>
          <w:rFonts w:hint="default" w:ascii="Times New Roman" w:hAnsi="Times New Roman" w:cs="Times New Roman"/>
          <w:i/>
          <w:color w:val="auto"/>
          <w:spacing w:val="6"/>
          <w:sz w:val="24"/>
          <w:highlight w:val="none"/>
          <w:vertAlign w:val="subscript"/>
        </w:rPr>
      </w:pPr>
      <w:r>
        <w:rPr>
          <w:rFonts w:hint="default" w:ascii="Times New Roman" w:hAnsi="Times New Roman" w:cs="Times New Roman"/>
          <w:i/>
          <w:iCs/>
          <w:color w:val="auto"/>
          <w:spacing w:val="6"/>
          <w:sz w:val="24"/>
          <w:highlight w:val="none"/>
        </w:rPr>
        <w:t>DO</w:t>
      </w:r>
      <w:r>
        <w:rPr>
          <w:rFonts w:hint="default" w:ascii="Times New Roman" w:hAnsi="Times New Roman" w:cs="Times New Roman"/>
          <w:i/>
          <w:iCs/>
          <w:color w:val="auto"/>
          <w:spacing w:val="6"/>
          <w:sz w:val="24"/>
          <w:highlight w:val="none"/>
          <w:vertAlign w:val="subscript"/>
        </w:rPr>
        <w:t>s</w:t>
      </w:r>
      <w:r>
        <w:rPr>
          <w:rFonts w:hint="default" w:ascii="Times New Roman" w:hAnsi="Times New Roman" w:cs="Times New Roman"/>
          <w:color w:val="auto"/>
          <w:spacing w:val="6"/>
          <w:sz w:val="24"/>
          <w:highlight w:val="none"/>
        </w:rPr>
        <w:t>—地表水水质标准中规定的</w:t>
      </w:r>
      <w:r>
        <w:rPr>
          <w:rFonts w:hint="default" w:ascii="Times New Roman" w:hAnsi="Times New Roman" w:cs="Times New Roman"/>
          <w:i/>
          <w:iCs/>
          <w:color w:val="auto"/>
          <w:spacing w:val="6"/>
          <w:sz w:val="24"/>
          <w:highlight w:val="none"/>
        </w:rPr>
        <w:t>DO</w:t>
      </w:r>
      <w:r>
        <w:rPr>
          <w:rFonts w:hint="default" w:ascii="Times New Roman" w:hAnsi="Times New Roman" w:cs="Times New Roman"/>
          <w:color w:val="auto"/>
          <w:spacing w:val="6"/>
          <w:sz w:val="24"/>
          <w:highlight w:val="none"/>
        </w:rPr>
        <w:t>值。</w:t>
      </w:r>
    </w:p>
    <w:p w14:paraId="551C31C3">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④监测及评价结果</w:t>
      </w:r>
    </w:p>
    <w:p w14:paraId="35ADEBBE">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水质监测结果见表3.4-</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w:t>
      </w:r>
    </w:p>
    <w:p w14:paraId="2BAE5FD9">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w:t>
      </w:r>
      <w:r>
        <w:rPr>
          <w:rFonts w:hint="default" w:ascii="Times New Roman" w:hAnsi="Times New Roman" w:eastAsia="黑体" w:cs="Times New Roman"/>
          <w:bCs/>
          <w:color w:val="auto"/>
          <w:kern w:val="0"/>
          <w:szCs w:val="21"/>
          <w:highlight w:val="none"/>
          <w:lang w:val="en-US" w:eastAsia="zh-CN"/>
        </w:rPr>
        <w:t>7</w:t>
      </w:r>
      <w:r>
        <w:rPr>
          <w:rFonts w:hint="default" w:ascii="Times New Roman" w:hAnsi="Times New Roman" w:eastAsia="黑体" w:cs="Times New Roman"/>
          <w:bCs/>
          <w:color w:val="auto"/>
          <w:kern w:val="0"/>
          <w:szCs w:val="21"/>
          <w:highlight w:val="none"/>
        </w:rPr>
        <w:t xml:space="preserve">  地表水环境质量现状监测结果一览表</w:t>
      </w:r>
    </w:p>
    <w:tbl>
      <w:tblPr>
        <w:tblStyle w:val="58"/>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48"/>
        <w:gridCol w:w="1261"/>
        <w:gridCol w:w="1266"/>
        <w:gridCol w:w="1261"/>
        <w:gridCol w:w="1268"/>
      </w:tblGrid>
      <w:tr w14:paraId="0983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2" w:type="pct"/>
            <w:vMerge w:val="restart"/>
            <w:vAlign w:val="center"/>
          </w:tcPr>
          <w:p w14:paraId="771AF21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监测项目</w:t>
            </w:r>
          </w:p>
        </w:tc>
        <w:tc>
          <w:tcPr>
            <w:tcW w:w="2807" w:type="pct"/>
            <w:gridSpan w:val="4"/>
            <w:vAlign w:val="center"/>
          </w:tcPr>
          <w:p w14:paraId="3F80008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监测结果</w:t>
            </w:r>
          </w:p>
        </w:tc>
      </w:tr>
      <w:tr w14:paraId="4071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2" w:type="pct"/>
            <w:vMerge w:val="continue"/>
            <w:vAlign w:val="center"/>
          </w:tcPr>
          <w:p w14:paraId="24972426">
            <w:pPr>
              <w:jc w:val="center"/>
              <w:rPr>
                <w:rFonts w:hint="default" w:ascii="Times New Roman" w:hAnsi="Times New Roman" w:cs="Times New Roman"/>
                <w:color w:val="auto"/>
                <w:szCs w:val="21"/>
                <w:highlight w:val="none"/>
              </w:rPr>
            </w:pPr>
          </w:p>
        </w:tc>
        <w:tc>
          <w:tcPr>
            <w:tcW w:w="1403" w:type="pct"/>
            <w:gridSpan w:val="2"/>
            <w:vAlign w:val="center"/>
          </w:tcPr>
          <w:p w14:paraId="39D3744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DB1</w:t>
            </w:r>
          </w:p>
        </w:tc>
        <w:tc>
          <w:tcPr>
            <w:tcW w:w="1404" w:type="pct"/>
            <w:gridSpan w:val="2"/>
            <w:vAlign w:val="center"/>
          </w:tcPr>
          <w:p w14:paraId="75B3789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DB2</w:t>
            </w:r>
          </w:p>
        </w:tc>
      </w:tr>
      <w:tr w14:paraId="5678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2" w:type="pct"/>
            <w:vMerge w:val="continue"/>
            <w:vAlign w:val="center"/>
          </w:tcPr>
          <w:p w14:paraId="351512C4">
            <w:pPr>
              <w:jc w:val="center"/>
              <w:rPr>
                <w:rFonts w:hint="default" w:ascii="Times New Roman" w:hAnsi="Times New Roman" w:cs="Times New Roman"/>
                <w:color w:val="auto"/>
                <w:szCs w:val="21"/>
                <w:highlight w:val="none"/>
              </w:rPr>
            </w:pPr>
          </w:p>
        </w:tc>
        <w:tc>
          <w:tcPr>
            <w:tcW w:w="700" w:type="pct"/>
            <w:shd w:val="clear" w:color="auto" w:fill="auto"/>
            <w:vAlign w:val="center"/>
          </w:tcPr>
          <w:p w14:paraId="2B2D48F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7</w:t>
            </w:r>
          </w:p>
        </w:tc>
        <w:tc>
          <w:tcPr>
            <w:tcW w:w="702" w:type="pct"/>
            <w:shd w:val="clear" w:color="auto" w:fill="auto"/>
            <w:vAlign w:val="center"/>
          </w:tcPr>
          <w:p w14:paraId="7D64C3A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8</w:t>
            </w:r>
          </w:p>
        </w:tc>
        <w:tc>
          <w:tcPr>
            <w:tcW w:w="700" w:type="pct"/>
            <w:shd w:val="clear" w:color="auto" w:fill="auto"/>
            <w:vAlign w:val="center"/>
          </w:tcPr>
          <w:p w14:paraId="47F7E80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7</w:t>
            </w:r>
          </w:p>
        </w:tc>
        <w:tc>
          <w:tcPr>
            <w:tcW w:w="703" w:type="pct"/>
            <w:shd w:val="clear" w:color="auto" w:fill="auto"/>
            <w:vAlign w:val="center"/>
          </w:tcPr>
          <w:p w14:paraId="4BB9A45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8</w:t>
            </w:r>
          </w:p>
        </w:tc>
      </w:tr>
      <w:tr w14:paraId="76A2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2" w:type="pct"/>
            <w:vAlign w:val="center"/>
          </w:tcPr>
          <w:p w14:paraId="791D6D4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水温（℃）</w:t>
            </w:r>
          </w:p>
        </w:tc>
        <w:tc>
          <w:tcPr>
            <w:tcW w:w="700" w:type="pct"/>
            <w:vAlign w:val="center"/>
          </w:tcPr>
          <w:p w14:paraId="77E5023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13.0</w:t>
            </w:r>
          </w:p>
        </w:tc>
        <w:tc>
          <w:tcPr>
            <w:tcW w:w="702" w:type="pct"/>
            <w:vAlign w:val="center"/>
          </w:tcPr>
          <w:p w14:paraId="238D412B">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12.0</w:t>
            </w:r>
          </w:p>
        </w:tc>
        <w:tc>
          <w:tcPr>
            <w:tcW w:w="700" w:type="pct"/>
            <w:shd w:val="clear" w:color="auto" w:fill="auto"/>
            <w:vAlign w:val="center"/>
          </w:tcPr>
          <w:p w14:paraId="56D5581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12.2</w:t>
            </w:r>
          </w:p>
        </w:tc>
        <w:tc>
          <w:tcPr>
            <w:tcW w:w="703" w:type="pct"/>
            <w:shd w:val="clear" w:color="auto" w:fill="auto"/>
            <w:vAlign w:val="center"/>
          </w:tcPr>
          <w:p w14:paraId="7B40776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13.5</w:t>
            </w:r>
          </w:p>
        </w:tc>
      </w:tr>
      <w:tr w14:paraId="73C1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2" w:type="pct"/>
            <w:vAlign w:val="center"/>
          </w:tcPr>
          <w:p w14:paraId="57C04BE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pH（无量纲）</w:t>
            </w:r>
          </w:p>
        </w:tc>
        <w:tc>
          <w:tcPr>
            <w:tcW w:w="700" w:type="pct"/>
            <w:vAlign w:val="center"/>
          </w:tcPr>
          <w:p w14:paraId="693EA2E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6.9</w:t>
            </w:r>
          </w:p>
        </w:tc>
        <w:tc>
          <w:tcPr>
            <w:tcW w:w="702" w:type="pct"/>
            <w:vAlign w:val="center"/>
          </w:tcPr>
          <w:p w14:paraId="7290D25B">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6.9</w:t>
            </w:r>
          </w:p>
        </w:tc>
        <w:tc>
          <w:tcPr>
            <w:tcW w:w="700" w:type="pct"/>
            <w:shd w:val="clear" w:color="auto" w:fill="auto"/>
            <w:vAlign w:val="center"/>
          </w:tcPr>
          <w:p w14:paraId="41BB412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7.0</w:t>
            </w:r>
          </w:p>
        </w:tc>
        <w:tc>
          <w:tcPr>
            <w:tcW w:w="703" w:type="pct"/>
            <w:shd w:val="clear" w:color="auto" w:fill="auto"/>
            <w:vAlign w:val="center"/>
          </w:tcPr>
          <w:p w14:paraId="0033344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7.0</w:t>
            </w:r>
          </w:p>
        </w:tc>
      </w:tr>
      <w:tr w14:paraId="48E6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2" w:type="pct"/>
            <w:vAlign w:val="center"/>
          </w:tcPr>
          <w:p w14:paraId="412962A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COD（mg/L）</w:t>
            </w:r>
          </w:p>
        </w:tc>
        <w:tc>
          <w:tcPr>
            <w:tcW w:w="700" w:type="pct"/>
            <w:vAlign w:val="center"/>
          </w:tcPr>
          <w:p w14:paraId="47DA26E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702" w:type="pct"/>
            <w:vAlign w:val="center"/>
          </w:tcPr>
          <w:p w14:paraId="0010F6A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700" w:type="pct"/>
            <w:shd w:val="clear" w:color="auto" w:fill="auto"/>
            <w:vAlign w:val="center"/>
          </w:tcPr>
          <w:p w14:paraId="7F43478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703" w:type="pct"/>
            <w:shd w:val="clear" w:color="auto" w:fill="auto"/>
            <w:vAlign w:val="center"/>
          </w:tcPr>
          <w:p w14:paraId="6F3BE51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5</w:t>
            </w:r>
          </w:p>
        </w:tc>
      </w:tr>
      <w:tr w14:paraId="1FA5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2" w:type="pct"/>
            <w:vAlign w:val="center"/>
          </w:tcPr>
          <w:p w14:paraId="7E21BE7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r>
              <w:rPr>
                <w:rFonts w:hint="default" w:ascii="Times New Roman" w:hAnsi="Times New Roman" w:cs="Times New Roman"/>
                <w:color w:val="auto"/>
                <w:szCs w:val="21"/>
                <w:highlight w:val="none"/>
              </w:rPr>
              <w:t>（mg/L）</w:t>
            </w:r>
          </w:p>
        </w:tc>
        <w:tc>
          <w:tcPr>
            <w:tcW w:w="700" w:type="pct"/>
            <w:vAlign w:val="center"/>
          </w:tcPr>
          <w:p w14:paraId="68552A6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2.2</w:t>
            </w:r>
          </w:p>
        </w:tc>
        <w:tc>
          <w:tcPr>
            <w:tcW w:w="702" w:type="pct"/>
            <w:vAlign w:val="center"/>
          </w:tcPr>
          <w:p w14:paraId="2581EB2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2.1</w:t>
            </w:r>
          </w:p>
        </w:tc>
        <w:tc>
          <w:tcPr>
            <w:tcW w:w="700" w:type="pct"/>
            <w:shd w:val="clear" w:color="auto" w:fill="auto"/>
            <w:vAlign w:val="center"/>
          </w:tcPr>
          <w:p w14:paraId="5E85AF8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703" w:type="pct"/>
            <w:shd w:val="clear" w:color="auto" w:fill="auto"/>
            <w:vAlign w:val="center"/>
          </w:tcPr>
          <w:p w14:paraId="239728F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w:t>
            </w:r>
          </w:p>
        </w:tc>
      </w:tr>
      <w:tr w14:paraId="239D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2" w:type="pct"/>
            <w:vAlign w:val="center"/>
          </w:tcPr>
          <w:p w14:paraId="27169AC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氨氮（mg/L）</w:t>
            </w:r>
          </w:p>
        </w:tc>
        <w:tc>
          <w:tcPr>
            <w:tcW w:w="700" w:type="pct"/>
            <w:shd w:val="clear" w:color="auto" w:fill="auto"/>
            <w:vAlign w:val="center"/>
          </w:tcPr>
          <w:p w14:paraId="06E3954E">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0.056</w:t>
            </w:r>
          </w:p>
        </w:tc>
        <w:tc>
          <w:tcPr>
            <w:tcW w:w="702" w:type="pct"/>
            <w:shd w:val="clear" w:color="auto" w:fill="auto"/>
            <w:vAlign w:val="center"/>
          </w:tcPr>
          <w:p w14:paraId="31F29CB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0.059</w:t>
            </w:r>
          </w:p>
        </w:tc>
        <w:tc>
          <w:tcPr>
            <w:tcW w:w="700" w:type="pct"/>
            <w:shd w:val="clear" w:color="auto" w:fill="auto"/>
            <w:vAlign w:val="center"/>
          </w:tcPr>
          <w:p w14:paraId="665BAC6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0.051</w:t>
            </w:r>
          </w:p>
        </w:tc>
        <w:tc>
          <w:tcPr>
            <w:tcW w:w="703" w:type="pct"/>
            <w:shd w:val="clear" w:color="auto" w:fill="auto"/>
            <w:vAlign w:val="center"/>
          </w:tcPr>
          <w:p w14:paraId="5033DD5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0.054</w:t>
            </w:r>
          </w:p>
        </w:tc>
      </w:tr>
      <w:tr w14:paraId="09AA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2" w:type="pct"/>
            <w:vAlign w:val="center"/>
          </w:tcPr>
          <w:p w14:paraId="1EC92F2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总磷（mg/L）</w:t>
            </w:r>
          </w:p>
        </w:tc>
        <w:tc>
          <w:tcPr>
            <w:tcW w:w="700" w:type="pct"/>
            <w:shd w:val="clear" w:color="auto" w:fill="auto"/>
            <w:vAlign w:val="center"/>
          </w:tcPr>
          <w:p w14:paraId="3C559A3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0.02</w:t>
            </w:r>
          </w:p>
        </w:tc>
        <w:tc>
          <w:tcPr>
            <w:tcW w:w="702" w:type="pct"/>
            <w:shd w:val="clear" w:color="auto" w:fill="auto"/>
            <w:vAlign w:val="center"/>
          </w:tcPr>
          <w:p w14:paraId="4FB9AF1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w:t>
            </w:r>
          </w:p>
        </w:tc>
        <w:tc>
          <w:tcPr>
            <w:tcW w:w="700" w:type="pct"/>
            <w:shd w:val="clear" w:color="auto" w:fill="auto"/>
            <w:vAlign w:val="center"/>
          </w:tcPr>
          <w:p w14:paraId="3E8DF40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0.02</w:t>
            </w:r>
          </w:p>
        </w:tc>
        <w:tc>
          <w:tcPr>
            <w:tcW w:w="703" w:type="pct"/>
            <w:shd w:val="clear" w:color="auto" w:fill="auto"/>
            <w:vAlign w:val="center"/>
          </w:tcPr>
          <w:p w14:paraId="03AB511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0.02</w:t>
            </w:r>
          </w:p>
        </w:tc>
      </w:tr>
      <w:tr w14:paraId="4094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2" w:type="pct"/>
            <w:vAlign w:val="center"/>
          </w:tcPr>
          <w:p w14:paraId="1DC17106">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粪大肠菌群（MPN/L）</w:t>
            </w:r>
          </w:p>
        </w:tc>
        <w:tc>
          <w:tcPr>
            <w:tcW w:w="700" w:type="pct"/>
            <w:shd w:val="clear" w:color="auto" w:fill="auto"/>
            <w:vAlign w:val="center"/>
          </w:tcPr>
          <w:p w14:paraId="01C48F3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90</w:t>
            </w:r>
          </w:p>
        </w:tc>
        <w:tc>
          <w:tcPr>
            <w:tcW w:w="702" w:type="pct"/>
            <w:shd w:val="clear" w:color="auto" w:fill="auto"/>
            <w:vAlign w:val="center"/>
          </w:tcPr>
          <w:p w14:paraId="3B98E06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90</w:t>
            </w:r>
          </w:p>
        </w:tc>
        <w:tc>
          <w:tcPr>
            <w:tcW w:w="700" w:type="pct"/>
            <w:shd w:val="clear" w:color="auto" w:fill="auto"/>
            <w:vAlign w:val="center"/>
          </w:tcPr>
          <w:p w14:paraId="6B3C0B1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70</w:t>
            </w:r>
          </w:p>
        </w:tc>
        <w:tc>
          <w:tcPr>
            <w:tcW w:w="703" w:type="pct"/>
            <w:shd w:val="clear" w:color="auto" w:fill="auto"/>
            <w:vAlign w:val="center"/>
          </w:tcPr>
          <w:p w14:paraId="15333C1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70</w:t>
            </w:r>
          </w:p>
        </w:tc>
      </w:tr>
    </w:tbl>
    <w:p w14:paraId="5D46EFB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地表水环境质量现状评价结果见表3.4-</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w:t>
      </w:r>
    </w:p>
    <w:p w14:paraId="0566950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根据表3.4-</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可知，监测期间规划区</w:t>
      </w:r>
      <w:r>
        <w:rPr>
          <w:rFonts w:hint="default" w:ascii="Times New Roman" w:hAnsi="Times New Roman" w:cs="Times New Roman"/>
          <w:color w:val="auto"/>
          <w:sz w:val="24"/>
          <w:highlight w:val="none"/>
          <w:lang w:eastAsia="zh-CN"/>
        </w:rPr>
        <w:t>北侧帕隆藏布</w:t>
      </w:r>
      <w:r>
        <w:rPr>
          <w:rFonts w:hint="default" w:ascii="Times New Roman" w:hAnsi="Times New Roman" w:cs="Times New Roman"/>
          <w:color w:val="auto"/>
          <w:sz w:val="24"/>
          <w:highlight w:val="none"/>
        </w:rPr>
        <w:t>上下游2个监测断面各指标均可以满足《地表水环境质量标准》（GB3838-2002）中</w:t>
      </w:r>
      <w:r>
        <w:rPr>
          <w:rFonts w:hint="default" w:ascii="Times New Roman" w:hAnsi="Times New Roman" w:eastAsia="宋体" w:cs="Times New Roman"/>
          <w:color w:val="auto"/>
          <w:sz w:val="24"/>
          <w:highlight w:val="none"/>
        </w:rPr>
        <w:t>Ⅱ</w:t>
      </w:r>
      <w:r>
        <w:rPr>
          <w:rFonts w:hint="default" w:ascii="Times New Roman" w:hAnsi="Times New Roman" w:cs="Times New Roman"/>
          <w:color w:val="auto"/>
          <w:sz w:val="24"/>
          <w:highlight w:val="none"/>
        </w:rPr>
        <w:t>类限值要求。所在区域水环境质量现状较好。</w:t>
      </w:r>
    </w:p>
    <w:p w14:paraId="4B6ED4DA">
      <w:pPr>
        <w:pStyle w:val="36"/>
        <w:rPr>
          <w:rFonts w:hint="default" w:ascii="Times New Roman" w:hAnsi="Times New Roman" w:cs="Times New Roman"/>
          <w:color w:val="auto"/>
          <w:highlight w:val="none"/>
          <w:lang w:val="en-US"/>
        </w:rPr>
        <w:sectPr>
          <w:headerReference r:id="rId8" w:type="default"/>
          <w:footerReference r:id="rId9" w:type="default"/>
          <w:pgSz w:w="11906" w:h="16838"/>
          <w:pgMar w:top="1474" w:right="1474" w:bottom="1474" w:left="1474" w:header="1134" w:footer="850" w:gutter="0"/>
          <w:pgBorders>
            <w:top w:val="none" w:sz="0" w:space="0"/>
            <w:left w:val="none" w:sz="0" w:space="0"/>
            <w:bottom w:val="none" w:sz="0" w:space="0"/>
            <w:right w:val="none" w:sz="0" w:space="0"/>
          </w:pgBorders>
          <w:cols w:space="720" w:num="1"/>
          <w:docGrid w:type="lines" w:linePitch="312" w:charSpace="0"/>
        </w:sectPr>
      </w:pPr>
    </w:p>
    <w:p w14:paraId="75E87D58">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w:t>
      </w:r>
      <w:r>
        <w:rPr>
          <w:rFonts w:hint="default" w:ascii="Times New Roman" w:hAnsi="Times New Roman" w:eastAsia="黑体" w:cs="Times New Roman"/>
          <w:bCs/>
          <w:color w:val="auto"/>
          <w:kern w:val="0"/>
          <w:szCs w:val="21"/>
          <w:highlight w:val="none"/>
          <w:lang w:val="en-US" w:eastAsia="zh-CN"/>
        </w:rPr>
        <w:t>8</w:t>
      </w:r>
      <w:r>
        <w:rPr>
          <w:rFonts w:hint="default" w:ascii="Times New Roman" w:hAnsi="Times New Roman" w:eastAsia="黑体" w:cs="Times New Roman"/>
          <w:bCs/>
          <w:color w:val="auto"/>
          <w:kern w:val="0"/>
          <w:szCs w:val="21"/>
          <w:highlight w:val="none"/>
        </w:rPr>
        <w:t xml:space="preserve">  地表水环境质量现状评价结果一览表</w:t>
      </w:r>
    </w:p>
    <w:tbl>
      <w:tblPr>
        <w:tblStyle w:val="58"/>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7"/>
        <w:gridCol w:w="1337"/>
        <w:gridCol w:w="1212"/>
        <w:gridCol w:w="1559"/>
        <w:gridCol w:w="1559"/>
        <w:gridCol w:w="1679"/>
        <w:gridCol w:w="2271"/>
        <w:gridCol w:w="2049"/>
        <w:gridCol w:w="1409"/>
      </w:tblGrid>
      <w:tr w14:paraId="0152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94" w:type="pct"/>
            <w:tcMar>
              <w:left w:w="28" w:type="dxa"/>
              <w:right w:w="28" w:type="dxa"/>
            </w:tcMar>
            <w:vAlign w:val="center"/>
          </w:tcPr>
          <w:p w14:paraId="5B11BDA9">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监测断面</w:t>
            </w:r>
          </w:p>
        </w:tc>
        <w:tc>
          <w:tcPr>
            <w:tcW w:w="481" w:type="pct"/>
            <w:tcMar>
              <w:left w:w="28" w:type="dxa"/>
              <w:right w:w="28" w:type="dxa"/>
            </w:tcMar>
            <w:vAlign w:val="center"/>
          </w:tcPr>
          <w:p w14:paraId="64E9F9CB">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436" w:type="pct"/>
            <w:tcMar>
              <w:left w:w="28" w:type="dxa"/>
              <w:right w:w="28" w:type="dxa"/>
            </w:tcMar>
            <w:vAlign w:val="center"/>
          </w:tcPr>
          <w:p w14:paraId="0DACFF96">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水温（℃）</w:t>
            </w:r>
          </w:p>
        </w:tc>
        <w:tc>
          <w:tcPr>
            <w:tcW w:w="561" w:type="pct"/>
            <w:tcMar>
              <w:left w:w="28" w:type="dxa"/>
              <w:right w:w="28" w:type="dxa"/>
            </w:tcMar>
            <w:vAlign w:val="center"/>
          </w:tcPr>
          <w:p w14:paraId="3548C9D5">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pH（无量纲）</w:t>
            </w:r>
          </w:p>
        </w:tc>
        <w:tc>
          <w:tcPr>
            <w:tcW w:w="561" w:type="pct"/>
            <w:tcMar>
              <w:left w:w="28" w:type="dxa"/>
              <w:right w:w="28" w:type="dxa"/>
            </w:tcMar>
            <w:vAlign w:val="center"/>
          </w:tcPr>
          <w:p w14:paraId="4D03F09A">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COD</w:t>
            </w:r>
          </w:p>
          <w:p w14:paraId="4886E30E">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（mg/L）</w:t>
            </w:r>
          </w:p>
        </w:tc>
        <w:tc>
          <w:tcPr>
            <w:tcW w:w="604" w:type="pct"/>
            <w:tcMar>
              <w:left w:w="28" w:type="dxa"/>
              <w:right w:w="28" w:type="dxa"/>
            </w:tcMar>
            <w:vAlign w:val="center"/>
          </w:tcPr>
          <w:p w14:paraId="10B84046">
            <w:pPr>
              <w:adjustRightInd w:val="0"/>
              <w:snapToGrid w:val="0"/>
              <w:jc w:val="center"/>
              <w:rPr>
                <w:rFonts w:hint="default" w:ascii="Times New Roman" w:hAnsi="Times New Roman" w:cs="Times New Roman"/>
                <w:b/>
                <w:bCs/>
                <w:color w:val="auto"/>
                <w:szCs w:val="21"/>
                <w:highlight w:val="none"/>
                <w:vertAlign w:val="subscript"/>
              </w:rPr>
            </w:pPr>
            <w:r>
              <w:rPr>
                <w:rFonts w:hint="default" w:ascii="Times New Roman" w:hAnsi="Times New Roman" w:cs="Times New Roman"/>
                <w:b/>
                <w:bCs/>
                <w:color w:val="auto"/>
                <w:szCs w:val="21"/>
                <w:highlight w:val="none"/>
              </w:rPr>
              <w:t>BOD</w:t>
            </w:r>
            <w:r>
              <w:rPr>
                <w:rFonts w:hint="default" w:ascii="Times New Roman" w:hAnsi="Times New Roman" w:cs="Times New Roman"/>
                <w:b/>
                <w:bCs/>
                <w:color w:val="auto"/>
                <w:szCs w:val="21"/>
                <w:highlight w:val="none"/>
                <w:vertAlign w:val="subscript"/>
              </w:rPr>
              <w:t>5</w:t>
            </w:r>
          </w:p>
          <w:p w14:paraId="4DEB9B67">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（mg/L）</w:t>
            </w:r>
          </w:p>
        </w:tc>
        <w:tc>
          <w:tcPr>
            <w:tcW w:w="817" w:type="pct"/>
            <w:tcMar>
              <w:left w:w="28" w:type="dxa"/>
              <w:right w:w="28" w:type="dxa"/>
            </w:tcMar>
            <w:vAlign w:val="center"/>
          </w:tcPr>
          <w:p w14:paraId="3D5F80F8">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氨氮</w:t>
            </w:r>
          </w:p>
          <w:p w14:paraId="4EDB732B">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（mg/L）</w:t>
            </w:r>
          </w:p>
        </w:tc>
        <w:tc>
          <w:tcPr>
            <w:tcW w:w="737" w:type="pct"/>
            <w:tcMar>
              <w:left w:w="28" w:type="dxa"/>
              <w:right w:w="28" w:type="dxa"/>
            </w:tcMar>
            <w:vAlign w:val="center"/>
          </w:tcPr>
          <w:p w14:paraId="7DA82805">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总磷</w:t>
            </w:r>
          </w:p>
          <w:p w14:paraId="78F6945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（mg/L）</w:t>
            </w:r>
          </w:p>
        </w:tc>
        <w:tc>
          <w:tcPr>
            <w:tcW w:w="507" w:type="pct"/>
            <w:vAlign w:val="center"/>
          </w:tcPr>
          <w:p w14:paraId="1981397A">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粪大肠菌群（MPN/L）</w:t>
            </w:r>
          </w:p>
        </w:tc>
      </w:tr>
      <w:tr w14:paraId="4C1B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4" w:type="pct"/>
            <w:vMerge w:val="restart"/>
            <w:tcMar>
              <w:left w:w="28" w:type="dxa"/>
              <w:right w:w="28" w:type="dxa"/>
            </w:tcMar>
            <w:vAlign w:val="center"/>
          </w:tcPr>
          <w:p w14:paraId="0E02EDFC">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DB1</w:t>
            </w:r>
          </w:p>
        </w:tc>
        <w:tc>
          <w:tcPr>
            <w:tcW w:w="481" w:type="pct"/>
            <w:tcMar>
              <w:left w:w="28" w:type="dxa"/>
              <w:right w:w="28" w:type="dxa"/>
            </w:tcMar>
            <w:vAlign w:val="center"/>
          </w:tcPr>
          <w:p w14:paraId="4F642E78">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浓度范围</w:t>
            </w:r>
          </w:p>
        </w:tc>
        <w:tc>
          <w:tcPr>
            <w:tcW w:w="436" w:type="pct"/>
            <w:tcMar>
              <w:left w:w="28" w:type="dxa"/>
              <w:right w:w="28" w:type="dxa"/>
            </w:tcMar>
            <w:vAlign w:val="center"/>
          </w:tcPr>
          <w:p w14:paraId="72FEAD0D">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12</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13</w:t>
            </w:r>
          </w:p>
        </w:tc>
        <w:tc>
          <w:tcPr>
            <w:tcW w:w="561" w:type="pct"/>
            <w:tcMar>
              <w:left w:w="28" w:type="dxa"/>
              <w:right w:w="28" w:type="dxa"/>
            </w:tcMar>
            <w:vAlign w:val="center"/>
          </w:tcPr>
          <w:p w14:paraId="2212FD1E">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6.9</w:t>
            </w:r>
          </w:p>
        </w:tc>
        <w:tc>
          <w:tcPr>
            <w:tcW w:w="561" w:type="pct"/>
            <w:tcMar>
              <w:left w:w="28" w:type="dxa"/>
              <w:right w:w="28" w:type="dxa"/>
            </w:tcMar>
            <w:vAlign w:val="center"/>
          </w:tcPr>
          <w:p w14:paraId="65C201B1">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w:t>
            </w:r>
          </w:p>
        </w:tc>
        <w:tc>
          <w:tcPr>
            <w:tcW w:w="604" w:type="pct"/>
            <w:tcMar>
              <w:left w:w="28" w:type="dxa"/>
              <w:right w:w="28" w:type="dxa"/>
            </w:tcMar>
            <w:vAlign w:val="center"/>
          </w:tcPr>
          <w:p w14:paraId="246E39FA">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2.1</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2.2</w:t>
            </w:r>
          </w:p>
        </w:tc>
        <w:tc>
          <w:tcPr>
            <w:tcW w:w="817" w:type="pct"/>
            <w:tcMar>
              <w:left w:w="28" w:type="dxa"/>
              <w:right w:w="28" w:type="dxa"/>
            </w:tcMar>
            <w:vAlign w:val="center"/>
          </w:tcPr>
          <w:p w14:paraId="34425AD6">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056</w:t>
            </w: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059</w:t>
            </w:r>
          </w:p>
        </w:tc>
        <w:tc>
          <w:tcPr>
            <w:tcW w:w="737" w:type="pct"/>
            <w:tcMar>
              <w:left w:w="28" w:type="dxa"/>
              <w:right w:w="28" w:type="dxa"/>
            </w:tcMar>
            <w:vAlign w:val="center"/>
          </w:tcPr>
          <w:p w14:paraId="47BEBD07">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0.0</w:t>
            </w:r>
            <w:r>
              <w:rPr>
                <w:rFonts w:hint="default" w:ascii="Times New Roman" w:hAnsi="Times New Roman" w:cs="Times New Roman"/>
                <w:color w:val="auto"/>
                <w:kern w:val="0"/>
                <w:szCs w:val="21"/>
                <w:highlight w:val="none"/>
                <w:lang w:val="en-US" w:eastAsia="zh-CN"/>
              </w:rPr>
              <w:t>2</w:t>
            </w:r>
          </w:p>
        </w:tc>
        <w:tc>
          <w:tcPr>
            <w:tcW w:w="507" w:type="pct"/>
            <w:vAlign w:val="center"/>
          </w:tcPr>
          <w:p w14:paraId="64407C98">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90</w:t>
            </w:r>
          </w:p>
        </w:tc>
      </w:tr>
      <w:tr w14:paraId="6B60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4" w:type="pct"/>
            <w:vMerge w:val="continue"/>
            <w:tcMar>
              <w:left w:w="28" w:type="dxa"/>
              <w:right w:w="28" w:type="dxa"/>
            </w:tcMar>
            <w:vAlign w:val="center"/>
          </w:tcPr>
          <w:p w14:paraId="5E9E5BB5">
            <w:pPr>
              <w:adjustRightInd w:val="0"/>
              <w:snapToGrid w:val="0"/>
              <w:jc w:val="center"/>
              <w:rPr>
                <w:rFonts w:hint="default" w:ascii="Times New Roman" w:hAnsi="Times New Roman" w:cs="Times New Roman"/>
                <w:color w:val="auto"/>
                <w:kern w:val="0"/>
                <w:szCs w:val="21"/>
                <w:highlight w:val="none"/>
              </w:rPr>
            </w:pPr>
          </w:p>
        </w:tc>
        <w:tc>
          <w:tcPr>
            <w:tcW w:w="481" w:type="pct"/>
            <w:tcMar>
              <w:left w:w="28" w:type="dxa"/>
              <w:right w:w="28" w:type="dxa"/>
            </w:tcMar>
            <w:vAlign w:val="center"/>
          </w:tcPr>
          <w:p w14:paraId="087FBAC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标准限值</w:t>
            </w:r>
          </w:p>
        </w:tc>
        <w:tc>
          <w:tcPr>
            <w:tcW w:w="436" w:type="pct"/>
            <w:tcMar>
              <w:left w:w="28" w:type="dxa"/>
              <w:right w:w="28" w:type="dxa"/>
            </w:tcMar>
            <w:vAlign w:val="center"/>
          </w:tcPr>
          <w:p w14:paraId="7BACFAD0">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1" w:type="pct"/>
            <w:tcMar>
              <w:left w:w="28" w:type="dxa"/>
              <w:right w:w="28" w:type="dxa"/>
            </w:tcMar>
            <w:vAlign w:val="center"/>
          </w:tcPr>
          <w:p w14:paraId="54773C5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6~9</w:t>
            </w:r>
          </w:p>
        </w:tc>
        <w:tc>
          <w:tcPr>
            <w:tcW w:w="561" w:type="pct"/>
            <w:tcMar>
              <w:left w:w="28" w:type="dxa"/>
              <w:right w:w="28" w:type="dxa"/>
            </w:tcMar>
            <w:vAlign w:val="center"/>
          </w:tcPr>
          <w:p w14:paraId="58F90D30">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w:t>
            </w:r>
          </w:p>
        </w:tc>
        <w:tc>
          <w:tcPr>
            <w:tcW w:w="604" w:type="pct"/>
            <w:tcMar>
              <w:left w:w="28" w:type="dxa"/>
              <w:right w:w="28" w:type="dxa"/>
            </w:tcMar>
            <w:vAlign w:val="center"/>
          </w:tcPr>
          <w:p w14:paraId="5F66E58B">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3</w:t>
            </w:r>
          </w:p>
        </w:tc>
        <w:tc>
          <w:tcPr>
            <w:tcW w:w="817" w:type="pct"/>
            <w:tcMar>
              <w:left w:w="28" w:type="dxa"/>
              <w:right w:w="28" w:type="dxa"/>
            </w:tcMar>
            <w:vAlign w:val="center"/>
          </w:tcPr>
          <w:p w14:paraId="7B581B00">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0.5</w:t>
            </w:r>
          </w:p>
        </w:tc>
        <w:tc>
          <w:tcPr>
            <w:tcW w:w="737" w:type="pct"/>
            <w:tcMar>
              <w:left w:w="28" w:type="dxa"/>
              <w:right w:w="28" w:type="dxa"/>
            </w:tcMar>
            <w:vAlign w:val="center"/>
          </w:tcPr>
          <w:p w14:paraId="5CA4BB0C">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1</w:t>
            </w:r>
          </w:p>
        </w:tc>
        <w:tc>
          <w:tcPr>
            <w:tcW w:w="507" w:type="pct"/>
            <w:vAlign w:val="center"/>
          </w:tcPr>
          <w:p w14:paraId="4904CF2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000</w:t>
            </w:r>
          </w:p>
        </w:tc>
      </w:tr>
      <w:tr w14:paraId="1CDA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4" w:type="pct"/>
            <w:vMerge w:val="continue"/>
            <w:tcMar>
              <w:left w:w="28" w:type="dxa"/>
              <w:right w:w="28" w:type="dxa"/>
            </w:tcMar>
            <w:vAlign w:val="center"/>
          </w:tcPr>
          <w:p w14:paraId="296A82B4">
            <w:pPr>
              <w:adjustRightInd w:val="0"/>
              <w:snapToGrid w:val="0"/>
              <w:jc w:val="center"/>
              <w:rPr>
                <w:rFonts w:hint="default" w:ascii="Times New Roman" w:hAnsi="Times New Roman" w:cs="Times New Roman"/>
                <w:color w:val="auto"/>
                <w:kern w:val="0"/>
                <w:szCs w:val="21"/>
                <w:highlight w:val="none"/>
              </w:rPr>
            </w:pPr>
          </w:p>
        </w:tc>
        <w:tc>
          <w:tcPr>
            <w:tcW w:w="481" w:type="pct"/>
            <w:tcMar>
              <w:left w:w="28" w:type="dxa"/>
              <w:right w:w="28" w:type="dxa"/>
            </w:tcMar>
            <w:vAlign w:val="center"/>
          </w:tcPr>
          <w:p w14:paraId="55F642D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标准指数范围</w:t>
            </w:r>
          </w:p>
        </w:tc>
        <w:tc>
          <w:tcPr>
            <w:tcW w:w="436" w:type="pct"/>
            <w:tcMar>
              <w:left w:w="28" w:type="dxa"/>
              <w:right w:w="28" w:type="dxa"/>
            </w:tcMar>
            <w:vAlign w:val="center"/>
          </w:tcPr>
          <w:p w14:paraId="3F183535">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1" w:type="pct"/>
            <w:tcMar>
              <w:left w:w="28" w:type="dxa"/>
              <w:right w:w="28" w:type="dxa"/>
            </w:tcMar>
            <w:vAlign w:val="center"/>
          </w:tcPr>
          <w:p w14:paraId="25D10E0B">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10</w:t>
            </w:r>
          </w:p>
        </w:tc>
        <w:tc>
          <w:tcPr>
            <w:tcW w:w="561" w:type="pct"/>
            <w:tcMar>
              <w:left w:w="28" w:type="dxa"/>
              <w:right w:w="28" w:type="dxa"/>
            </w:tcMar>
            <w:vAlign w:val="center"/>
          </w:tcPr>
          <w:p w14:paraId="6B4DE64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4</w:t>
            </w:r>
            <w:r>
              <w:rPr>
                <w:rFonts w:hint="default" w:ascii="Times New Roman" w:hAnsi="Times New Roman" w:cs="Times New Roman"/>
                <w:color w:val="auto"/>
                <w:kern w:val="0"/>
                <w:szCs w:val="21"/>
                <w:highlight w:val="none"/>
              </w:rPr>
              <w:t>0</w:t>
            </w:r>
          </w:p>
        </w:tc>
        <w:tc>
          <w:tcPr>
            <w:tcW w:w="604" w:type="pct"/>
            <w:tcMar>
              <w:left w:w="28" w:type="dxa"/>
              <w:right w:w="28" w:type="dxa"/>
            </w:tcMar>
            <w:vAlign w:val="center"/>
          </w:tcPr>
          <w:p w14:paraId="3B649C28">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70</w:t>
            </w: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73</w:t>
            </w:r>
          </w:p>
        </w:tc>
        <w:tc>
          <w:tcPr>
            <w:tcW w:w="817" w:type="pct"/>
            <w:tcMar>
              <w:left w:w="28" w:type="dxa"/>
              <w:right w:w="28" w:type="dxa"/>
            </w:tcMar>
            <w:vAlign w:val="center"/>
          </w:tcPr>
          <w:p w14:paraId="504055EE">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0.11~</w:t>
            </w: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12</w:t>
            </w:r>
          </w:p>
        </w:tc>
        <w:tc>
          <w:tcPr>
            <w:tcW w:w="737" w:type="pct"/>
            <w:tcMar>
              <w:left w:w="28" w:type="dxa"/>
              <w:right w:w="28" w:type="dxa"/>
            </w:tcMar>
            <w:vAlign w:val="center"/>
          </w:tcPr>
          <w:p w14:paraId="12D7AA2C">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0</w:t>
            </w:r>
          </w:p>
        </w:tc>
        <w:tc>
          <w:tcPr>
            <w:tcW w:w="507" w:type="pct"/>
            <w:vAlign w:val="center"/>
          </w:tcPr>
          <w:p w14:paraId="408E6FFB">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0.05</w:t>
            </w:r>
          </w:p>
        </w:tc>
      </w:tr>
      <w:tr w14:paraId="081A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4" w:type="pct"/>
            <w:vMerge w:val="continue"/>
            <w:tcMar>
              <w:left w:w="28" w:type="dxa"/>
              <w:right w:w="28" w:type="dxa"/>
            </w:tcMar>
            <w:vAlign w:val="center"/>
          </w:tcPr>
          <w:p w14:paraId="2C03EF3B">
            <w:pPr>
              <w:adjustRightInd w:val="0"/>
              <w:snapToGrid w:val="0"/>
              <w:jc w:val="center"/>
              <w:rPr>
                <w:rFonts w:hint="default" w:ascii="Times New Roman" w:hAnsi="Times New Roman" w:cs="Times New Roman"/>
                <w:color w:val="auto"/>
                <w:kern w:val="0"/>
                <w:szCs w:val="21"/>
                <w:highlight w:val="none"/>
              </w:rPr>
            </w:pPr>
          </w:p>
        </w:tc>
        <w:tc>
          <w:tcPr>
            <w:tcW w:w="481" w:type="pct"/>
            <w:tcMar>
              <w:left w:w="28" w:type="dxa"/>
              <w:right w:w="28" w:type="dxa"/>
            </w:tcMar>
            <w:vAlign w:val="center"/>
          </w:tcPr>
          <w:p w14:paraId="113C18E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达标情况</w:t>
            </w:r>
          </w:p>
        </w:tc>
        <w:tc>
          <w:tcPr>
            <w:tcW w:w="436" w:type="pct"/>
            <w:tcMar>
              <w:left w:w="28" w:type="dxa"/>
              <w:right w:w="28" w:type="dxa"/>
            </w:tcMar>
            <w:vAlign w:val="center"/>
          </w:tcPr>
          <w:p w14:paraId="6BA4F5C4">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1" w:type="pct"/>
            <w:tcMar>
              <w:left w:w="28" w:type="dxa"/>
              <w:right w:w="28" w:type="dxa"/>
            </w:tcMar>
            <w:vAlign w:val="center"/>
          </w:tcPr>
          <w:p w14:paraId="39E4A375">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c>
          <w:tcPr>
            <w:tcW w:w="561" w:type="pct"/>
            <w:tcMar>
              <w:left w:w="28" w:type="dxa"/>
              <w:right w:w="28" w:type="dxa"/>
            </w:tcMar>
            <w:vAlign w:val="center"/>
          </w:tcPr>
          <w:p w14:paraId="68B8F49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c>
          <w:tcPr>
            <w:tcW w:w="604" w:type="pct"/>
            <w:tcMar>
              <w:left w:w="28" w:type="dxa"/>
              <w:right w:w="28" w:type="dxa"/>
            </w:tcMar>
            <w:vAlign w:val="center"/>
          </w:tcPr>
          <w:p w14:paraId="6963F8E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c>
          <w:tcPr>
            <w:tcW w:w="817" w:type="pct"/>
            <w:tcMar>
              <w:left w:w="28" w:type="dxa"/>
              <w:right w:w="28" w:type="dxa"/>
            </w:tcMar>
            <w:vAlign w:val="center"/>
          </w:tcPr>
          <w:p w14:paraId="18F8505F">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c>
          <w:tcPr>
            <w:tcW w:w="737" w:type="pct"/>
            <w:tcMar>
              <w:left w:w="28" w:type="dxa"/>
              <w:right w:w="28" w:type="dxa"/>
            </w:tcMar>
            <w:vAlign w:val="center"/>
          </w:tcPr>
          <w:p w14:paraId="48136492">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c>
          <w:tcPr>
            <w:tcW w:w="507" w:type="pct"/>
            <w:vAlign w:val="center"/>
          </w:tcPr>
          <w:p w14:paraId="7D58695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r>
      <w:tr w14:paraId="50F4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4" w:type="pct"/>
            <w:vMerge w:val="restart"/>
            <w:tcMar>
              <w:left w:w="28" w:type="dxa"/>
              <w:right w:w="28" w:type="dxa"/>
            </w:tcMar>
            <w:vAlign w:val="center"/>
          </w:tcPr>
          <w:p w14:paraId="31AFADB8">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DB2</w:t>
            </w:r>
          </w:p>
        </w:tc>
        <w:tc>
          <w:tcPr>
            <w:tcW w:w="481" w:type="pct"/>
            <w:tcMar>
              <w:left w:w="28" w:type="dxa"/>
              <w:right w:w="28" w:type="dxa"/>
            </w:tcMar>
            <w:vAlign w:val="center"/>
          </w:tcPr>
          <w:p w14:paraId="51EBCB5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浓度范围</w:t>
            </w:r>
          </w:p>
        </w:tc>
        <w:tc>
          <w:tcPr>
            <w:tcW w:w="436" w:type="pct"/>
            <w:tcMar>
              <w:left w:w="28" w:type="dxa"/>
              <w:right w:w="28" w:type="dxa"/>
            </w:tcMar>
            <w:vAlign w:val="center"/>
          </w:tcPr>
          <w:p w14:paraId="34714325">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12.2</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13.5</w:t>
            </w:r>
          </w:p>
        </w:tc>
        <w:tc>
          <w:tcPr>
            <w:tcW w:w="561" w:type="pct"/>
            <w:tcMar>
              <w:left w:w="28" w:type="dxa"/>
              <w:right w:w="28" w:type="dxa"/>
            </w:tcMar>
            <w:vAlign w:val="center"/>
          </w:tcPr>
          <w:p w14:paraId="21881CFB">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7</w:t>
            </w:r>
          </w:p>
        </w:tc>
        <w:tc>
          <w:tcPr>
            <w:tcW w:w="561" w:type="pct"/>
            <w:tcMar>
              <w:left w:w="28" w:type="dxa"/>
              <w:right w:w="28" w:type="dxa"/>
            </w:tcMar>
            <w:vAlign w:val="center"/>
          </w:tcPr>
          <w:p w14:paraId="53327ADF">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4-5</w:t>
            </w:r>
          </w:p>
        </w:tc>
        <w:tc>
          <w:tcPr>
            <w:tcW w:w="604" w:type="pct"/>
            <w:tcMar>
              <w:left w:w="28" w:type="dxa"/>
              <w:right w:w="28" w:type="dxa"/>
            </w:tcMar>
            <w:vAlign w:val="center"/>
          </w:tcPr>
          <w:p w14:paraId="53845C29">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1.1~1.3</w:t>
            </w:r>
          </w:p>
        </w:tc>
        <w:tc>
          <w:tcPr>
            <w:tcW w:w="817" w:type="pct"/>
            <w:tcMar>
              <w:left w:w="28" w:type="dxa"/>
              <w:right w:w="28" w:type="dxa"/>
            </w:tcMar>
            <w:vAlign w:val="center"/>
          </w:tcPr>
          <w:p w14:paraId="2E06257F">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051</w:t>
            </w: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054</w:t>
            </w:r>
          </w:p>
        </w:tc>
        <w:tc>
          <w:tcPr>
            <w:tcW w:w="737" w:type="pct"/>
            <w:tcMar>
              <w:left w:w="28" w:type="dxa"/>
              <w:right w:w="28" w:type="dxa"/>
            </w:tcMar>
            <w:vAlign w:val="center"/>
          </w:tcPr>
          <w:p w14:paraId="485DF427">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0.0</w:t>
            </w:r>
            <w:r>
              <w:rPr>
                <w:rFonts w:hint="default" w:ascii="Times New Roman" w:hAnsi="Times New Roman" w:cs="Times New Roman"/>
                <w:color w:val="auto"/>
                <w:kern w:val="0"/>
                <w:szCs w:val="21"/>
                <w:highlight w:val="none"/>
                <w:lang w:val="en-US" w:eastAsia="zh-CN"/>
              </w:rPr>
              <w:t>2</w:t>
            </w:r>
          </w:p>
        </w:tc>
        <w:tc>
          <w:tcPr>
            <w:tcW w:w="507" w:type="pct"/>
            <w:vAlign w:val="center"/>
          </w:tcPr>
          <w:p w14:paraId="7D388D72">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70</w:t>
            </w:r>
          </w:p>
        </w:tc>
      </w:tr>
      <w:tr w14:paraId="159E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4" w:type="pct"/>
            <w:vMerge w:val="continue"/>
            <w:tcMar>
              <w:left w:w="28" w:type="dxa"/>
              <w:right w:w="28" w:type="dxa"/>
            </w:tcMar>
            <w:vAlign w:val="center"/>
          </w:tcPr>
          <w:p w14:paraId="0F79D715">
            <w:pPr>
              <w:adjustRightInd w:val="0"/>
              <w:snapToGrid w:val="0"/>
              <w:jc w:val="center"/>
              <w:rPr>
                <w:rFonts w:hint="default" w:ascii="Times New Roman" w:hAnsi="Times New Roman" w:cs="Times New Roman"/>
                <w:color w:val="auto"/>
                <w:kern w:val="0"/>
                <w:szCs w:val="21"/>
                <w:highlight w:val="none"/>
              </w:rPr>
            </w:pPr>
          </w:p>
        </w:tc>
        <w:tc>
          <w:tcPr>
            <w:tcW w:w="481" w:type="pct"/>
            <w:tcMar>
              <w:left w:w="28" w:type="dxa"/>
              <w:right w:w="28" w:type="dxa"/>
            </w:tcMar>
            <w:vAlign w:val="center"/>
          </w:tcPr>
          <w:p w14:paraId="7AA08E3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标准限值</w:t>
            </w:r>
          </w:p>
        </w:tc>
        <w:tc>
          <w:tcPr>
            <w:tcW w:w="436" w:type="pct"/>
            <w:shd w:val="clear" w:color="auto" w:fill="auto"/>
            <w:tcMar>
              <w:left w:w="28" w:type="dxa"/>
              <w:right w:w="28" w:type="dxa"/>
            </w:tcMar>
            <w:vAlign w:val="center"/>
          </w:tcPr>
          <w:p w14:paraId="69EDBC96">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w:t>
            </w:r>
          </w:p>
        </w:tc>
        <w:tc>
          <w:tcPr>
            <w:tcW w:w="561" w:type="pct"/>
            <w:shd w:val="clear" w:color="auto" w:fill="auto"/>
            <w:tcMar>
              <w:left w:w="28" w:type="dxa"/>
              <w:right w:w="28" w:type="dxa"/>
            </w:tcMar>
            <w:vAlign w:val="center"/>
          </w:tcPr>
          <w:p w14:paraId="2011D5D1">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6~9</w:t>
            </w:r>
          </w:p>
        </w:tc>
        <w:tc>
          <w:tcPr>
            <w:tcW w:w="561" w:type="pct"/>
            <w:shd w:val="clear" w:color="auto" w:fill="auto"/>
            <w:tcMar>
              <w:left w:w="28" w:type="dxa"/>
              <w:right w:w="28" w:type="dxa"/>
            </w:tcMar>
            <w:vAlign w:val="center"/>
          </w:tcPr>
          <w:p w14:paraId="785DA85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15</w:t>
            </w:r>
          </w:p>
        </w:tc>
        <w:tc>
          <w:tcPr>
            <w:tcW w:w="604" w:type="pct"/>
            <w:shd w:val="clear" w:color="auto" w:fill="auto"/>
            <w:tcMar>
              <w:left w:w="28" w:type="dxa"/>
              <w:right w:w="28" w:type="dxa"/>
            </w:tcMar>
            <w:vAlign w:val="center"/>
          </w:tcPr>
          <w:p w14:paraId="14A8C803">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817" w:type="pct"/>
            <w:shd w:val="clear" w:color="auto" w:fill="auto"/>
            <w:tcMar>
              <w:left w:w="28" w:type="dxa"/>
              <w:right w:w="28" w:type="dxa"/>
            </w:tcMar>
            <w:vAlign w:val="center"/>
          </w:tcPr>
          <w:p w14:paraId="093054D3">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0.5</w:t>
            </w:r>
          </w:p>
        </w:tc>
        <w:tc>
          <w:tcPr>
            <w:tcW w:w="737" w:type="pct"/>
            <w:shd w:val="clear" w:color="auto" w:fill="auto"/>
            <w:tcMar>
              <w:left w:w="28" w:type="dxa"/>
              <w:right w:w="28" w:type="dxa"/>
            </w:tcMar>
            <w:vAlign w:val="center"/>
          </w:tcPr>
          <w:p w14:paraId="6A8C9D8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1</w:t>
            </w:r>
          </w:p>
        </w:tc>
        <w:tc>
          <w:tcPr>
            <w:tcW w:w="507" w:type="pct"/>
            <w:shd w:val="clear" w:color="auto" w:fill="auto"/>
            <w:vAlign w:val="center"/>
          </w:tcPr>
          <w:p w14:paraId="01D1E26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000</w:t>
            </w:r>
          </w:p>
        </w:tc>
      </w:tr>
      <w:tr w14:paraId="6BE1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4" w:type="pct"/>
            <w:vMerge w:val="continue"/>
            <w:tcMar>
              <w:left w:w="28" w:type="dxa"/>
              <w:right w:w="28" w:type="dxa"/>
            </w:tcMar>
            <w:vAlign w:val="center"/>
          </w:tcPr>
          <w:p w14:paraId="255F6F84">
            <w:pPr>
              <w:adjustRightInd w:val="0"/>
              <w:snapToGrid w:val="0"/>
              <w:jc w:val="center"/>
              <w:rPr>
                <w:rFonts w:hint="default" w:ascii="Times New Roman" w:hAnsi="Times New Roman" w:cs="Times New Roman"/>
                <w:color w:val="auto"/>
                <w:kern w:val="0"/>
                <w:szCs w:val="21"/>
                <w:highlight w:val="none"/>
              </w:rPr>
            </w:pPr>
          </w:p>
        </w:tc>
        <w:tc>
          <w:tcPr>
            <w:tcW w:w="481" w:type="pct"/>
            <w:tcMar>
              <w:left w:w="28" w:type="dxa"/>
              <w:right w:w="28" w:type="dxa"/>
            </w:tcMar>
            <w:vAlign w:val="center"/>
          </w:tcPr>
          <w:p w14:paraId="55EB7FF8">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标准指数范围</w:t>
            </w:r>
          </w:p>
        </w:tc>
        <w:tc>
          <w:tcPr>
            <w:tcW w:w="436" w:type="pct"/>
            <w:shd w:val="clear" w:color="auto" w:fill="auto"/>
            <w:tcMar>
              <w:left w:w="28" w:type="dxa"/>
              <w:right w:w="28" w:type="dxa"/>
            </w:tcMar>
            <w:vAlign w:val="center"/>
          </w:tcPr>
          <w:p w14:paraId="024F11E9">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w:t>
            </w:r>
          </w:p>
        </w:tc>
        <w:tc>
          <w:tcPr>
            <w:tcW w:w="561" w:type="pct"/>
            <w:shd w:val="clear" w:color="auto" w:fill="auto"/>
            <w:tcMar>
              <w:left w:w="28" w:type="dxa"/>
              <w:right w:w="28" w:type="dxa"/>
            </w:tcMar>
            <w:vAlign w:val="center"/>
          </w:tcPr>
          <w:p w14:paraId="34552778">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0</w:t>
            </w:r>
          </w:p>
        </w:tc>
        <w:tc>
          <w:tcPr>
            <w:tcW w:w="561" w:type="pct"/>
            <w:shd w:val="clear" w:color="auto" w:fill="auto"/>
            <w:tcMar>
              <w:left w:w="28" w:type="dxa"/>
              <w:right w:w="28" w:type="dxa"/>
            </w:tcMar>
            <w:vAlign w:val="center"/>
          </w:tcPr>
          <w:p w14:paraId="1A99F9DD">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27</w:t>
            </w: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33</w:t>
            </w:r>
          </w:p>
        </w:tc>
        <w:tc>
          <w:tcPr>
            <w:tcW w:w="604" w:type="pct"/>
            <w:shd w:val="clear" w:color="auto" w:fill="auto"/>
            <w:tcMar>
              <w:left w:w="28" w:type="dxa"/>
              <w:right w:w="28" w:type="dxa"/>
            </w:tcMar>
            <w:vAlign w:val="center"/>
          </w:tcPr>
          <w:p w14:paraId="448D196B">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37</w:t>
            </w: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43</w:t>
            </w:r>
          </w:p>
        </w:tc>
        <w:tc>
          <w:tcPr>
            <w:tcW w:w="817" w:type="pct"/>
            <w:shd w:val="clear" w:color="auto" w:fill="auto"/>
            <w:tcMar>
              <w:left w:w="28" w:type="dxa"/>
              <w:right w:w="28" w:type="dxa"/>
            </w:tcMar>
            <w:vAlign w:val="center"/>
          </w:tcPr>
          <w:p w14:paraId="170CDFB3">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10~0.11</w:t>
            </w:r>
          </w:p>
        </w:tc>
        <w:tc>
          <w:tcPr>
            <w:tcW w:w="737" w:type="pct"/>
            <w:shd w:val="clear" w:color="auto" w:fill="auto"/>
            <w:tcMar>
              <w:left w:w="28" w:type="dxa"/>
              <w:right w:w="28" w:type="dxa"/>
            </w:tcMar>
            <w:vAlign w:val="center"/>
          </w:tcPr>
          <w:p w14:paraId="63935971">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20</w:t>
            </w:r>
          </w:p>
        </w:tc>
        <w:tc>
          <w:tcPr>
            <w:tcW w:w="507" w:type="pct"/>
            <w:shd w:val="clear" w:color="auto" w:fill="auto"/>
            <w:vAlign w:val="center"/>
          </w:tcPr>
          <w:p w14:paraId="326CDE57">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0.04</w:t>
            </w:r>
          </w:p>
        </w:tc>
      </w:tr>
      <w:tr w14:paraId="7F7B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4" w:type="pct"/>
            <w:vMerge w:val="continue"/>
            <w:tcMar>
              <w:left w:w="28" w:type="dxa"/>
              <w:right w:w="28" w:type="dxa"/>
            </w:tcMar>
            <w:vAlign w:val="center"/>
          </w:tcPr>
          <w:p w14:paraId="3890968B">
            <w:pPr>
              <w:adjustRightInd w:val="0"/>
              <w:snapToGrid w:val="0"/>
              <w:jc w:val="center"/>
              <w:rPr>
                <w:rFonts w:hint="default" w:ascii="Times New Roman" w:hAnsi="Times New Roman" w:cs="Times New Roman"/>
                <w:color w:val="auto"/>
                <w:kern w:val="0"/>
                <w:szCs w:val="21"/>
                <w:highlight w:val="none"/>
              </w:rPr>
            </w:pPr>
          </w:p>
        </w:tc>
        <w:tc>
          <w:tcPr>
            <w:tcW w:w="481" w:type="pct"/>
            <w:tcMar>
              <w:left w:w="28" w:type="dxa"/>
              <w:right w:w="28" w:type="dxa"/>
            </w:tcMar>
            <w:vAlign w:val="center"/>
          </w:tcPr>
          <w:p w14:paraId="0025F94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达标情况</w:t>
            </w:r>
          </w:p>
        </w:tc>
        <w:tc>
          <w:tcPr>
            <w:tcW w:w="436" w:type="pct"/>
            <w:tcMar>
              <w:left w:w="28" w:type="dxa"/>
              <w:right w:w="28" w:type="dxa"/>
            </w:tcMar>
            <w:vAlign w:val="center"/>
          </w:tcPr>
          <w:p w14:paraId="14EAC44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561" w:type="pct"/>
            <w:tcMar>
              <w:left w:w="28" w:type="dxa"/>
              <w:right w:w="28" w:type="dxa"/>
            </w:tcMar>
            <w:vAlign w:val="center"/>
          </w:tcPr>
          <w:p w14:paraId="0FB8CB30">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c>
          <w:tcPr>
            <w:tcW w:w="561" w:type="pct"/>
            <w:tcMar>
              <w:left w:w="28" w:type="dxa"/>
              <w:right w:w="28" w:type="dxa"/>
            </w:tcMar>
            <w:vAlign w:val="center"/>
          </w:tcPr>
          <w:p w14:paraId="770FA1A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c>
          <w:tcPr>
            <w:tcW w:w="604" w:type="pct"/>
            <w:tcMar>
              <w:left w:w="28" w:type="dxa"/>
              <w:right w:w="28" w:type="dxa"/>
            </w:tcMar>
            <w:vAlign w:val="center"/>
          </w:tcPr>
          <w:p w14:paraId="313B9A2A">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c>
          <w:tcPr>
            <w:tcW w:w="817" w:type="pct"/>
            <w:tcMar>
              <w:left w:w="28" w:type="dxa"/>
              <w:right w:w="28" w:type="dxa"/>
            </w:tcMar>
            <w:vAlign w:val="center"/>
          </w:tcPr>
          <w:p w14:paraId="74705F24">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c>
          <w:tcPr>
            <w:tcW w:w="737" w:type="pct"/>
            <w:tcMar>
              <w:left w:w="28" w:type="dxa"/>
              <w:right w:w="28" w:type="dxa"/>
            </w:tcMar>
            <w:vAlign w:val="center"/>
          </w:tcPr>
          <w:p w14:paraId="70ACC22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c>
          <w:tcPr>
            <w:tcW w:w="507" w:type="pct"/>
            <w:vAlign w:val="center"/>
          </w:tcPr>
          <w:p w14:paraId="094B8948">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达标</w:t>
            </w:r>
          </w:p>
        </w:tc>
      </w:tr>
    </w:tbl>
    <w:p w14:paraId="2E98D7D5">
      <w:pPr>
        <w:pStyle w:val="140"/>
        <w:spacing w:line="240" w:lineRule="auto"/>
        <w:ind w:firstLine="0" w:firstLineChars="0"/>
        <w:rPr>
          <w:rFonts w:hint="default" w:ascii="Times New Roman" w:hAnsi="Times New Roman" w:cs="Times New Roman"/>
          <w:b/>
          <w:bCs/>
          <w:color w:val="auto"/>
          <w:sz w:val="18"/>
          <w:szCs w:val="18"/>
          <w:highlight w:val="none"/>
        </w:rPr>
      </w:pPr>
    </w:p>
    <w:p w14:paraId="389CCC70">
      <w:pPr>
        <w:spacing w:line="360" w:lineRule="auto"/>
        <w:ind w:firstLine="480" w:firstLineChars="200"/>
        <w:rPr>
          <w:rFonts w:hint="default" w:ascii="Times New Roman" w:hAnsi="Times New Roman" w:cs="Times New Roman"/>
          <w:color w:val="auto"/>
          <w:sz w:val="24"/>
          <w:highlight w:val="none"/>
        </w:rPr>
        <w:sectPr>
          <w:headerReference r:id="rId11" w:type="first"/>
          <w:footerReference r:id="rId13" w:type="first"/>
          <w:headerReference r:id="rId10" w:type="even"/>
          <w:footerReference r:id="rId12" w:type="even"/>
          <w:pgSz w:w="16838" w:h="11906" w:orient="landscape"/>
          <w:pgMar w:top="1474" w:right="1474" w:bottom="1474" w:left="1474" w:header="1134" w:footer="851" w:gutter="0"/>
          <w:pgBorders>
            <w:top w:val="none" w:sz="0" w:space="0"/>
            <w:left w:val="none" w:sz="0" w:space="0"/>
            <w:bottom w:val="none" w:sz="0" w:space="0"/>
            <w:right w:val="none" w:sz="0" w:space="0"/>
          </w:pgBorders>
          <w:cols w:space="720" w:num="1"/>
          <w:docGrid w:type="linesAndChars" w:linePitch="312" w:charSpace="0"/>
        </w:sectPr>
      </w:pPr>
    </w:p>
    <w:p w14:paraId="725BB828">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w:t>
      </w:r>
      <w:bookmarkEnd w:id="117"/>
      <w:bookmarkEnd w:id="118"/>
    </w:p>
    <w:p w14:paraId="0AFF160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规划区域地下水</w:t>
      </w:r>
      <w:r>
        <w:rPr>
          <w:rFonts w:hint="default" w:ascii="Times New Roman" w:hAnsi="Times New Roman" w:cs="Times New Roman"/>
          <w:color w:val="auto"/>
          <w:sz w:val="24"/>
          <w:highlight w:val="none"/>
          <w:lang w:val="en-US" w:eastAsia="zh-CN"/>
        </w:rPr>
        <w:t>基本未开发使用</w:t>
      </w:r>
      <w:r>
        <w:rPr>
          <w:rFonts w:hint="default" w:ascii="Times New Roman" w:hAnsi="Times New Roman" w:cs="Times New Roman"/>
          <w:color w:val="auto"/>
          <w:sz w:val="24"/>
          <w:highlight w:val="none"/>
        </w:rPr>
        <w:t>，根据《地下水质量标准》（GB/T 14848-2017），水质功能为Ⅲ类。</w:t>
      </w:r>
    </w:p>
    <w:p w14:paraId="7563439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根据2018年-202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年《西藏自治区生态环境状况公报》，全区7地（市）行署（政府）所在地城镇集中式饮用水水源地水质均达到《地下水质量标准》（GB/T 14848-2017）中Ⅲ类标准。</w:t>
      </w:r>
    </w:p>
    <w:p w14:paraId="74B2A8D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综上，本规划区所在地区域地下水质量较好。</w:t>
      </w:r>
    </w:p>
    <w:p w14:paraId="4CB82C6A">
      <w:pPr>
        <w:pStyle w:val="4"/>
        <w:spacing w:before="156" w:after="156"/>
        <w:rPr>
          <w:rFonts w:hint="default" w:ascii="Times New Roman" w:hAnsi="Times New Roman" w:cs="Times New Roman"/>
          <w:color w:val="auto"/>
          <w:highlight w:val="none"/>
        </w:rPr>
      </w:pPr>
      <w:bookmarkStart w:id="121" w:name="_Toc9092766"/>
      <w:bookmarkStart w:id="122" w:name="_Toc519260303"/>
      <w:r>
        <w:rPr>
          <w:rFonts w:hint="default" w:ascii="Times New Roman" w:hAnsi="Times New Roman" w:cs="Times New Roman"/>
          <w:color w:val="auto"/>
          <w:highlight w:val="none"/>
        </w:rPr>
        <w:t>声环境</w:t>
      </w:r>
      <w:bookmarkEnd w:id="121"/>
      <w:bookmarkEnd w:id="122"/>
    </w:p>
    <w:p w14:paraId="508CBE57">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现状监测</w:t>
      </w:r>
    </w:p>
    <w:p w14:paraId="426EF5A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为了解本规划所在区域声环境质量现状，本次评价委托</w:t>
      </w:r>
      <w:r>
        <w:rPr>
          <w:rFonts w:hint="default" w:ascii="Times New Roman" w:hAnsi="Times New Roman" w:cs="Times New Roman"/>
          <w:color w:val="auto"/>
          <w:kern w:val="0"/>
          <w:sz w:val="24"/>
          <w:highlight w:val="none"/>
          <w:lang w:eastAsia="zh-CN"/>
        </w:rPr>
        <w:t>西藏中科检测技术有限公司</w:t>
      </w:r>
      <w:r>
        <w:rPr>
          <w:rFonts w:hint="default" w:ascii="Times New Roman" w:hAnsi="Times New Roman" w:cs="Times New Roman"/>
          <w:color w:val="auto"/>
          <w:sz w:val="24"/>
          <w:highlight w:val="none"/>
        </w:rPr>
        <w:t>对规划区内敏感点进行了现状监测。</w:t>
      </w:r>
    </w:p>
    <w:p w14:paraId="35D31702">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（1）监测布点</w:t>
      </w:r>
    </w:p>
    <w:p w14:paraId="2345EBE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本次共布设</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个声环境质量现状监测点位，分别在喜德林卡处、古乡巴卡村民点处进行监测，规划区外200m范围内的居民敏感目标主要为岗巴村居民点，经调查</w:t>
      </w:r>
      <w:r>
        <w:rPr>
          <w:rFonts w:hint="default" w:ascii="Times New Roman" w:hAnsi="Times New Roman" w:cs="Times New Roman"/>
          <w:color w:val="auto"/>
          <w:sz w:val="24"/>
          <w:highlight w:val="none"/>
          <w:lang w:val="en-US" w:eastAsia="zh-CN"/>
        </w:rPr>
        <w:t>规划区内及规划区外200m范围内</w:t>
      </w:r>
      <w:r>
        <w:rPr>
          <w:rFonts w:hint="default" w:ascii="Times New Roman" w:hAnsi="Times New Roman" w:cs="Times New Roman"/>
          <w:color w:val="auto"/>
          <w:sz w:val="24"/>
          <w:highlight w:val="none"/>
        </w:rPr>
        <w:t>无工业企业，</w:t>
      </w:r>
      <w:r>
        <w:rPr>
          <w:rFonts w:hint="default" w:ascii="Times New Roman" w:hAnsi="Times New Roman" w:cs="Times New Roman"/>
          <w:color w:val="auto"/>
          <w:sz w:val="24"/>
          <w:highlight w:val="none"/>
          <w:lang w:val="en-US" w:eastAsia="zh-CN"/>
        </w:rPr>
        <w:t>规划区周边</w:t>
      </w:r>
      <w:r>
        <w:rPr>
          <w:rFonts w:hint="default" w:ascii="Times New Roman" w:hAnsi="Times New Roman" w:cs="Times New Roman"/>
          <w:color w:val="auto"/>
          <w:sz w:val="24"/>
          <w:highlight w:val="none"/>
        </w:rPr>
        <w:t>声环境与规划范围内居民点声环境相似，故在规划范围内布设噪声监测点可代表</w:t>
      </w:r>
      <w:r>
        <w:rPr>
          <w:rFonts w:hint="default" w:ascii="Times New Roman" w:hAnsi="Times New Roman" w:cs="Times New Roman"/>
          <w:color w:val="auto"/>
          <w:sz w:val="24"/>
          <w:highlight w:val="none"/>
          <w:lang w:val="en-US" w:eastAsia="zh-CN"/>
        </w:rPr>
        <w:t>规划范围外200m内</w:t>
      </w:r>
      <w:r>
        <w:rPr>
          <w:rFonts w:hint="default" w:ascii="Times New Roman" w:hAnsi="Times New Roman" w:cs="Times New Roman"/>
          <w:color w:val="auto"/>
          <w:sz w:val="24"/>
          <w:highlight w:val="none"/>
        </w:rPr>
        <w:t>的声环境质量现状。</w:t>
      </w:r>
    </w:p>
    <w:p w14:paraId="4C76E3F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具体监测点位布置情况见表3.4-</w:t>
      </w: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w:t>
      </w:r>
    </w:p>
    <w:p w14:paraId="0815452B">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w:t>
      </w:r>
      <w:r>
        <w:rPr>
          <w:rFonts w:hint="default" w:ascii="Times New Roman" w:hAnsi="Times New Roman" w:eastAsia="黑体" w:cs="Times New Roman"/>
          <w:bCs/>
          <w:color w:val="auto"/>
          <w:kern w:val="0"/>
          <w:szCs w:val="21"/>
          <w:highlight w:val="none"/>
          <w:lang w:val="en-US" w:eastAsia="zh-CN"/>
        </w:rPr>
        <w:t>9</w:t>
      </w:r>
      <w:r>
        <w:rPr>
          <w:rFonts w:hint="default" w:ascii="Times New Roman" w:hAnsi="Times New Roman" w:eastAsia="黑体" w:cs="Times New Roman"/>
          <w:bCs/>
          <w:color w:val="auto"/>
          <w:kern w:val="0"/>
          <w:szCs w:val="21"/>
          <w:highlight w:val="none"/>
        </w:rPr>
        <w:t xml:space="preserve">  声环境质量监测布点一览表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015"/>
        <w:gridCol w:w="3830"/>
        <w:gridCol w:w="1193"/>
        <w:gridCol w:w="2265"/>
      </w:tblGrid>
      <w:tr w14:paraId="6E2E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shd w:val="clear" w:color="auto" w:fill="auto"/>
            <w:vAlign w:val="center"/>
          </w:tcPr>
          <w:p w14:paraId="330B3772">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序号</w:t>
            </w:r>
          </w:p>
        </w:tc>
        <w:tc>
          <w:tcPr>
            <w:tcW w:w="553" w:type="pct"/>
            <w:vAlign w:val="center"/>
          </w:tcPr>
          <w:p w14:paraId="505AEC6D">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编号</w:t>
            </w:r>
          </w:p>
        </w:tc>
        <w:tc>
          <w:tcPr>
            <w:tcW w:w="2087" w:type="pct"/>
            <w:shd w:val="clear" w:color="auto" w:fill="auto"/>
            <w:vAlign w:val="center"/>
          </w:tcPr>
          <w:p w14:paraId="4B2CED89">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监测点位</w:t>
            </w:r>
          </w:p>
        </w:tc>
        <w:tc>
          <w:tcPr>
            <w:tcW w:w="1884" w:type="pct"/>
            <w:gridSpan w:val="2"/>
            <w:vAlign w:val="center"/>
          </w:tcPr>
          <w:p w14:paraId="15A175BE">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执行标准</w:t>
            </w:r>
          </w:p>
        </w:tc>
      </w:tr>
      <w:tr w14:paraId="234A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shd w:val="clear" w:color="auto" w:fill="auto"/>
            <w:vAlign w:val="center"/>
          </w:tcPr>
          <w:p w14:paraId="0FA61A78">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553" w:type="pct"/>
            <w:vAlign w:val="center"/>
          </w:tcPr>
          <w:p w14:paraId="72522377">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ZS-1</w:t>
            </w:r>
          </w:p>
        </w:tc>
        <w:tc>
          <w:tcPr>
            <w:tcW w:w="2087" w:type="pct"/>
            <w:shd w:val="clear" w:color="auto" w:fill="auto"/>
            <w:vAlign w:val="center"/>
          </w:tcPr>
          <w:p w14:paraId="54277D12">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喜德林卡处</w:t>
            </w:r>
          </w:p>
        </w:tc>
        <w:tc>
          <w:tcPr>
            <w:tcW w:w="650" w:type="pct"/>
            <w:vAlign w:val="center"/>
          </w:tcPr>
          <w:p w14:paraId="09F60AA9">
            <w:pPr>
              <w:pStyle w:val="666"/>
              <w:adjustRightInd/>
              <w:ind w:firstLine="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类</w:t>
            </w:r>
          </w:p>
        </w:tc>
        <w:tc>
          <w:tcPr>
            <w:tcW w:w="1233" w:type="pct"/>
            <w:vMerge w:val="restart"/>
            <w:vAlign w:val="center"/>
          </w:tcPr>
          <w:p w14:paraId="3F03B72F">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《声环境质量标准》</w:t>
            </w:r>
          </w:p>
          <w:p w14:paraId="0C974BFC">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（GB3096-2008）</w:t>
            </w:r>
          </w:p>
        </w:tc>
      </w:tr>
      <w:tr w14:paraId="77F0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pct"/>
            <w:shd w:val="clear" w:color="auto" w:fill="auto"/>
            <w:vAlign w:val="center"/>
          </w:tcPr>
          <w:p w14:paraId="06EA96B0">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553" w:type="pct"/>
            <w:vAlign w:val="center"/>
          </w:tcPr>
          <w:p w14:paraId="70A3953B">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ZS-2</w:t>
            </w:r>
          </w:p>
        </w:tc>
        <w:tc>
          <w:tcPr>
            <w:tcW w:w="2087" w:type="pct"/>
            <w:shd w:val="clear" w:color="auto" w:fill="auto"/>
            <w:vAlign w:val="center"/>
          </w:tcPr>
          <w:p w14:paraId="4EA0FA95">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古乡巴卡村民点处</w:t>
            </w:r>
          </w:p>
        </w:tc>
        <w:tc>
          <w:tcPr>
            <w:tcW w:w="650" w:type="pct"/>
          </w:tcPr>
          <w:p w14:paraId="10BA139A">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1类</w:t>
            </w:r>
          </w:p>
        </w:tc>
        <w:tc>
          <w:tcPr>
            <w:tcW w:w="1233" w:type="pct"/>
            <w:vMerge w:val="continue"/>
            <w:vAlign w:val="center"/>
          </w:tcPr>
          <w:p w14:paraId="4D8EBCE2">
            <w:pPr>
              <w:pStyle w:val="666"/>
              <w:adjustRightInd/>
              <w:ind w:firstLine="0"/>
              <w:jc w:val="center"/>
              <w:rPr>
                <w:rFonts w:hint="default" w:ascii="Times New Roman" w:hAnsi="Times New Roman" w:cs="Times New Roman"/>
                <w:color w:val="auto"/>
                <w:szCs w:val="21"/>
                <w:highlight w:val="none"/>
              </w:rPr>
            </w:pPr>
          </w:p>
        </w:tc>
      </w:tr>
    </w:tbl>
    <w:p w14:paraId="7D9F0988">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（2）监测因子</w:t>
      </w:r>
    </w:p>
    <w:p w14:paraId="593DA76E">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等效连续A声级。</w:t>
      </w:r>
    </w:p>
    <w:p w14:paraId="2D4D1F13">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（3）监测时间及监测频次</w:t>
      </w:r>
    </w:p>
    <w:p w14:paraId="02ADD5E7">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202</w:t>
      </w:r>
      <w:r>
        <w:rPr>
          <w:rFonts w:hint="default" w:ascii="Times New Roman" w:hAnsi="Times New Roman" w:cs="Times New Roman" w:eastAsiaTheme="minorEastAsia"/>
          <w:color w:val="auto"/>
          <w:sz w:val="24"/>
          <w:highlight w:val="none"/>
          <w:lang w:val="en-US" w:eastAsia="zh-CN"/>
        </w:rPr>
        <w:t>6</w:t>
      </w:r>
      <w:r>
        <w:rPr>
          <w:rFonts w:hint="default" w:ascii="Times New Roman" w:hAnsi="Times New Roman" w:cs="Times New Roman" w:eastAsiaTheme="minorEastAsia"/>
          <w:color w:val="auto"/>
          <w:sz w:val="24"/>
          <w:highlight w:val="none"/>
        </w:rPr>
        <w:t>年</w:t>
      </w:r>
      <w:r>
        <w:rPr>
          <w:rFonts w:hint="default" w:ascii="Times New Roman" w:hAnsi="Times New Roman" w:cs="Times New Roman" w:eastAsiaTheme="minorEastAsia"/>
          <w:color w:val="auto"/>
          <w:sz w:val="24"/>
          <w:highlight w:val="none"/>
          <w:lang w:val="en-US" w:eastAsia="zh-CN"/>
        </w:rPr>
        <w:t>5</w:t>
      </w:r>
      <w:r>
        <w:rPr>
          <w:rFonts w:hint="default" w:ascii="Times New Roman" w:hAnsi="Times New Roman" w:cs="Times New Roman" w:eastAsiaTheme="minorEastAsia"/>
          <w:color w:val="auto"/>
          <w:sz w:val="24"/>
          <w:highlight w:val="none"/>
        </w:rPr>
        <w:t>月</w:t>
      </w:r>
      <w:r>
        <w:rPr>
          <w:rFonts w:hint="default" w:ascii="Times New Roman" w:hAnsi="Times New Roman" w:cs="Times New Roman" w:eastAsiaTheme="minorEastAsia"/>
          <w:color w:val="auto"/>
          <w:sz w:val="24"/>
          <w:highlight w:val="none"/>
          <w:lang w:val="en-US" w:eastAsia="zh-CN"/>
        </w:rPr>
        <w:t>1</w:t>
      </w:r>
      <w:r>
        <w:rPr>
          <w:rFonts w:hint="default" w:ascii="Times New Roman" w:hAnsi="Times New Roman" w:cs="Times New Roman" w:eastAsiaTheme="minorEastAsia"/>
          <w:color w:val="auto"/>
          <w:sz w:val="24"/>
          <w:highlight w:val="none"/>
        </w:rPr>
        <w:t>日至</w:t>
      </w:r>
      <w:r>
        <w:rPr>
          <w:rFonts w:hint="default" w:ascii="Times New Roman" w:hAnsi="Times New Roman" w:cs="Times New Roman" w:eastAsiaTheme="minorEastAsia"/>
          <w:color w:val="auto"/>
          <w:sz w:val="24"/>
          <w:highlight w:val="none"/>
          <w:lang w:val="en-US" w:eastAsia="zh-CN"/>
        </w:rPr>
        <w:t>5</w:t>
      </w:r>
      <w:r>
        <w:rPr>
          <w:rFonts w:hint="default" w:ascii="Times New Roman" w:hAnsi="Times New Roman" w:cs="Times New Roman" w:eastAsiaTheme="minorEastAsia"/>
          <w:color w:val="auto"/>
          <w:sz w:val="24"/>
          <w:highlight w:val="none"/>
        </w:rPr>
        <w:t>月</w:t>
      </w:r>
      <w:r>
        <w:rPr>
          <w:rFonts w:hint="default" w:ascii="Times New Roman" w:hAnsi="Times New Roman" w:cs="Times New Roman" w:eastAsiaTheme="minorEastAsia"/>
          <w:color w:val="auto"/>
          <w:sz w:val="24"/>
          <w:highlight w:val="none"/>
          <w:lang w:val="en-US" w:eastAsia="zh-CN"/>
        </w:rPr>
        <w:t>3</w:t>
      </w:r>
      <w:r>
        <w:rPr>
          <w:rFonts w:hint="default" w:ascii="Times New Roman" w:hAnsi="Times New Roman" w:cs="Times New Roman" w:eastAsiaTheme="minorEastAsia"/>
          <w:color w:val="auto"/>
          <w:sz w:val="24"/>
          <w:highlight w:val="none"/>
        </w:rPr>
        <w:t>日</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lang w:val="en-US" w:eastAsia="zh-CN"/>
        </w:rPr>
        <w:t>其中3日为夜间</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，连续监测2天，每天监测两次，昼间和夜间各进行一次，每次监测</w:t>
      </w:r>
      <w:r>
        <w:rPr>
          <w:rFonts w:hint="default" w:ascii="Times New Roman" w:hAnsi="Times New Roman" w:cs="Times New Roman" w:eastAsiaTheme="minorEastAsia"/>
          <w:color w:val="auto"/>
          <w:sz w:val="24"/>
          <w:highlight w:val="none"/>
          <w:lang w:val="en-US" w:eastAsia="zh-CN"/>
        </w:rPr>
        <w:t>1</w:t>
      </w:r>
      <w:r>
        <w:rPr>
          <w:rFonts w:hint="default" w:ascii="Times New Roman" w:hAnsi="Times New Roman" w:cs="Times New Roman" w:eastAsiaTheme="minorEastAsia"/>
          <w:color w:val="auto"/>
          <w:sz w:val="24"/>
          <w:highlight w:val="none"/>
        </w:rPr>
        <w:t>0min。</w:t>
      </w:r>
    </w:p>
    <w:p w14:paraId="61F3A2A8">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（4）监测方法</w:t>
      </w:r>
    </w:p>
    <w:p w14:paraId="5AB3F986">
      <w:pPr>
        <w:tabs>
          <w:tab w:val="left" w:pos="0"/>
        </w:tabs>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按照《声环境质量标准》（GB3096-2008）的有关要求进行。</w:t>
      </w:r>
    </w:p>
    <w:p w14:paraId="45786923">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（5）监测结果</w:t>
      </w:r>
    </w:p>
    <w:p w14:paraId="37664D4A">
      <w:pPr>
        <w:tabs>
          <w:tab w:val="left" w:pos="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声环境监测结果见表3.4-1</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w:t>
      </w:r>
    </w:p>
    <w:p w14:paraId="10C68651">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表3.4-1</w:t>
      </w:r>
      <w:r>
        <w:rPr>
          <w:rFonts w:hint="default" w:ascii="Times New Roman" w:hAnsi="Times New Roman" w:eastAsia="黑体" w:cs="Times New Roman"/>
          <w:bCs/>
          <w:color w:val="auto"/>
          <w:kern w:val="0"/>
          <w:szCs w:val="21"/>
          <w:highlight w:val="none"/>
          <w:lang w:val="en-US" w:eastAsia="zh-CN"/>
        </w:rPr>
        <w:t>0</w:t>
      </w:r>
      <w:r>
        <w:rPr>
          <w:rFonts w:hint="default" w:ascii="Times New Roman" w:hAnsi="Times New Roman" w:eastAsia="黑体" w:cs="Times New Roman"/>
          <w:bCs/>
          <w:color w:val="auto"/>
          <w:kern w:val="0"/>
          <w:szCs w:val="21"/>
          <w:highlight w:val="none"/>
        </w:rPr>
        <w:t xml:space="preserve">  声环境质量现状监测结果一览表单位：dB（A）</w:t>
      </w:r>
    </w:p>
    <w:tbl>
      <w:tblPr>
        <w:tblStyle w:val="5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6"/>
        <w:gridCol w:w="1138"/>
        <w:gridCol w:w="1142"/>
        <w:gridCol w:w="1138"/>
        <w:gridCol w:w="1140"/>
      </w:tblGrid>
      <w:tr w14:paraId="31B5B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5" w:type="pct"/>
            <w:vMerge w:val="restart"/>
            <w:tcBorders>
              <w:top w:val="single" w:color="auto" w:sz="4" w:space="0"/>
              <w:left w:val="single" w:color="auto" w:sz="4" w:space="0"/>
              <w:bottom w:val="single" w:color="auto" w:sz="4" w:space="0"/>
              <w:tl2br w:val="single" w:color="auto" w:sz="4" w:space="0"/>
            </w:tcBorders>
            <w:vAlign w:val="center"/>
          </w:tcPr>
          <w:p w14:paraId="2B1B7B03">
            <w:pPr>
              <w:jc w:val="righ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监测时间</w:t>
            </w:r>
          </w:p>
          <w:p w14:paraId="584AF4A9">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监测点位</w:t>
            </w:r>
          </w:p>
        </w:tc>
        <w:tc>
          <w:tcPr>
            <w:tcW w:w="1242" w:type="pct"/>
            <w:gridSpan w:val="2"/>
            <w:tcBorders>
              <w:top w:val="single" w:color="auto" w:sz="4" w:space="0"/>
              <w:bottom w:val="single" w:color="auto" w:sz="4" w:space="0"/>
            </w:tcBorders>
            <w:vAlign w:val="center"/>
          </w:tcPr>
          <w:p w14:paraId="4E98D7A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日</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日</w:t>
            </w:r>
          </w:p>
        </w:tc>
        <w:tc>
          <w:tcPr>
            <w:tcW w:w="1241" w:type="pct"/>
            <w:gridSpan w:val="2"/>
            <w:tcBorders>
              <w:top w:val="single" w:color="auto" w:sz="4" w:space="0"/>
              <w:bottom w:val="single" w:color="auto" w:sz="4" w:space="0"/>
              <w:right w:val="single" w:color="auto" w:sz="4" w:space="0"/>
            </w:tcBorders>
            <w:vAlign w:val="center"/>
          </w:tcPr>
          <w:p w14:paraId="5896F15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日</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日</w:t>
            </w:r>
          </w:p>
        </w:tc>
      </w:tr>
      <w:tr w14:paraId="7DC22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5" w:type="pct"/>
            <w:vMerge w:val="continue"/>
            <w:tcBorders>
              <w:top w:val="single" w:color="auto" w:sz="4" w:space="0"/>
              <w:left w:val="single" w:color="auto" w:sz="4" w:space="0"/>
              <w:bottom w:val="single" w:color="auto" w:sz="4" w:space="0"/>
            </w:tcBorders>
            <w:vAlign w:val="center"/>
          </w:tcPr>
          <w:p w14:paraId="22B72336">
            <w:pPr>
              <w:jc w:val="center"/>
              <w:rPr>
                <w:rFonts w:hint="default" w:ascii="Times New Roman" w:hAnsi="Times New Roman" w:cs="Times New Roman"/>
                <w:color w:val="auto"/>
                <w:szCs w:val="21"/>
                <w:highlight w:val="none"/>
              </w:rPr>
            </w:pPr>
          </w:p>
        </w:tc>
        <w:tc>
          <w:tcPr>
            <w:tcW w:w="620" w:type="pct"/>
            <w:tcBorders>
              <w:top w:val="single" w:color="auto" w:sz="4" w:space="0"/>
              <w:bottom w:val="single" w:color="auto" w:sz="4" w:space="0"/>
            </w:tcBorders>
            <w:vAlign w:val="center"/>
          </w:tcPr>
          <w:p w14:paraId="66CE9E6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621" w:type="pct"/>
            <w:tcBorders>
              <w:top w:val="single" w:color="auto" w:sz="4" w:space="0"/>
              <w:bottom w:val="single" w:color="auto" w:sz="4" w:space="0"/>
            </w:tcBorders>
            <w:vAlign w:val="center"/>
          </w:tcPr>
          <w:p w14:paraId="1FA0338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620" w:type="pct"/>
            <w:tcBorders>
              <w:top w:val="single" w:color="auto" w:sz="4" w:space="0"/>
              <w:bottom w:val="single" w:color="auto" w:sz="4" w:space="0"/>
            </w:tcBorders>
            <w:vAlign w:val="center"/>
          </w:tcPr>
          <w:p w14:paraId="5FE4C4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620" w:type="pct"/>
            <w:tcBorders>
              <w:top w:val="single" w:color="auto" w:sz="4" w:space="0"/>
              <w:bottom w:val="single" w:color="auto" w:sz="4" w:space="0"/>
              <w:right w:val="single" w:color="auto" w:sz="4" w:space="0"/>
            </w:tcBorders>
            <w:vAlign w:val="center"/>
          </w:tcPr>
          <w:p w14:paraId="664EF2B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r>
      <w:tr w14:paraId="3171A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6" w:type="dxa"/>
            <w:tcBorders>
              <w:top w:val="single" w:color="auto" w:sz="4" w:space="0"/>
              <w:left w:val="single" w:color="auto" w:sz="4" w:space="0"/>
              <w:bottom w:val="single" w:color="auto" w:sz="4" w:space="0"/>
            </w:tcBorders>
            <w:vAlign w:val="center"/>
          </w:tcPr>
          <w:p w14:paraId="1D62CFDC">
            <w:pPr>
              <w:pStyle w:val="666"/>
              <w:adjustRightInd/>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ZS-1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喜德林卡处</w:t>
            </w:r>
            <w:r>
              <w:rPr>
                <w:rFonts w:hint="default" w:ascii="Times New Roman" w:hAnsi="Times New Roman" w:cs="Times New Roman"/>
                <w:color w:val="auto"/>
                <w:szCs w:val="21"/>
                <w:highlight w:val="none"/>
                <w:lang w:eastAsia="zh-CN"/>
              </w:rPr>
              <w:t>）</w:t>
            </w:r>
          </w:p>
        </w:tc>
        <w:tc>
          <w:tcPr>
            <w:tcW w:w="620" w:type="pct"/>
            <w:tcBorders>
              <w:top w:val="single" w:color="auto" w:sz="4" w:space="0"/>
              <w:bottom w:val="single" w:color="auto" w:sz="4" w:space="0"/>
            </w:tcBorders>
            <w:vAlign w:val="center"/>
          </w:tcPr>
          <w:p w14:paraId="72CCF6F9">
            <w:pPr>
              <w:pStyle w:val="15"/>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48.7</w:t>
            </w:r>
          </w:p>
        </w:tc>
        <w:tc>
          <w:tcPr>
            <w:tcW w:w="621" w:type="pct"/>
            <w:tcBorders>
              <w:top w:val="single" w:color="auto" w:sz="4" w:space="0"/>
              <w:bottom w:val="single" w:color="auto" w:sz="4" w:space="0"/>
            </w:tcBorders>
            <w:vAlign w:val="center"/>
          </w:tcPr>
          <w:p w14:paraId="3C2B964F">
            <w:pPr>
              <w:pStyle w:val="15"/>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43.2</w:t>
            </w:r>
          </w:p>
        </w:tc>
        <w:tc>
          <w:tcPr>
            <w:tcW w:w="620" w:type="pct"/>
            <w:tcBorders>
              <w:top w:val="single" w:color="auto" w:sz="4" w:space="0"/>
              <w:bottom w:val="single" w:color="auto" w:sz="4" w:space="0"/>
            </w:tcBorders>
            <w:vAlign w:val="center"/>
          </w:tcPr>
          <w:p w14:paraId="6F32253F">
            <w:pPr>
              <w:pStyle w:val="15"/>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46.4</w:t>
            </w:r>
          </w:p>
        </w:tc>
        <w:tc>
          <w:tcPr>
            <w:tcW w:w="620" w:type="pct"/>
            <w:tcBorders>
              <w:top w:val="single" w:color="auto" w:sz="4" w:space="0"/>
              <w:bottom w:val="single" w:color="auto" w:sz="4" w:space="0"/>
              <w:right w:val="single" w:color="auto" w:sz="4" w:space="0"/>
            </w:tcBorders>
            <w:vAlign w:val="center"/>
          </w:tcPr>
          <w:p w14:paraId="71CBC5D7">
            <w:pPr>
              <w:pStyle w:val="15"/>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44.1</w:t>
            </w:r>
          </w:p>
        </w:tc>
      </w:tr>
      <w:tr w14:paraId="10018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6" w:type="dxa"/>
            <w:tcBorders>
              <w:top w:val="single" w:color="auto" w:sz="4" w:space="0"/>
              <w:left w:val="single" w:color="auto" w:sz="4" w:space="0"/>
              <w:bottom w:val="single" w:color="auto" w:sz="4" w:space="0"/>
            </w:tcBorders>
            <w:vAlign w:val="center"/>
          </w:tcPr>
          <w:p w14:paraId="7150DAF7">
            <w:pPr>
              <w:pStyle w:val="666"/>
              <w:adjustRightInd/>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ZS-</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古乡巴卡村民点处</w:t>
            </w:r>
            <w:r>
              <w:rPr>
                <w:rFonts w:hint="default" w:ascii="Times New Roman" w:hAnsi="Times New Roman" w:cs="Times New Roman"/>
                <w:color w:val="auto"/>
                <w:szCs w:val="21"/>
                <w:highlight w:val="none"/>
                <w:lang w:eastAsia="zh-CN"/>
              </w:rPr>
              <w:t>）</w:t>
            </w:r>
          </w:p>
        </w:tc>
        <w:tc>
          <w:tcPr>
            <w:tcW w:w="620" w:type="pct"/>
            <w:tcBorders>
              <w:top w:val="single" w:color="auto" w:sz="4" w:space="0"/>
              <w:bottom w:val="single" w:color="auto" w:sz="4" w:space="0"/>
            </w:tcBorders>
            <w:vAlign w:val="center"/>
          </w:tcPr>
          <w:p w14:paraId="45ED3542">
            <w:pPr>
              <w:pStyle w:val="15"/>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51.8</w:t>
            </w:r>
          </w:p>
        </w:tc>
        <w:tc>
          <w:tcPr>
            <w:tcW w:w="621" w:type="pct"/>
            <w:tcBorders>
              <w:top w:val="single" w:color="auto" w:sz="4" w:space="0"/>
              <w:bottom w:val="single" w:color="auto" w:sz="4" w:space="0"/>
            </w:tcBorders>
            <w:vAlign w:val="center"/>
          </w:tcPr>
          <w:p w14:paraId="382104D0">
            <w:pPr>
              <w:pStyle w:val="15"/>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40.5</w:t>
            </w:r>
          </w:p>
        </w:tc>
        <w:tc>
          <w:tcPr>
            <w:tcW w:w="620" w:type="pct"/>
            <w:tcBorders>
              <w:top w:val="single" w:color="auto" w:sz="4" w:space="0"/>
              <w:bottom w:val="single" w:color="auto" w:sz="4" w:space="0"/>
            </w:tcBorders>
            <w:vAlign w:val="center"/>
          </w:tcPr>
          <w:p w14:paraId="65C25F40">
            <w:pPr>
              <w:pStyle w:val="15"/>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53.4</w:t>
            </w:r>
          </w:p>
        </w:tc>
        <w:tc>
          <w:tcPr>
            <w:tcW w:w="620" w:type="pct"/>
            <w:tcBorders>
              <w:top w:val="single" w:color="auto" w:sz="4" w:space="0"/>
              <w:bottom w:val="single" w:color="auto" w:sz="4" w:space="0"/>
              <w:right w:val="single" w:color="auto" w:sz="4" w:space="0"/>
            </w:tcBorders>
            <w:vAlign w:val="center"/>
          </w:tcPr>
          <w:p w14:paraId="6CCD0339">
            <w:pPr>
              <w:pStyle w:val="1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42.9</w:t>
            </w:r>
          </w:p>
        </w:tc>
      </w:tr>
    </w:tbl>
    <w:p w14:paraId="29267B41">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现状评价</w:t>
      </w:r>
    </w:p>
    <w:p w14:paraId="4453437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现状评价因子同监测因子，即等效连续A声级。采用噪声实测值（L</w:t>
      </w:r>
      <w:r>
        <w:rPr>
          <w:rFonts w:hint="default" w:ascii="Times New Roman" w:hAnsi="Times New Roman" w:cs="Times New Roman"/>
          <w:color w:val="auto"/>
          <w:sz w:val="24"/>
          <w:highlight w:val="none"/>
          <w:vertAlign w:val="subscript"/>
        </w:rPr>
        <w:t>eq</w:t>
      </w:r>
      <w:r>
        <w:rPr>
          <w:rFonts w:hint="default" w:ascii="Times New Roman" w:hAnsi="Times New Roman" w:cs="Times New Roman"/>
          <w:color w:val="auto"/>
          <w:sz w:val="24"/>
          <w:highlight w:val="none"/>
        </w:rPr>
        <w:t>（A））与《声环境质量标准》（GB3096-2008）中1</w:t>
      </w: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类标准直接对比的方法。</w:t>
      </w:r>
    </w:p>
    <w:p w14:paraId="494FA6F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声环境质量现状评价结果与分析见表3.4-1</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p>
    <w:p w14:paraId="0FC5F654">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表3.4-1</w:t>
      </w:r>
      <w:r>
        <w:rPr>
          <w:rFonts w:hint="default" w:ascii="Times New Roman" w:hAnsi="Times New Roman" w:eastAsia="黑体" w:cs="Times New Roman"/>
          <w:bCs/>
          <w:color w:val="auto"/>
          <w:kern w:val="0"/>
          <w:szCs w:val="21"/>
          <w:highlight w:val="none"/>
          <w:lang w:val="en-US" w:eastAsia="zh-CN"/>
        </w:rPr>
        <w:t>1</w:t>
      </w:r>
      <w:r>
        <w:rPr>
          <w:rFonts w:hint="default" w:ascii="Times New Roman" w:hAnsi="Times New Roman" w:eastAsia="黑体" w:cs="Times New Roman"/>
          <w:bCs/>
          <w:color w:val="auto"/>
          <w:kern w:val="0"/>
          <w:szCs w:val="21"/>
          <w:highlight w:val="none"/>
        </w:rPr>
        <w:t xml:space="preserve">  声环境质量现状评价与分析一览表</w:t>
      </w:r>
    </w:p>
    <w:tbl>
      <w:tblPr>
        <w:tblStyle w:val="5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1464"/>
        <w:gridCol w:w="1464"/>
        <w:gridCol w:w="1123"/>
        <w:gridCol w:w="1130"/>
        <w:gridCol w:w="978"/>
        <w:gridCol w:w="983"/>
      </w:tblGrid>
      <w:tr w14:paraId="65AC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06" w:type="pct"/>
            <w:vMerge w:val="restart"/>
            <w:vAlign w:val="center"/>
          </w:tcPr>
          <w:p w14:paraId="3887B3C2">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监测点位置</w:t>
            </w:r>
          </w:p>
        </w:tc>
        <w:tc>
          <w:tcPr>
            <w:tcW w:w="1596" w:type="pct"/>
            <w:gridSpan w:val="2"/>
            <w:vAlign w:val="center"/>
          </w:tcPr>
          <w:p w14:paraId="4907D8A4">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监测值dB（A）</w:t>
            </w:r>
          </w:p>
        </w:tc>
        <w:tc>
          <w:tcPr>
            <w:tcW w:w="1228" w:type="pct"/>
            <w:gridSpan w:val="2"/>
            <w:vAlign w:val="center"/>
          </w:tcPr>
          <w:p w14:paraId="4D0EEA23">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标准值dB（A）</w:t>
            </w:r>
          </w:p>
        </w:tc>
        <w:tc>
          <w:tcPr>
            <w:tcW w:w="1069" w:type="pct"/>
            <w:gridSpan w:val="2"/>
            <w:vAlign w:val="center"/>
          </w:tcPr>
          <w:p w14:paraId="50392365">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评价结果</w:t>
            </w:r>
          </w:p>
        </w:tc>
      </w:tr>
      <w:tr w14:paraId="1BE8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06" w:type="pct"/>
            <w:vMerge w:val="continue"/>
            <w:vAlign w:val="center"/>
          </w:tcPr>
          <w:p w14:paraId="1440A84E">
            <w:pPr>
              <w:spacing w:line="240" w:lineRule="exact"/>
              <w:jc w:val="center"/>
              <w:rPr>
                <w:rFonts w:hint="default" w:ascii="Times New Roman" w:hAnsi="Times New Roman" w:cs="Times New Roman"/>
                <w:color w:val="auto"/>
                <w:szCs w:val="21"/>
                <w:highlight w:val="none"/>
              </w:rPr>
            </w:pPr>
          </w:p>
        </w:tc>
        <w:tc>
          <w:tcPr>
            <w:tcW w:w="798" w:type="pct"/>
            <w:vAlign w:val="center"/>
          </w:tcPr>
          <w:p w14:paraId="0F85642C">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798" w:type="pct"/>
            <w:vAlign w:val="center"/>
          </w:tcPr>
          <w:p w14:paraId="0B60A96E">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612" w:type="pct"/>
            <w:vAlign w:val="center"/>
          </w:tcPr>
          <w:p w14:paraId="16509257">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615" w:type="pct"/>
            <w:vAlign w:val="center"/>
          </w:tcPr>
          <w:p w14:paraId="2C0AE1FB">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533" w:type="pct"/>
            <w:vAlign w:val="center"/>
          </w:tcPr>
          <w:p w14:paraId="388C33E0">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535" w:type="pct"/>
            <w:vAlign w:val="center"/>
          </w:tcPr>
          <w:p w14:paraId="75AEDC1B">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r>
      <w:tr w14:paraId="6A90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06" w:type="pct"/>
            <w:vAlign w:val="center"/>
          </w:tcPr>
          <w:p w14:paraId="3A3A62BB">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ZS-1</w:t>
            </w:r>
          </w:p>
        </w:tc>
        <w:tc>
          <w:tcPr>
            <w:tcW w:w="798" w:type="pct"/>
            <w:vAlign w:val="center"/>
          </w:tcPr>
          <w:p w14:paraId="6CEA6AA2">
            <w:pPr>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4</w:t>
            </w:r>
            <w:r>
              <w:rPr>
                <w:rFonts w:hint="default" w:ascii="Times New Roman" w:hAnsi="Times New Roman" w:cs="Times New Roman"/>
                <w:color w:val="auto"/>
                <w:szCs w:val="21"/>
                <w:highlight w:val="none"/>
                <w:lang w:val="en-US" w:eastAsia="zh-CN"/>
              </w:rPr>
              <w:t>6.4</w:t>
            </w:r>
            <w:r>
              <w:rPr>
                <w:rFonts w:hint="default" w:ascii="Times New Roman" w:hAnsi="Times New Roman" w:cs="Times New Roman"/>
                <w:color w:val="auto"/>
                <w:szCs w:val="21"/>
                <w:highlight w:val="none"/>
              </w:rPr>
              <w:t>~4</w:t>
            </w:r>
            <w:r>
              <w:rPr>
                <w:rFonts w:hint="default" w:ascii="Times New Roman" w:hAnsi="Times New Roman" w:cs="Times New Roman"/>
                <w:color w:val="auto"/>
                <w:szCs w:val="21"/>
                <w:highlight w:val="none"/>
                <w:lang w:val="en-US" w:eastAsia="zh-CN"/>
              </w:rPr>
              <w:t>8.7</w:t>
            </w:r>
          </w:p>
        </w:tc>
        <w:tc>
          <w:tcPr>
            <w:tcW w:w="798" w:type="pct"/>
            <w:vAlign w:val="center"/>
          </w:tcPr>
          <w:p w14:paraId="7809CCB9">
            <w:pPr>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4</w:t>
            </w:r>
            <w:r>
              <w:rPr>
                <w:rFonts w:hint="default" w:ascii="Times New Roman" w:hAnsi="Times New Roman" w:cs="Times New Roman"/>
                <w:color w:val="auto"/>
                <w:szCs w:val="21"/>
                <w:highlight w:val="none"/>
                <w:lang w:val="en-US" w:eastAsia="zh-CN"/>
              </w:rPr>
              <w:t>3.2</w:t>
            </w:r>
            <w:r>
              <w:rPr>
                <w:rFonts w:hint="default" w:ascii="Times New Roman" w:hAnsi="Times New Roman" w:cs="Times New Roman"/>
                <w:color w:val="auto"/>
                <w:szCs w:val="21"/>
                <w:highlight w:val="none"/>
              </w:rPr>
              <w:t>~4</w:t>
            </w:r>
            <w:r>
              <w:rPr>
                <w:rFonts w:hint="default" w:ascii="Times New Roman" w:hAnsi="Times New Roman" w:cs="Times New Roman"/>
                <w:color w:val="auto"/>
                <w:szCs w:val="21"/>
                <w:highlight w:val="none"/>
                <w:lang w:val="en-US" w:eastAsia="zh-CN"/>
              </w:rPr>
              <w:t>4.1</w:t>
            </w:r>
          </w:p>
        </w:tc>
        <w:tc>
          <w:tcPr>
            <w:tcW w:w="612" w:type="pct"/>
            <w:vAlign w:val="center"/>
          </w:tcPr>
          <w:p w14:paraId="2AFFC96C">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60</w:t>
            </w:r>
          </w:p>
        </w:tc>
        <w:tc>
          <w:tcPr>
            <w:tcW w:w="615" w:type="pct"/>
            <w:vAlign w:val="center"/>
          </w:tcPr>
          <w:p w14:paraId="31DF0396">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c>
          <w:tcPr>
            <w:tcW w:w="533" w:type="pct"/>
            <w:vAlign w:val="center"/>
          </w:tcPr>
          <w:p w14:paraId="539952AE">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535" w:type="pct"/>
            <w:vAlign w:val="center"/>
          </w:tcPr>
          <w:p w14:paraId="3C05B819">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8B4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106" w:type="pct"/>
            <w:vAlign w:val="center"/>
          </w:tcPr>
          <w:p w14:paraId="4E81A0BB">
            <w:pPr>
              <w:pStyle w:val="666"/>
              <w:adjustRightInd/>
              <w:ind w:firstLine="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ZS-2</w:t>
            </w:r>
          </w:p>
        </w:tc>
        <w:tc>
          <w:tcPr>
            <w:tcW w:w="798" w:type="pct"/>
            <w:vAlign w:val="center"/>
          </w:tcPr>
          <w:p w14:paraId="5DFFFAAD">
            <w:pPr>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51.8</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53.4</w:t>
            </w:r>
          </w:p>
        </w:tc>
        <w:tc>
          <w:tcPr>
            <w:tcW w:w="798" w:type="pct"/>
            <w:vAlign w:val="center"/>
          </w:tcPr>
          <w:p w14:paraId="4040A965">
            <w:pPr>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4</w:t>
            </w:r>
            <w:r>
              <w:rPr>
                <w:rFonts w:hint="default" w:ascii="Times New Roman" w:hAnsi="Times New Roman" w:cs="Times New Roman"/>
                <w:color w:val="auto"/>
                <w:szCs w:val="21"/>
                <w:highlight w:val="none"/>
                <w:lang w:val="en-US" w:eastAsia="zh-CN"/>
              </w:rPr>
              <w:t>0.5</w:t>
            </w:r>
            <w:r>
              <w:rPr>
                <w:rFonts w:hint="default" w:ascii="Times New Roman" w:hAnsi="Times New Roman" w:cs="Times New Roman"/>
                <w:color w:val="auto"/>
                <w:szCs w:val="21"/>
                <w:highlight w:val="none"/>
              </w:rPr>
              <w:t>~4</w:t>
            </w:r>
            <w:r>
              <w:rPr>
                <w:rFonts w:hint="default" w:ascii="Times New Roman" w:hAnsi="Times New Roman" w:cs="Times New Roman"/>
                <w:color w:val="auto"/>
                <w:szCs w:val="21"/>
                <w:highlight w:val="none"/>
                <w:lang w:val="en-US" w:eastAsia="zh-CN"/>
              </w:rPr>
              <w:t>2.9</w:t>
            </w:r>
          </w:p>
        </w:tc>
        <w:tc>
          <w:tcPr>
            <w:tcW w:w="612" w:type="pct"/>
            <w:shd w:val="clear" w:color="auto" w:fill="auto"/>
            <w:vAlign w:val="center"/>
          </w:tcPr>
          <w:p w14:paraId="0BAF6CC6">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55</w:t>
            </w:r>
          </w:p>
        </w:tc>
        <w:tc>
          <w:tcPr>
            <w:tcW w:w="615" w:type="pct"/>
            <w:shd w:val="clear" w:color="auto" w:fill="auto"/>
            <w:vAlign w:val="center"/>
          </w:tcPr>
          <w:p w14:paraId="63EC9CAD">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45</w:t>
            </w:r>
          </w:p>
        </w:tc>
        <w:tc>
          <w:tcPr>
            <w:tcW w:w="533" w:type="pct"/>
            <w:vAlign w:val="center"/>
          </w:tcPr>
          <w:p w14:paraId="07439442">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535" w:type="pct"/>
            <w:vAlign w:val="center"/>
          </w:tcPr>
          <w:p w14:paraId="469B61AC">
            <w:pPr>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bl>
    <w:p w14:paraId="2E7C4A3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由上表结果可知，在监测期间</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监测点位昼、夜间噪声值可以满足《声环境质量标准》（GB3096-2008）中</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类标准</w:t>
      </w: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监测点位昼、夜间噪声值可以满足《声环境质量标准》（GB3096-2008）中1类标准。</w:t>
      </w:r>
    </w:p>
    <w:p w14:paraId="713760D0">
      <w:pPr>
        <w:pStyle w:val="4"/>
        <w:spacing w:before="156" w:after="156"/>
        <w:rPr>
          <w:rFonts w:hint="default" w:ascii="Times New Roman" w:hAnsi="Times New Roman" w:cs="Times New Roman"/>
          <w:color w:val="auto"/>
          <w:highlight w:val="none"/>
        </w:rPr>
      </w:pPr>
      <w:bookmarkStart w:id="123" w:name="_Toc9092767"/>
      <w:bookmarkStart w:id="124" w:name="_Toc519260304"/>
      <w:bookmarkStart w:id="125" w:name="_Toc9092768"/>
      <w:bookmarkStart w:id="126" w:name="_Toc519260305"/>
      <w:r>
        <w:rPr>
          <w:rFonts w:hint="default" w:ascii="Times New Roman" w:hAnsi="Times New Roman" w:cs="Times New Roman"/>
          <w:color w:val="auto"/>
          <w:highlight w:val="none"/>
        </w:rPr>
        <w:t>土壤环境</w:t>
      </w:r>
      <w:bookmarkEnd w:id="123"/>
      <w:bookmarkEnd w:id="124"/>
    </w:p>
    <w:p w14:paraId="748A070B">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现状监测</w:t>
      </w:r>
    </w:p>
    <w:p w14:paraId="6E3D180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本次规划环境影响评价土壤评价参照《环境影响评价技术导则土壤环境》（试行）（HJ964-2018）执行。</w:t>
      </w:r>
    </w:p>
    <w:p w14:paraId="38CF6EBA">
      <w:pPr>
        <w:pStyle w:val="214"/>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根据《环境影响评价技术导则土壤环境》（试行）（HJ964-2018）附录A土壤环境影响评价项目类别，本次规划参照“V 社会事业与服务业”类别中的“其他”，属于</w:t>
      </w:r>
      <w:r>
        <w:rPr>
          <w:rFonts w:hint="default" w:ascii="Times New Roman" w:hAnsi="Times New Roman" w:eastAsia="仿宋" w:cs="Times New Roman"/>
          <w:color w:val="auto"/>
          <w:highlight w:val="none"/>
        </w:rPr>
        <w:t>Ⅳ</w:t>
      </w:r>
      <w:r>
        <w:rPr>
          <w:rFonts w:hint="default" w:ascii="Times New Roman" w:hAnsi="Times New Roman" w:cs="Times New Roman"/>
          <w:color w:val="auto"/>
          <w:highlight w:val="none"/>
        </w:rPr>
        <w:t>类项目，可不开展土壤环境影响评价，因此本次规划无需开展土壤环境现状调查。</w:t>
      </w:r>
    </w:p>
    <w:p w14:paraId="08D7B99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为了解本规划所在区域土壤环境质量现状，本次评价委托</w:t>
      </w:r>
      <w:r>
        <w:rPr>
          <w:rFonts w:hint="default" w:ascii="Times New Roman" w:hAnsi="Times New Roman" w:cs="Times New Roman"/>
          <w:color w:val="auto"/>
          <w:sz w:val="24"/>
          <w:highlight w:val="none"/>
          <w:lang w:eastAsia="zh-CN"/>
        </w:rPr>
        <w:t>西藏中科检测技术有限公司</w:t>
      </w:r>
      <w:r>
        <w:rPr>
          <w:rFonts w:hint="default" w:ascii="Times New Roman" w:hAnsi="Times New Roman" w:cs="Times New Roman"/>
          <w:color w:val="auto"/>
          <w:sz w:val="24"/>
          <w:highlight w:val="none"/>
        </w:rPr>
        <w:t>于202</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月2</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日对评价范围内土壤进行了现状监测。</w:t>
      </w:r>
    </w:p>
    <w:p w14:paraId="56F80F3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（1）监测点位</w:t>
      </w:r>
    </w:p>
    <w:p w14:paraId="056D0C73">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本次监测设置</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个表层样监测点。具体监测点位见表3.4-</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w:t>
      </w:r>
    </w:p>
    <w:p w14:paraId="43834C3A">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表3.4-</w:t>
      </w:r>
      <w:r>
        <w:rPr>
          <w:rFonts w:hint="default" w:ascii="Times New Roman" w:hAnsi="Times New Roman" w:eastAsia="黑体" w:cs="Times New Roman"/>
          <w:bCs/>
          <w:color w:val="auto"/>
          <w:kern w:val="0"/>
          <w:szCs w:val="21"/>
          <w:highlight w:val="none"/>
          <w:lang w:val="en-US" w:eastAsia="zh-CN"/>
        </w:rPr>
        <w:t>12</w:t>
      </w:r>
      <w:r>
        <w:rPr>
          <w:rFonts w:hint="default" w:ascii="Times New Roman" w:hAnsi="Times New Roman" w:eastAsia="黑体" w:cs="Times New Roman"/>
          <w:bCs/>
          <w:color w:val="auto"/>
          <w:kern w:val="0"/>
          <w:szCs w:val="21"/>
          <w:highlight w:val="none"/>
        </w:rPr>
        <w:t xml:space="preserve">  土壤环境质量现状监测点位一览表</w:t>
      </w:r>
    </w:p>
    <w:tbl>
      <w:tblPr>
        <w:tblStyle w:val="5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697"/>
        <w:gridCol w:w="1376"/>
        <w:gridCol w:w="3078"/>
        <w:gridCol w:w="2059"/>
        <w:gridCol w:w="1756"/>
      </w:tblGrid>
      <w:tr w14:paraId="159C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389" w:type="pct"/>
            <w:shd w:val="clear" w:color="auto" w:fill="auto"/>
            <w:noWrap/>
            <w:vAlign w:val="center"/>
          </w:tcPr>
          <w:p w14:paraId="1F102C9B">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编号</w:t>
            </w:r>
          </w:p>
        </w:tc>
        <w:tc>
          <w:tcPr>
            <w:tcW w:w="2483" w:type="pct"/>
            <w:gridSpan w:val="2"/>
            <w:shd w:val="clear" w:color="auto" w:fill="auto"/>
            <w:noWrap/>
            <w:vAlign w:val="center"/>
          </w:tcPr>
          <w:p w14:paraId="4A8C007D">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监测点位</w:t>
            </w:r>
          </w:p>
        </w:tc>
        <w:tc>
          <w:tcPr>
            <w:tcW w:w="1148" w:type="pct"/>
            <w:vAlign w:val="center"/>
          </w:tcPr>
          <w:p w14:paraId="77FB8E8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取样深度</w:t>
            </w:r>
          </w:p>
        </w:tc>
        <w:tc>
          <w:tcPr>
            <w:tcW w:w="979" w:type="pct"/>
            <w:shd w:val="clear" w:color="auto" w:fill="auto"/>
            <w:vAlign w:val="center"/>
          </w:tcPr>
          <w:p w14:paraId="1D8BC1F7">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规划用地类型</w:t>
            </w:r>
          </w:p>
        </w:tc>
      </w:tr>
      <w:tr w14:paraId="7ABE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389" w:type="pct"/>
            <w:shd w:val="clear" w:color="auto" w:fill="auto"/>
            <w:noWrap/>
            <w:vAlign w:val="center"/>
          </w:tcPr>
          <w:p w14:paraId="413A30BD">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TR1</w:t>
            </w:r>
          </w:p>
        </w:tc>
        <w:tc>
          <w:tcPr>
            <w:tcW w:w="767" w:type="pct"/>
            <w:vMerge w:val="restart"/>
            <w:shd w:val="clear" w:color="auto" w:fill="auto"/>
            <w:noWrap/>
            <w:vAlign w:val="center"/>
          </w:tcPr>
          <w:p w14:paraId="706C9BA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规划区内</w:t>
            </w:r>
          </w:p>
        </w:tc>
        <w:tc>
          <w:tcPr>
            <w:tcW w:w="1715" w:type="pct"/>
            <w:shd w:val="clear" w:color="auto" w:fill="auto"/>
            <w:vAlign w:val="center"/>
          </w:tcPr>
          <w:p w14:paraId="119D0D9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2"/>
                <w:sz w:val="21"/>
                <w:szCs w:val="21"/>
                <w:highlight w:val="none"/>
                <w:lang w:val="en-US" w:eastAsia="zh-CN" w:bidi="ar-SA"/>
              </w:rPr>
              <w:t>古乡巴卡村巴卡藏香民宿处</w:t>
            </w:r>
          </w:p>
        </w:tc>
        <w:tc>
          <w:tcPr>
            <w:tcW w:w="1148" w:type="pct"/>
            <w:vAlign w:val="center"/>
          </w:tcPr>
          <w:p w14:paraId="511F60A7">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表层0~0.2m</w:t>
            </w:r>
          </w:p>
        </w:tc>
        <w:tc>
          <w:tcPr>
            <w:tcW w:w="979" w:type="pct"/>
            <w:shd w:val="clear" w:color="auto" w:fill="auto"/>
            <w:vAlign w:val="center"/>
          </w:tcPr>
          <w:p w14:paraId="1154BC0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居民住宅用</w:t>
            </w:r>
            <w:r>
              <w:rPr>
                <w:rFonts w:hint="default" w:ascii="Times New Roman" w:hAnsi="Times New Roman" w:cs="Times New Roman"/>
                <w:color w:val="auto"/>
                <w:kern w:val="0"/>
                <w:szCs w:val="21"/>
                <w:highlight w:val="none"/>
              </w:rPr>
              <w:t>地</w:t>
            </w:r>
          </w:p>
        </w:tc>
      </w:tr>
      <w:tr w14:paraId="6458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389" w:type="pct"/>
            <w:shd w:val="clear" w:color="auto" w:fill="auto"/>
            <w:noWrap/>
            <w:vAlign w:val="center"/>
          </w:tcPr>
          <w:p w14:paraId="1AB44EDC">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TR</w:t>
            </w:r>
            <w:r>
              <w:rPr>
                <w:rFonts w:hint="default" w:ascii="Times New Roman" w:hAnsi="Times New Roman" w:cs="Times New Roman"/>
                <w:color w:val="auto"/>
                <w:kern w:val="0"/>
                <w:szCs w:val="21"/>
                <w:highlight w:val="none"/>
                <w:lang w:val="en-US" w:eastAsia="zh-CN"/>
              </w:rPr>
              <w:t>2</w:t>
            </w:r>
          </w:p>
        </w:tc>
        <w:tc>
          <w:tcPr>
            <w:tcW w:w="767" w:type="pct"/>
            <w:vMerge w:val="continue"/>
            <w:shd w:val="clear" w:color="auto" w:fill="auto"/>
            <w:noWrap/>
            <w:vAlign w:val="center"/>
          </w:tcPr>
          <w:p w14:paraId="76E53C42">
            <w:pPr>
              <w:widowControl/>
              <w:jc w:val="center"/>
              <w:rPr>
                <w:rFonts w:hint="default" w:ascii="Times New Roman" w:hAnsi="Times New Roman" w:cs="Times New Roman"/>
                <w:color w:val="auto"/>
                <w:kern w:val="0"/>
                <w:szCs w:val="21"/>
                <w:highlight w:val="none"/>
              </w:rPr>
            </w:pPr>
          </w:p>
        </w:tc>
        <w:tc>
          <w:tcPr>
            <w:tcW w:w="1715" w:type="pct"/>
            <w:shd w:val="clear" w:color="auto" w:fill="auto"/>
            <w:vAlign w:val="center"/>
          </w:tcPr>
          <w:p w14:paraId="68C89B69">
            <w:pPr>
              <w:widowControl/>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扎木镇岗巴村耕地处</w:t>
            </w:r>
          </w:p>
        </w:tc>
        <w:tc>
          <w:tcPr>
            <w:tcW w:w="1148" w:type="pct"/>
            <w:vAlign w:val="center"/>
          </w:tcPr>
          <w:p w14:paraId="525A92E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表层0~0.2m</w:t>
            </w:r>
          </w:p>
        </w:tc>
        <w:tc>
          <w:tcPr>
            <w:tcW w:w="979" w:type="pct"/>
            <w:shd w:val="clear" w:color="auto" w:fill="auto"/>
            <w:vAlign w:val="center"/>
          </w:tcPr>
          <w:p w14:paraId="5CA8E143">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耕地</w:t>
            </w:r>
          </w:p>
        </w:tc>
      </w:tr>
    </w:tbl>
    <w:p w14:paraId="70D2E66A">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（2）监测因子</w:t>
      </w:r>
    </w:p>
    <w:p w14:paraId="65DE58BB">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监测点位处现状用地性质为</w:t>
      </w:r>
      <w:r>
        <w:rPr>
          <w:rFonts w:hint="default" w:ascii="Times New Roman" w:hAnsi="Times New Roman" w:cs="Times New Roman"/>
          <w:color w:val="auto"/>
          <w:kern w:val="0"/>
          <w:sz w:val="24"/>
          <w:highlight w:val="none"/>
          <w:lang w:val="en-US" w:eastAsia="zh-CN"/>
        </w:rPr>
        <w:t>居住用地，</w:t>
      </w:r>
      <w:r>
        <w:rPr>
          <w:rFonts w:hint="default" w:ascii="Times New Roman" w:hAnsi="Times New Roman" w:cs="Times New Roman"/>
          <w:color w:val="auto"/>
          <w:kern w:val="0"/>
          <w:sz w:val="24"/>
          <w:highlight w:val="none"/>
        </w:rPr>
        <w:t>因此根据</w:t>
      </w:r>
      <w:r>
        <w:rPr>
          <w:rFonts w:hint="default" w:ascii="Times New Roman" w:hAnsi="Times New Roman" w:cs="Times New Roman"/>
          <w:color w:val="auto"/>
          <w:kern w:val="0"/>
          <w:sz w:val="24"/>
          <w:highlight w:val="none"/>
          <w:lang w:eastAsia="zh-CN"/>
        </w:rPr>
        <w:t>《土壤环境质量 建设用地土壤污染风险管控标准（试行）》（GB36600-2018）</w:t>
      </w:r>
      <w:r>
        <w:rPr>
          <w:rFonts w:hint="default" w:ascii="Times New Roman" w:hAnsi="Times New Roman" w:cs="Times New Roman"/>
          <w:color w:val="auto"/>
          <w:kern w:val="0"/>
          <w:sz w:val="24"/>
          <w:highlight w:val="none"/>
        </w:rPr>
        <w:t>对土壤进行监测</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监测点位处现状用地性质为</w:t>
      </w:r>
      <w:r>
        <w:rPr>
          <w:rFonts w:hint="default" w:ascii="Times New Roman" w:hAnsi="Times New Roman" w:cs="Times New Roman"/>
          <w:color w:val="auto"/>
          <w:kern w:val="0"/>
          <w:sz w:val="24"/>
          <w:highlight w:val="none"/>
          <w:lang w:val="en-US" w:eastAsia="zh-CN"/>
        </w:rPr>
        <w:t>耕地</w:t>
      </w:r>
      <w:r>
        <w:rPr>
          <w:rFonts w:hint="default" w:ascii="Times New Roman" w:hAnsi="Times New Roman" w:cs="Times New Roman"/>
          <w:color w:val="auto"/>
          <w:kern w:val="0"/>
          <w:sz w:val="24"/>
          <w:highlight w:val="none"/>
        </w:rPr>
        <w:t>，因此根据《土壤环境质量 农用地土壤污染风险管控标准（试行）》（GB15618-2018）对土壤进行监测。土壤环境质量监测因子见表3.4-</w:t>
      </w:r>
      <w:r>
        <w:rPr>
          <w:rFonts w:hint="default" w:ascii="Times New Roman" w:hAnsi="Times New Roman" w:cs="Times New Roman"/>
          <w:color w:val="auto"/>
          <w:kern w:val="0"/>
          <w:sz w:val="24"/>
          <w:highlight w:val="none"/>
          <w:lang w:val="en-US" w:eastAsia="zh-CN"/>
        </w:rPr>
        <w:t>13</w:t>
      </w:r>
      <w:r>
        <w:rPr>
          <w:rFonts w:hint="default" w:ascii="Times New Roman" w:hAnsi="Times New Roman" w:cs="Times New Roman"/>
          <w:color w:val="auto"/>
          <w:kern w:val="0"/>
          <w:sz w:val="24"/>
          <w:highlight w:val="none"/>
        </w:rPr>
        <w:t>。</w:t>
      </w:r>
    </w:p>
    <w:p w14:paraId="1DFEF140">
      <w:pPr>
        <w:pStyle w:val="666"/>
        <w:spacing w:line="360" w:lineRule="auto"/>
        <w:ind w:firstLine="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表3.4-</w:t>
      </w:r>
      <w:r>
        <w:rPr>
          <w:rFonts w:hint="default" w:ascii="Times New Roman" w:hAnsi="Times New Roman" w:eastAsia="黑体" w:cs="Times New Roman"/>
          <w:color w:val="auto"/>
          <w:szCs w:val="21"/>
          <w:highlight w:val="none"/>
          <w:lang w:val="en-US" w:eastAsia="zh-CN"/>
        </w:rPr>
        <w:t>13</w:t>
      </w:r>
      <w:r>
        <w:rPr>
          <w:rFonts w:hint="default" w:ascii="Times New Roman" w:hAnsi="Times New Roman" w:eastAsia="黑体" w:cs="Times New Roman"/>
          <w:color w:val="auto"/>
          <w:szCs w:val="21"/>
          <w:highlight w:val="none"/>
        </w:rPr>
        <w:t xml:space="preserve">  土壤监测因子一览表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63"/>
        <w:gridCol w:w="1091"/>
        <w:gridCol w:w="2981"/>
        <w:gridCol w:w="4337"/>
      </w:tblGrid>
      <w:tr w14:paraId="0979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6" w:type="pct"/>
            <w:shd w:val="clear" w:color="auto" w:fill="auto"/>
            <w:noWrap/>
            <w:vAlign w:val="center"/>
          </w:tcPr>
          <w:p w14:paraId="3C436989">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编号</w:t>
            </w:r>
          </w:p>
        </w:tc>
        <w:tc>
          <w:tcPr>
            <w:tcW w:w="2243" w:type="pct"/>
            <w:gridSpan w:val="2"/>
            <w:shd w:val="clear" w:color="auto" w:fill="auto"/>
            <w:noWrap/>
            <w:vAlign w:val="center"/>
          </w:tcPr>
          <w:p w14:paraId="02AF2640">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监测点位</w:t>
            </w:r>
          </w:p>
        </w:tc>
        <w:tc>
          <w:tcPr>
            <w:tcW w:w="2389" w:type="pct"/>
            <w:shd w:val="clear" w:color="auto" w:fill="auto"/>
            <w:vAlign w:val="center"/>
          </w:tcPr>
          <w:p w14:paraId="450498D0">
            <w:pPr>
              <w:widowControl/>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监测因子</w:t>
            </w:r>
          </w:p>
        </w:tc>
      </w:tr>
      <w:tr w14:paraId="162F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6" w:type="pct"/>
            <w:shd w:val="clear" w:color="auto" w:fill="auto"/>
            <w:noWrap/>
            <w:vAlign w:val="center"/>
          </w:tcPr>
          <w:p w14:paraId="525580F5">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TR1</w:t>
            </w:r>
          </w:p>
        </w:tc>
        <w:tc>
          <w:tcPr>
            <w:tcW w:w="601" w:type="pct"/>
            <w:vMerge w:val="restart"/>
            <w:shd w:val="clear" w:color="auto" w:fill="auto"/>
            <w:noWrap/>
            <w:vAlign w:val="center"/>
          </w:tcPr>
          <w:p w14:paraId="3B53D93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规划区内</w:t>
            </w:r>
          </w:p>
        </w:tc>
        <w:tc>
          <w:tcPr>
            <w:tcW w:w="1642" w:type="pct"/>
            <w:shd w:val="clear" w:color="auto" w:fill="auto"/>
            <w:vAlign w:val="center"/>
          </w:tcPr>
          <w:p w14:paraId="6199193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2"/>
                <w:sz w:val="21"/>
                <w:szCs w:val="21"/>
                <w:highlight w:val="none"/>
                <w:lang w:val="en-US" w:eastAsia="zh-CN" w:bidi="ar-SA"/>
              </w:rPr>
              <w:t>古乡巴卡村巴卡藏香民宿处</w:t>
            </w:r>
          </w:p>
        </w:tc>
        <w:tc>
          <w:tcPr>
            <w:tcW w:w="2389" w:type="pct"/>
            <w:shd w:val="clear" w:color="auto" w:fill="auto"/>
            <w:vAlign w:val="center"/>
          </w:tcPr>
          <w:p w14:paraId="6E119B5D">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土壤环境质量 建设用地土壤污染风险管控标准（试行）</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GB36600—2018</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中表1基本项目，共45个。pH</w:t>
            </w:r>
          </w:p>
        </w:tc>
      </w:tr>
      <w:tr w14:paraId="26F1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6" w:type="pct"/>
            <w:shd w:val="clear" w:color="auto" w:fill="auto"/>
            <w:noWrap/>
            <w:vAlign w:val="center"/>
          </w:tcPr>
          <w:p w14:paraId="497BEBA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TR</w:t>
            </w:r>
            <w:r>
              <w:rPr>
                <w:rFonts w:hint="default" w:ascii="Times New Roman" w:hAnsi="Times New Roman" w:cs="Times New Roman"/>
                <w:color w:val="auto"/>
                <w:kern w:val="0"/>
                <w:szCs w:val="21"/>
                <w:highlight w:val="none"/>
                <w:lang w:val="en-US" w:eastAsia="zh-CN"/>
              </w:rPr>
              <w:t>2</w:t>
            </w:r>
          </w:p>
        </w:tc>
        <w:tc>
          <w:tcPr>
            <w:tcW w:w="601" w:type="pct"/>
            <w:vMerge w:val="continue"/>
            <w:shd w:val="clear" w:color="auto" w:fill="auto"/>
            <w:noWrap/>
            <w:vAlign w:val="center"/>
          </w:tcPr>
          <w:p w14:paraId="05A4C17E">
            <w:pPr>
              <w:widowControl/>
              <w:jc w:val="center"/>
              <w:rPr>
                <w:rFonts w:hint="default" w:ascii="Times New Roman" w:hAnsi="Times New Roman" w:cs="Times New Roman"/>
                <w:color w:val="auto"/>
                <w:kern w:val="0"/>
                <w:szCs w:val="21"/>
                <w:highlight w:val="none"/>
              </w:rPr>
            </w:pPr>
          </w:p>
        </w:tc>
        <w:tc>
          <w:tcPr>
            <w:tcW w:w="1642" w:type="pct"/>
            <w:shd w:val="clear" w:color="auto" w:fill="auto"/>
            <w:vAlign w:val="center"/>
          </w:tcPr>
          <w:p w14:paraId="2C09253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2"/>
                <w:sz w:val="21"/>
                <w:szCs w:val="21"/>
                <w:highlight w:val="none"/>
                <w:lang w:val="en-US" w:eastAsia="zh-CN" w:bidi="ar-SA"/>
              </w:rPr>
              <w:t>扎木镇岗巴村耕地处</w:t>
            </w:r>
          </w:p>
        </w:tc>
        <w:tc>
          <w:tcPr>
            <w:tcW w:w="2389" w:type="pct"/>
            <w:shd w:val="clear" w:color="auto" w:fill="auto"/>
            <w:vAlign w:val="center"/>
          </w:tcPr>
          <w:p w14:paraId="19E00E3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pH值、镉、汞、砷、铅、铬、铜、镍、锌</w:t>
            </w:r>
          </w:p>
        </w:tc>
      </w:tr>
    </w:tbl>
    <w:p w14:paraId="28C978BB">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（3）监测时间和频次</w:t>
      </w:r>
    </w:p>
    <w:p w14:paraId="54297526">
      <w:pPr>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取样一次。</w:t>
      </w:r>
    </w:p>
    <w:p w14:paraId="7F3F03B5">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现状评价</w:t>
      </w:r>
    </w:p>
    <w:p w14:paraId="2F7E3DED">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（1）评价标准</w:t>
      </w:r>
    </w:p>
    <w:p w14:paraId="191A7AA7">
      <w:pPr>
        <w:spacing w:line="360" w:lineRule="auto"/>
        <w:ind w:firstLine="480"/>
        <w:rPr>
          <w:rFonts w:hint="default" w:ascii="Times New Roman" w:hAnsi="Times New Roman" w:cs="Times New Roman" w:eastAsiaTheme="minorEastAsia"/>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监测点位现状为</w:t>
      </w:r>
      <w:r>
        <w:rPr>
          <w:rFonts w:hint="default" w:ascii="Times New Roman" w:hAnsi="Times New Roman" w:cs="Times New Roman"/>
          <w:color w:val="auto"/>
          <w:kern w:val="0"/>
          <w:sz w:val="24"/>
          <w:highlight w:val="none"/>
          <w:lang w:val="en-US" w:eastAsia="zh-CN"/>
        </w:rPr>
        <w:t>居住用地</w:t>
      </w:r>
      <w:r>
        <w:rPr>
          <w:rFonts w:hint="default" w:ascii="Times New Roman" w:hAnsi="Times New Roman" w:cs="Times New Roman" w:eastAsiaTheme="minorEastAsia"/>
          <w:color w:val="auto"/>
          <w:kern w:val="0"/>
          <w:sz w:val="24"/>
          <w:highlight w:val="none"/>
        </w:rPr>
        <w:t>，执行《土壤环境质量 建设用地土壤污染风险管控标准（试行）》（GB36600-2018）中的</w:t>
      </w:r>
      <w:r>
        <w:rPr>
          <w:rFonts w:hint="default" w:ascii="Times New Roman" w:hAnsi="Times New Roman" w:cs="Times New Roman" w:eastAsiaTheme="minorEastAsia"/>
          <w:color w:val="auto"/>
          <w:kern w:val="0"/>
          <w:sz w:val="24"/>
          <w:highlight w:val="none"/>
          <w:lang w:val="en-US" w:eastAsia="zh-CN"/>
        </w:rPr>
        <w:t>一</w:t>
      </w:r>
      <w:r>
        <w:rPr>
          <w:rFonts w:hint="default" w:ascii="Times New Roman" w:hAnsi="Times New Roman" w:cs="Times New Roman" w:eastAsiaTheme="minorEastAsia"/>
          <w:color w:val="auto"/>
          <w:kern w:val="0"/>
          <w:sz w:val="24"/>
          <w:highlight w:val="none"/>
        </w:rPr>
        <w:t>类用地风险筛选值</w:t>
      </w:r>
      <w:r>
        <w:rPr>
          <w:rFonts w:hint="default" w:ascii="Times New Roman" w:hAnsi="Times New Roman" w:cs="Times New Roman" w:eastAsiaTheme="minorEastAsia"/>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监测点位现状为旱地</w:t>
      </w:r>
      <w:r>
        <w:rPr>
          <w:rFonts w:hint="default" w:ascii="Times New Roman" w:hAnsi="Times New Roman" w:cs="Times New Roman" w:eastAsiaTheme="minorEastAsia"/>
          <w:color w:val="auto"/>
          <w:kern w:val="0"/>
          <w:sz w:val="24"/>
          <w:highlight w:val="none"/>
        </w:rPr>
        <w:t>，执行《土壤环境质量农用地土壤污染风险管控标准（试行）》（GB15618-2018）中风险筛选值。</w:t>
      </w:r>
    </w:p>
    <w:p w14:paraId="27E00C12">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（2）评价方法</w:t>
      </w:r>
    </w:p>
    <w:p w14:paraId="593BD93E">
      <w:pPr>
        <w:spacing w:line="360" w:lineRule="auto"/>
        <w:ind w:firstLine="480"/>
        <w:rPr>
          <w:rFonts w:hint="default" w:ascii="Times New Roman" w:hAnsi="Times New Roman" w:cs="Times New Roman" w:eastAsiaTheme="minorEastAsia"/>
          <w:color w:val="auto"/>
          <w:kern w:val="0"/>
          <w:sz w:val="24"/>
          <w:highlight w:val="none"/>
        </w:rPr>
      </w:pPr>
      <w:r>
        <w:rPr>
          <w:rFonts w:hint="default" w:ascii="Times New Roman" w:hAnsi="Times New Roman" w:cs="Times New Roman" w:eastAsiaTheme="minorEastAsia"/>
          <w:color w:val="auto"/>
          <w:kern w:val="0"/>
          <w:sz w:val="24"/>
          <w:highlight w:val="none"/>
        </w:rPr>
        <w:t>采取监测结果与标准值对照，说明土壤环境质量现状。</w:t>
      </w:r>
    </w:p>
    <w:p w14:paraId="6809FD08">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（3）评价结果</w:t>
      </w:r>
    </w:p>
    <w:p w14:paraId="623D101E">
      <w:pPr>
        <w:spacing w:line="360" w:lineRule="auto"/>
        <w:ind w:firstLine="480"/>
        <w:rPr>
          <w:rFonts w:hint="default" w:ascii="Times New Roman" w:hAnsi="Times New Roman" w:cs="Times New Roman" w:eastAsiaTheme="minorEastAsia"/>
          <w:color w:val="auto"/>
          <w:kern w:val="0"/>
          <w:sz w:val="24"/>
          <w:highlight w:val="none"/>
        </w:rPr>
      </w:pPr>
      <w:r>
        <w:rPr>
          <w:rFonts w:hint="default" w:ascii="Times New Roman" w:hAnsi="Times New Roman" w:cs="Times New Roman" w:eastAsiaTheme="minorEastAsia"/>
          <w:color w:val="auto"/>
          <w:kern w:val="0"/>
          <w:sz w:val="24"/>
          <w:highlight w:val="none"/>
        </w:rPr>
        <w:t>土壤现状监测及评价结果见</w:t>
      </w:r>
      <w:r>
        <w:rPr>
          <w:rFonts w:hint="default" w:ascii="Times New Roman" w:hAnsi="Times New Roman" w:cs="Times New Roman" w:eastAsiaTheme="minorEastAsia"/>
          <w:color w:val="auto"/>
          <w:kern w:val="0"/>
          <w:sz w:val="24"/>
          <w:highlight w:val="none"/>
          <w:lang w:val="en-US" w:eastAsia="zh-CN"/>
        </w:rPr>
        <w:t>下</w:t>
      </w:r>
      <w:r>
        <w:rPr>
          <w:rFonts w:hint="default" w:ascii="Times New Roman" w:hAnsi="Times New Roman" w:cs="Times New Roman" w:eastAsiaTheme="minorEastAsia"/>
          <w:color w:val="auto"/>
          <w:kern w:val="0"/>
          <w:sz w:val="24"/>
          <w:highlight w:val="none"/>
        </w:rPr>
        <w:t>表。</w:t>
      </w:r>
    </w:p>
    <w:p w14:paraId="66C8CF37">
      <w:pPr>
        <w:pStyle w:val="666"/>
        <w:spacing w:line="360" w:lineRule="auto"/>
        <w:ind w:firstLine="0"/>
        <w:jc w:val="center"/>
        <w:rPr>
          <w:rFonts w:hint="default" w:ascii="Times New Roman" w:hAnsi="Times New Roman" w:eastAsia="黑体" w:cs="Times New Roman"/>
          <w:color w:val="auto"/>
          <w:kern w:val="0"/>
          <w:highlight w:val="none"/>
        </w:rPr>
      </w:pPr>
      <w:r>
        <w:rPr>
          <w:rFonts w:hint="default" w:ascii="Times New Roman" w:hAnsi="Times New Roman" w:eastAsia="黑体" w:cs="Times New Roman"/>
          <w:color w:val="auto"/>
          <w:kern w:val="0"/>
          <w:highlight w:val="none"/>
        </w:rPr>
        <w:t>表3.4-</w:t>
      </w:r>
      <w:r>
        <w:rPr>
          <w:rFonts w:hint="default" w:ascii="Times New Roman" w:hAnsi="Times New Roman" w:eastAsia="黑体" w:cs="Times New Roman"/>
          <w:color w:val="auto"/>
          <w:kern w:val="0"/>
          <w:highlight w:val="none"/>
          <w:lang w:val="en-US" w:eastAsia="zh-CN"/>
        </w:rPr>
        <w:t>14</w:t>
      </w:r>
      <w:r>
        <w:rPr>
          <w:rFonts w:hint="default" w:ascii="Times New Roman" w:hAnsi="Times New Roman" w:eastAsia="黑体" w:cs="Times New Roman"/>
          <w:color w:val="auto"/>
          <w:kern w:val="0"/>
          <w:highlight w:val="none"/>
        </w:rPr>
        <w:t xml:space="preserve">  </w:t>
      </w:r>
      <w:r>
        <w:rPr>
          <w:rFonts w:hint="default" w:ascii="Times New Roman" w:hAnsi="Times New Roman" w:eastAsia="黑体" w:cs="Times New Roman"/>
          <w:color w:val="auto"/>
          <w:kern w:val="0"/>
          <w:highlight w:val="none"/>
          <w:lang w:val="en-US" w:eastAsia="zh-CN"/>
        </w:rPr>
        <w:t>1#监测点</w:t>
      </w:r>
      <w:r>
        <w:rPr>
          <w:rFonts w:hint="default" w:ascii="Times New Roman" w:hAnsi="Times New Roman" w:eastAsia="黑体" w:cs="Times New Roman"/>
          <w:color w:val="auto"/>
          <w:kern w:val="0"/>
          <w:highlight w:val="none"/>
        </w:rPr>
        <w:t>土壤环境质量评价结果一览表</w:t>
      </w:r>
    </w:p>
    <w:tbl>
      <w:tblPr>
        <w:tblStyle w:val="5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267"/>
        <w:gridCol w:w="3881"/>
        <w:gridCol w:w="1297"/>
        <w:gridCol w:w="1086"/>
      </w:tblGrid>
      <w:tr w14:paraId="2094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83" w:type="pct"/>
            <w:gridSpan w:val="2"/>
            <w:vMerge w:val="restart"/>
            <w:noWrap w:val="0"/>
            <w:vAlign w:val="center"/>
          </w:tcPr>
          <w:p w14:paraId="6E7F6BC4">
            <w:pPr>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p w14:paraId="27B77A5E">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（单位）</w:t>
            </w:r>
          </w:p>
        </w:tc>
        <w:tc>
          <w:tcPr>
            <w:tcW w:w="2116" w:type="pct"/>
            <w:tcBorders>
              <w:right w:val="single" w:color="auto" w:sz="4" w:space="0"/>
            </w:tcBorders>
            <w:noWrap w:val="0"/>
            <w:vAlign w:val="center"/>
          </w:tcPr>
          <w:p w14:paraId="3FA5CB43">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检测</w:t>
            </w:r>
            <w:r>
              <w:rPr>
                <w:rFonts w:hint="default" w:ascii="Times New Roman" w:hAnsi="Times New Roman" w:eastAsia="宋体" w:cs="Times New Roman"/>
                <w:b/>
                <w:bCs/>
                <w:color w:val="auto"/>
                <w:sz w:val="21"/>
                <w:szCs w:val="21"/>
                <w:highlight w:val="none"/>
                <w:lang w:val="en-US" w:eastAsia="zh-CN"/>
              </w:rPr>
              <w:t>点位/样品编号/</w:t>
            </w:r>
            <w:r>
              <w:rPr>
                <w:rFonts w:hint="default" w:ascii="Times New Roman" w:hAnsi="Times New Roman" w:eastAsia="宋体" w:cs="Times New Roman"/>
                <w:b/>
                <w:bCs/>
                <w:color w:val="auto"/>
                <w:sz w:val="21"/>
                <w:szCs w:val="21"/>
                <w:highlight w:val="none"/>
                <w:lang w:eastAsia="zh-CN"/>
              </w:rPr>
              <w:t>结果</w:t>
            </w:r>
          </w:p>
        </w:tc>
        <w:tc>
          <w:tcPr>
            <w:tcW w:w="707" w:type="pct"/>
            <w:vMerge w:val="restart"/>
            <w:tcBorders>
              <w:right w:val="single" w:color="auto" w:sz="4" w:space="0"/>
            </w:tcBorders>
            <w:noWrap w:val="0"/>
            <w:vAlign w:val="center"/>
          </w:tcPr>
          <w:p w14:paraId="5BC431CD">
            <w:pPr>
              <w:spacing w:line="24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标准限值</w:t>
            </w:r>
          </w:p>
        </w:tc>
        <w:tc>
          <w:tcPr>
            <w:tcW w:w="592" w:type="pct"/>
            <w:vMerge w:val="restart"/>
            <w:tcBorders>
              <w:right w:val="single" w:color="auto" w:sz="4" w:space="0"/>
            </w:tcBorders>
            <w:noWrap w:val="0"/>
            <w:vAlign w:val="center"/>
          </w:tcPr>
          <w:p w14:paraId="340685EC">
            <w:pPr>
              <w:spacing w:line="24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达标判定</w:t>
            </w:r>
          </w:p>
        </w:tc>
      </w:tr>
      <w:tr w14:paraId="7E98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3" w:type="pct"/>
            <w:gridSpan w:val="2"/>
            <w:vMerge w:val="continue"/>
            <w:noWrap w:val="0"/>
            <w:vAlign w:val="center"/>
          </w:tcPr>
          <w:p w14:paraId="121DEA04">
            <w:pPr>
              <w:spacing w:line="300" w:lineRule="exact"/>
              <w:jc w:val="center"/>
              <w:rPr>
                <w:rFonts w:hint="default" w:ascii="Times New Roman" w:hAnsi="Times New Roman" w:eastAsia="宋体" w:cs="Times New Roman"/>
                <w:color w:val="auto"/>
                <w:sz w:val="21"/>
                <w:szCs w:val="21"/>
                <w:highlight w:val="none"/>
              </w:rPr>
            </w:pPr>
          </w:p>
        </w:tc>
        <w:tc>
          <w:tcPr>
            <w:tcW w:w="2116" w:type="pct"/>
            <w:tcBorders>
              <w:right w:val="single" w:color="auto" w:sz="4" w:space="0"/>
            </w:tcBorders>
            <w:noWrap w:val="0"/>
            <w:vAlign w:val="center"/>
          </w:tcPr>
          <w:p w14:paraId="44F18327">
            <w:pPr>
              <w:pStyle w:val="28"/>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古乡巴卡村巴卡藏香民宿处土壤监测点</w:t>
            </w:r>
          </w:p>
          <w:p w14:paraId="72163571">
            <w:pPr>
              <w:pStyle w:val="2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 xml:space="preserve">（E </w:t>
            </w:r>
            <w:r>
              <w:rPr>
                <w:rFonts w:hint="default" w:ascii="Times New Roman" w:hAnsi="Times New Roman" w:eastAsia="宋体" w:cs="Times New Roman"/>
                <w:bCs/>
                <w:color w:val="auto"/>
                <w:sz w:val="21"/>
                <w:szCs w:val="21"/>
                <w:highlight w:val="none"/>
                <w:lang w:val="en-US" w:eastAsia="zh-CN"/>
              </w:rPr>
              <w:t>95</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41</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33</w:t>
            </w:r>
            <w:r>
              <w:rPr>
                <w:rFonts w:hint="default" w:ascii="Times New Roman" w:hAnsi="Times New Roman" w:eastAsia="宋体" w:cs="Times New Roman"/>
                <w:bCs/>
                <w:color w:val="auto"/>
                <w:sz w:val="21"/>
                <w:szCs w:val="21"/>
                <w:highlight w:val="none"/>
              </w:rPr>
              <w:t xml:space="preserve">″，N </w:t>
            </w:r>
            <w:r>
              <w:rPr>
                <w:rFonts w:hint="default" w:ascii="Times New Roman" w:hAnsi="Times New Roman" w:eastAsia="宋体" w:cs="Times New Roman"/>
                <w:bCs/>
                <w:color w:val="auto"/>
                <w:sz w:val="21"/>
                <w:szCs w:val="21"/>
                <w:highlight w:val="none"/>
                <w:lang w:val="en-US" w:eastAsia="zh-CN"/>
              </w:rPr>
              <w:t>29</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53</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rPr>
              <w:t>″）</w:t>
            </w:r>
          </w:p>
        </w:tc>
        <w:tc>
          <w:tcPr>
            <w:tcW w:w="707" w:type="pct"/>
            <w:vMerge w:val="continue"/>
            <w:tcBorders>
              <w:right w:val="single" w:color="auto" w:sz="4" w:space="0"/>
            </w:tcBorders>
            <w:noWrap w:val="0"/>
            <w:vAlign w:val="center"/>
          </w:tcPr>
          <w:p w14:paraId="36C96B58">
            <w:pPr>
              <w:spacing w:line="240" w:lineRule="exact"/>
              <w:jc w:val="center"/>
              <w:rPr>
                <w:rFonts w:hint="default" w:ascii="Times New Roman" w:hAnsi="Times New Roman" w:eastAsia="宋体" w:cs="Times New Roman"/>
                <w:b/>
                <w:bCs/>
                <w:color w:val="auto"/>
                <w:sz w:val="21"/>
                <w:szCs w:val="21"/>
                <w:highlight w:val="none"/>
              </w:rPr>
            </w:pPr>
          </w:p>
        </w:tc>
        <w:tc>
          <w:tcPr>
            <w:tcW w:w="592" w:type="pct"/>
            <w:vMerge w:val="continue"/>
            <w:tcBorders>
              <w:right w:val="single" w:color="auto" w:sz="4" w:space="0"/>
            </w:tcBorders>
            <w:noWrap w:val="0"/>
            <w:vAlign w:val="center"/>
          </w:tcPr>
          <w:p w14:paraId="28DC342C">
            <w:pPr>
              <w:spacing w:line="240" w:lineRule="exact"/>
              <w:jc w:val="center"/>
              <w:rPr>
                <w:rFonts w:hint="default" w:ascii="Times New Roman" w:hAnsi="Times New Roman" w:eastAsia="宋体" w:cs="Times New Roman"/>
                <w:b/>
                <w:bCs/>
                <w:color w:val="auto"/>
                <w:sz w:val="21"/>
                <w:szCs w:val="21"/>
                <w:highlight w:val="none"/>
              </w:rPr>
            </w:pPr>
          </w:p>
        </w:tc>
      </w:tr>
      <w:tr w14:paraId="13A3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vMerge w:val="continue"/>
            <w:noWrap w:val="0"/>
            <w:vAlign w:val="center"/>
          </w:tcPr>
          <w:p w14:paraId="1B6812C9">
            <w:pPr>
              <w:spacing w:line="240" w:lineRule="exact"/>
              <w:jc w:val="center"/>
              <w:rPr>
                <w:rFonts w:hint="default" w:ascii="Times New Roman" w:hAnsi="Times New Roman" w:cs="Times New Roman"/>
                <w:color w:val="auto"/>
                <w:highlight w:val="none"/>
              </w:rPr>
            </w:pPr>
          </w:p>
        </w:tc>
        <w:tc>
          <w:tcPr>
            <w:tcW w:w="2116" w:type="pct"/>
            <w:tcBorders>
              <w:right w:val="single" w:color="auto" w:sz="4" w:space="0"/>
            </w:tcBorders>
            <w:noWrap w:val="0"/>
            <w:vAlign w:val="center"/>
          </w:tcPr>
          <w:p w14:paraId="6E301FFE">
            <w:pPr>
              <w:spacing w:line="240" w:lineRule="exact"/>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TR1-1-1</w:t>
            </w:r>
          </w:p>
        </w:tc>
        <w:tc>
          <w:tcPr>
            <w:tcW w:w="707" w:type="pct"/>
            <w:tcBorders>
              <w:right w:val="single" w:color="auto" w:sz="4" w:space="0"/>
            </w:tcBorders>
            <w:noWrap w:val="0"/>
            <w:vAlign w:val="center"/>
          </w:tcPr>
          <w:p w14:paraId="5B206D5A">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第一类用地</w:t>
            </w:r>
          </w:p>
        </w:tc>
        <w:tc>
          <w:tcPr>
            <w:tcW w:w="592" w:type="pct"/>
            <w:vMerge w:val="continue"/>
            <w:tcBorders>
              <w:right w:val="single" w:color="auto" w:sz="4" w:space="0"/>
            </w:tcBorders>
            <w:noWrap w:val="0"/>
            <w:vAlign w:val="center"/>
          </w:tcPr>
          <w:p w14:paraId="725E64A6">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p>
        </w:tc>
      </w:tr>
      <w:tr w14:paraId="2B77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7BAB3CF4">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0F6089BD">
            <w:pPr>
              <w:adjustRightInd w:val="0"/>
              <w:snapToGrid w:val="0"/>
              <w:spacing w:line="288"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9.5</w:t>
            </w:r>
          </w:p>
        </w:tc>
        <w:tc>
          <w:tcPr>
            <w:tcW w:w="707" w:type="pct"/>
            <w:tcBorders>
              <w:right w:val="single" w:color="auto" w:sz="4" w:space="0"/>
            </w:tcBorders>
            <w:noWrap w:val="0"/>
            <w:vAlign w:val="center"/>
          </w:tcPr>
          <w:p w14:paraId="38184947">
            <w:pPr>
              <w:jc w:val="center"/>
              <w:rPr>
                <w:rFonts w:hint="default" w:ascii="Times New Roman" w:hAnsi="Times New Roman" w:eastAsia="宋体" w:cs="Times New Roman"/>
                <w:color w:val="auto"/>
                <w:kern w:val="2"/>
                <w:sz w:val="21"/>
                <w:szCs w:val="21"/>
                <w:highlight w:val="none"/>
                <w:vertAlign w:val="superscript"/>
                <w:lang w:val="en-US" w:eastAsia="zh-CN" w:bidi="ar-SA"/>
              </w:rPr>
            </w:pPr>
            <w:r>
              <w:rPr>
                <w:rFonts w:hint="default" w:ascii="Times New Roman" w:hAnsi="Times New Roman" w:cs="Times New Roman"/>
                <w:color w:val="auto"/>
                <w:kern w:val="2"/>
                <w:sz w:val="21"/>
                <w:szCs w:val="21"/>
                <w:highlight w:val="none"/>
                <w:lang w:val="en-US" w:eastAsia="zh-CN" w:bidi="ar-SA"/>
              </w:rPr>
              <w:t>20</w:t>
            </w:r>
            <w:r>
              <w:rPr>
                <w:rFonts w:hint="default" w:ascii="Times New Roman" w:hAnsi="Times New Roman" w:cs="Times New Roman"/>
                <w:color w:val="auto"/>
                <w:kern w:val="2"/>
                <w:sz w:val="21"/>
                <w:szCs w:val="21"/>
                <w:highlight w:val="none"/>
                <w:vertAlign w:val="superscript"/>
                <w:lang w:val="en-US" w:eastAsia="zh-CN" w:bidi="ar-SA"/>
              </w:rPr>
              <w:fldChar w:fldCharType="begin"/>
            </w:r>
            <w:r>
              <w:rPr>
                <w:rFonts w:hint="default" w:ascii="Times New Roman" w:hAnsi="Times New Roman" w:cs="Times New Roman"/>
                <w:color w:val="auto"/>
                <w:kern w:val="2"/>
                <w:sz w:val="21"/>
                <w:szCs w:val="21"/>
                <w:highlight w:val="none"/>
                <w:vertAlign w:val="superscript"/>
                <w:lang w:val="en-US" w:eastAsia="zh-CN" w:bidi="ar-SA"/>
              </w:rPr>
              <w:instrText xml:space="preserve"> = 1 \* GB3 \* MERGEFORMAT </w:instrText>
            </w:r>
            <w:r>
              <w:rPr>
                <w:rFonts w:hint="default" w:ascii="Times New Roman" w:hAnsi="Times New Roman" w:cs="Times New Roman"/>
                <w:color w:val="auto"/>
                <w:kern w:val="2"/>
                <w:sz w:val="21"/>
                <w:szCs w:val="21"/>
                <w:highlight w:val="none"/>
                <w:vertAlign w:val="superscript"/>
                <w:lang w:val="en-US" w:eastAsia="zh-CN" w:bidi="ar-SA"/>
              </w:rPr>
              <w:fldChar w:fldCharType="separate"/>
            </w:r>
            <w:r>
              <w:rPr>
                <w:rFonts w:hint="default" w:ascii="Times New Roman" w:hAnsi="Times New Roman" w:cs="Times New Roman"/>
                <w:color w:val="auto"/>
                <w:highlight w:val="none"/>
                <w:vertAlign w:val="superscript"/>
              </w:rPr>
              <w:t>①</w:t>
            </w:r>
            <w:r>
              <w:rPr>
                <w:rFonts w:hint="default" w:ascii="Times New Roman" w:hAnsi="Times New Roman" w:cs="Times New Roman"/>
                <w:color w:val="auto"/>
                <w:kern w:val="2"/>
                <w:sz w:val="21"/>
                <w:szCs w:val="21"/>
                <w:highlight w:val="none"/>
                <w:vertAlign w:val="superscript"/>
                <w:lang w:val="en-US" w:eastAsia="zh-CN" w:bidi="ar-SA"/>
              </w:rPr>
              <w:fldChar w:fldCharType="end"/>
            </w:r>
          </w:p>
        </w:tc>
        <w:tc>
          <w:tcPr>
            <w:tcW w:w="592" w:type="pct"/>
            <w:tcBorders>
              <w:right w:val="single" w:color="auto" w:sz="4" w:space="0"/>
            </w:tcBorders>
            <w:noWrap w:val="0"/>
            <w:vAlign w:val="center"/>
          </w:tcPr>
          <w:p w14:paraId="03B5F8B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50E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0479A84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镉</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6FFD0C9B">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0.16</w:t>
            </w:r>
          </w:p>
        </w:tc>
        <w:tc>
          <w:tcPr>
            <w:tcW w:w="707" w:type="pct"/>
            <w:tcBorders>
              <w:right w:val="single" w:color="auto" w:sz="4" w:space="0"/>
            </w:tcBorders>
            <w:noWrap w:val="0"/>
            <w:vAlign w:val="center"/>
          </w:tcPr>
          <w:p w14:paraId="7F89681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20</w:t>
            </w:r>
          </w:p>
        </w:tc>
        <w:tc>
          <w:tcPr>
            <w:tcW w:w="592" w:type="pct"/>
            <w:tcBorders>
              <w:right w:val="single" w:color="auto" w:sz="4" w:space="0"/>
            </w:tcBorders>
            <w:noWrap w:val="0"/>
            <w:vAlign w:val="center"/>
          </w:tcPr>
          <w:p w14:paraId="2921717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02A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5500DCF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铬（六价）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76813901">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707" w:type="pct"/>
            <w:tcBorders>
              <w:right w:val="single" w:color="auto" w:sz="4" w:space="0"/>
            </w:tcBorders>
            <w:noWrap w:val="0"/>
            <w:vAlign w:val="center"/>
          </w:tcPr>
          <w:p w14:paraId="246ACE6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3.0</w:t>
            </w:r>
          </w:p>
        </w:tc>
        <w:tc>
          <w:tcPr>
            <w:tcW w:w="592" w:type="pct"/>
            <w:tcBorders>
              <w:right w:val="single" w:color="auto" w:sz="4" w:space="0"/>
            </w:tcBorders>
            <w:noWrap w:val="0"/>
            <w:vAlign w:val="center"/>
          </w:tcPr>
          <w:p w14:paraId="3D1FCDB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EAD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352F4E60">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铜</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224B3F66">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p>
        </w:tc>
        <w:tc>
          <w:tcPr>
            <w:tcW w:w="707" w:type="pct"/>
            <w:tcBorders>
              <w:right w:val="single" w:color="auto" w:sz="4" w:space="0"/>
            </w:tcBorders>
            <w:noWrap w:val="0"/>
            <w:vAlign w:val="center"/>
          </w:tcPr>
          <w:p w14:paraId="6ED98AA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2000</w:t>
            </w:r>
          </w:p>
        </w:tc>
        <w:tc>
          <w:tcPr>
            <w:tcW w:w="592" w:type="pct"/>
            <w:tcBorders>
              <w:right w:val="single" w:color="auto" w:sz="4" w:space="0"/>
            </w:tcBorders>
            <w:noWrap w:val="0"/>
            <w:vAlign w:val="center"/>
          </w:tcPr>
          <w:p w14:paraId="6486762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6D3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7237440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铅</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6F981863">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52</w:t>
            </w:r>
          </w:p>
        </w:tc>
        <w:tc>
          <w:tcPr>
            <w:tcW w:w="707" w:type="pct"/>
            <w:tcBorders>
              <w:right w:val="single" w:color="auto" w:sz="4" w:space="0"/>
            </w:tcBorders>
            <w:noWrap w:val="0"/>
            <w:vAlign w:val="center"/>
          </w:tcPr>
          <w:p w14:paraId="756F874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400</w:t>
            </w:r>
          </w:p>
        </w:tc>
        <w:tc>
          <w:tcPr>
            <w:tcW w:w="592" w:type="pct"/>
            <w:tcBorders>
              <w:right w:val="single" w:color="auto" w:sz="4" w:space="0"/>
            </w:tcBorders>
            <w:noWrap w:val="0"/>
            <w:vAlign w:val="center"/>
          </w:tcPr>
          <w:p w14:paraId="4F911DE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287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771651F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汞</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52A3C00D">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0.434</w:t>
            </w:r>
          </w:p>
        </w:tc>
        <w:tc>
          <w:tcPr>
            <w:tcW w:w="707" w:type="pct"/>
            <w:tcBorders>
              <w:right w:val="single" w:color="auto" w:sz="4" w:space="0"/>
            </w:tcBorders>
            <w:noWrap w:val="0"/>
            <w:vAlign w:val="center"/>
          </w:tcPr>
          <w:p w14:paraId="2FCC838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8</w:t>
            </w:r>
          </w:p>
        </w:tc>
        <w:tc>
          <w:tcPr>
            <w:tcW w:w="592" w:type="pct"/>
            <w:tcBorders>
              <w:right w:val="single" w:color="auto" w:sz="4" w:space="0"/>
            </w:tcBorders>
            <w:noWrap w:val="0"/>
            <w:vAlign w:val="center"/>
          </w:tcPr>
          <w:p w14:paraId="7941884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1A0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65CC63B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镍</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190B1C20">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48</w:t>
            </w:r>
          </w:p>
        </w:tc>
        <w:tc>
          <w:tcPr>
            <w:tcW w:w="707" w:type="pct"/>
            <w:tcBorders>
              <w:right w:val="single" w:color="auto" w:sz="4" w:space="0"/>
            </w:tcBorders>
            <w:noWrap w:val="0"/>
            <w:vAlign w:val="center"/>
          </w:tcPr>
          <w:p w14:paraId="5F2DFCD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150</w:t>
            </w:r>
          </w:p>
        </w:tc>
        <w:tc>
          <w:tcPr>
            <w:tcW w:w="592" w:type="pct"/>
            <w:tcBorders>
              <w:right w:val="single" w:color="auto" w:sz="4" w:space="0"/>
            </w:tcBorders>
            <w:noWrap w:val="0"/>
            <w:vAlign w:val="center"/>
          </w:tcPr>
          <w:p w14:paraId="1DAC2DB1">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346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28EDF0B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四氯化碳</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1F80A00C">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0.0013L</w:t>
            </w:r>
          </w:p>
        </w:tc>
        <w:tc>
          <w:tcPr>
            <w:tcW w:w="707" w:type="pct"/>
            <w:tcBorders>
              <w:right w:val="single" w:color="auto" w:sz="4" w:space="0"/>
            </w:tcBorders>
            <w:noWrap w:val="0"/>
            <w:vAlign w:val="center"/>
          </w:tcPr>
          <w:p w14:paraId="5954B7C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0.9</w:t>
            </w:r>
          </w:p>
        </w:tc>
        <w:tc>
          <w:tcPr>
            <w:tcW w:w="592" w:type="pct"/>
            <w:tcBorders>
              <w:right w:val="single" w:color="auto" w:sz="4" w:space="0"/>
            </w:tcBorders>
            <w:noWrap w:val="0"/>
            <w:vAlign w:val="center"/>
          </w:tcPr>
          <w:p w14:paraId="3CB9EFD6">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219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10E7B310">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氯仿</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6118874C">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0.0011L</w:t>
            </w:r>
          </w:p>
        </w:tc>
        <w:tc>
          <w:tcPr>
            <w:tcW w:w="707" w:type="pct"/>
            <w:tcBorders>
              <w:right w:val="single" w:color="auto" w:sz="4" w:space="0"/>
            </w:tcBorders>
            <w:noWrap w:val="0"/>
            <w:vAlign w:val="center"/>
          </w:tcPr>
          <w:p w14:paraId="3DFDD21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0.3</w:t>
            </w:r>
          </w:p>
        </w:tc>
        <w:tc>
          <w:tcPr>
            <w:tcW w:w="592" w:type="pct"/>
            <w:tcBorders>
              <w:right w:val="single" w:color="auto" w:sz="4" w:space="0"/>
            </w:tcBorders>
            <w:noWrap w:val="0"/>
            <w:vAlign w:val="center"/>
          </w:tcPr>
          <w:p w14:paraId="00F2259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A72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66183E0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氯甲烷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14DAC473">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0.0010L</w:t>
            </w:r>
          </w:p>
        </w:tc>
        <w:tc>
          <w:tcPr>
            <w:tcW w:w="707" w:type="pct"/>
            <w:tcBorders>
              <w:right w:val="single" w:color="auto" w:sz="4" w:space="0"/>
            </w:tcBorders>
            <w:noWrap w:val="0"/>
            <w:vAlign w:val="center"/>
          </w:tcPr>
          <w:p w14:paraId="4C48481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w:t>
            </w:r>
          </w:p>
        </w:tc>
        <w:tc>
          <w:tcPr>
            <w:tcW w:w="592" w:type="pct"/>
            <w:tcBorders>
              <w:right w:val="single" w:color="auto" w:sz="4" w:space="0"/>
            </w:tcBorders>
            <w:noWrap w:val="0"/>
            <w:vAlign w:val="center"/>
          </w:tcPr>
          <w:p w14:paraId="372F50F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0330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17CD264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1,1-二氯乙烷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66E71EFC">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0.0012L</w:t>
            </w:r>
          </w:p>
        </w:tc>
        <w:tc>
          <w:tcPr>
            <w:tcW w:w="707" w:type="pct"/>
            <w:tcBorders>
              <w:right w:val="single" w:color="auto" w:sz="4" w:space="0"/>
            </w:tcBorders>
            <w:noWrap w:val="0"/>
            <w:vAlign w:val="center"/>
          </w:tcPr>
          <w:p w14:paraId="5C910E5C">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c>
          <w:tcPr>
            <w:tcW w:w="592" w:type="pct"/>
            <w:tcBorders>
              <w:right w:val="single" w:color="auto" w:sz="4" w:space="0"/>
            </w:tcBorders>
            <w:noWrap w:val="0"/>
            <w:vAlign w:val="center"/>
          </w:tcPr>
          <w:p w14:paraId="354D3C2D">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0607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0B80C4C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1,2-二氯乙烷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4B5FEA88">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0.0013L</w:t>
            </w:r>
          </w:p>
        </w:tc>
        <w:tc>
          <w:tcPr>
            <w:tcW w:w="707" w:type="pct"/>
            <w:tcBorders>
              <w:right w:val="single" w:color="auto" w:sz="4" w:space="0"/>
            </w:tcBorders>
            <w:noWrap w:val="0"/>
            <w:vAlign w:val="center"/>
          </w:tcPr>
          <w:p w14:paraId="2DFF6BE4">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0.52</w:t>
            </w:r>
          </w:p>
        </w:tc>
        <w:tc>
          <w:tcPr>
            <w:tcW w:w="592" w:type="pct"/>
            <w:tcBorders>
              <w:right w:val="single" w:color="auto" w:sz="4" w:space="0"/>
            </w:tcBorders>
            <w:noWrap w:val="0"/>
            <w:vAlign w:val="center"/>
          </w:tcPr>
          <w:p w14:paraId="12B6AFC3">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279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6650A980">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1,1-二氯乙烯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702BABDB">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0.0010L</w:t>
            </w:r>
          </w:p>
        </w:tc>
        <w:tc>
          <w:tcPr>
            <w:tcW w:w="707" w:type="pct"/>
            <w:tcBorders>
              <w:right w:val="single" w:color="auto" w:sz="4" w:space="0"/>
            </w:tcBorders>
            <w:noWrap w:val="0"/>
            <w:vAlign w:val="center"/>
          </w:tcPr>
          <w:p w14:paraId="24710485">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w:t>
            </w:r>
          </w:p>
        </w:tc>
        <w:tc>
          <w:tcPr>
            <w:tcW w:w="592" w:type="pct"/>
            <w:tcBorders>
              <w:right w:val="single" w:color="auto" w:sz="4" w:space="0"/>
            </w:tcBorders>
            <w:noWrap w:val="0"/>
            <w:vAlign w:val="center"/>
          </w:tcPr>
          <w:p w14:paraId="295AB88D">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516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67AA605F">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顺式-1,2-二氯乙烯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5F4B61BD">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0.0013L</w:t>
            </w:r>
          </w:p>
        </w:tc>
        <w:tc>
          <w:tcPr>
            <w:tcW w:w="707" w:type="pct"/>
            <w:tcBorders>
              <w:right w:val="single" w:color="auto" w:sz="4" w:space="0"/>
            </w:tcBorders>
            <w:noWrap w:val="0"/>
            <w:vAlign w:val="center"/>
          </w:tcPr>
          <w:p w14:paraId="0729902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66</w:t>
            </w:r>
          </w:p>
        </w:tc>
        <w:tc>
          <w:tcPr>
            <w:tcW w:w="592" w:type="pct"/>
            <w:tcBorders>
              <w:right w:val="single" w:color="auto" w:sz="4" w:space="0"/>
            </w:tcBorders>
            <w:noWrap w:val="0"/>
            <w:vAlign w:val="center"/>
          </w:tcPr>
          <w:p w14:paraId="347E447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886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3A31D64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1,2-二氯丙烷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3484E29C">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0.0011L</w:t>
            </w:r>
          </w:p>
        </w:tc>
        <w:tc>
          <w:tcPr>
            <w:tcW w:w="707" w:type="pct"/>
            <w:tcBorders>
              <w:right w:val="single" w:color="auto" w:sz="4" w:space="0"/>
            </w:tcBorders>
            <w:noWrap w:val="0"/>
            <w:vAlign w:val="center"/>
          </w:tcPr>
          <w:p w14:paraId="1246ECF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592" w:type="pct"/>
            <w:tcBorders>
              <w:right w:val="single" w:color="auto" w:sz="4" w:space="0"/>
            </w:tcBorders>
            <w:noWrap w:val="0"/>
            <w:vAlign w:val="center"/>
          </w:tcPr>
          <w:p w14:paraId="578896F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503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6660F486">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四氯乙烯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20371C07">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0.0014L</w:t>
            </w:r>
          </w:p>
        </w:tc>
        <w:tc>
          <w:tcPr>
            <w:tcW w:w="707" w:type="pct"/>
            <w:tcBorders>
              <w:right w:val="single" w:color="auto" w:sz="4" w:space="0"/>
            </w:tcBorders>
            <w:noWrap w:val="0"/>
            <w:vAlign w:val="center"/>
          </w:tcPr>
          <w:p w14:paraId="4BA8FF69">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w:t>
            </w:r>
          </w:p>
        </w:tc>
        <w:tc>
          <w:tcPr>
            <w:tcW w:w="592" w:type="pct"/>
            <w:tcBorders>
              <w:right w:val="single" w:color="auto" w:sz="4" w:space="0"/>
            </w:tcBorders>
            <w:noWrap w:val="0"/>
            <w:vAlign w:val="center"/>
          </w:tcPr>
          <w:p w14:paraId="11B19270">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26F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noWrap w:val="0"/>
            <w:vAlign w:val="center"/>
          </w:tcPr>
          <w:p w14:paraId="78FF4E5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1,1,1-三氯乙烷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noWrap w:val="0"/>
            <w:vAlign w:val="center"/>
          </w:tcPr>
          <w:p w14:paraId="1D867209">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0.0013L</w:t>
            </w:r>
          </w:p>
        </w:tc>
        <w:tc>
          <w:tcPr>
            <w:tcW w:w="707" w:type="pct"/>
            <w:tcBorders>
              <w:right w:val="single" w:color="auto" w:sz="4" w:space="0"/>
            </w:tcBorders>
            <w:noWrap w:val="0"/>
            <w:vAlign w:val="center"/>
          </w:tcPr>
          <w:p w14:paraId="21BAB27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701</w:t>
            </w:r>
          </w:p>
        </w:tc>
        <w:tc>
          <w:tcPr>
            <w:tcW w:w="592" w:type="pct"/>
            <w:tcBorders>
              <w:right w:val="single" w:color="auto" w:sz="4" w:space="0"/>
            </w:tcBorders>
            <w:noWrap w:val="0"/>
            <w:vAlign w:val="center"/>
          </w:tcPr>
          <w:p w14:paraId="40A1C5A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E50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59463B71">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1,1,2-三氯乙烷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3D0E8F4D">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0.0012L</w:t>
            </w:r>
          </w:p>
        </w:tc>
        <w:tc>
          <w:tcPr>
            <w:tcW w:w="707" w:type="pct"/>
            <w:tcBorders>
              <w:right w:val="single" w:color="auto" w:sz="4" w:space="0"/>
            </w:tcBorders>
            <w:shd w:val="clear" w:color="auto" w:fill="auto"/>
            <w:noWrap w:val="0"/>
            <w:vAlign w:val="center"/>
          </w:tcPr>
          <w:p w14:paraId="7740297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0.6</w:t>
            </w:r>
          </w:p>
        </w:tc>
        <w:tc>
          <w:tcPr>
            <w:tcW w:w="592" w:type="pct"/>
            <w:tcBorders>
              <w:right w:val="single" w:color="auto" w:sz="4" w:space="0"/>
            </w:tcBorders>
            <w:noWrap w:val="0"/>
            <w:vAlign w:val="center"/>
          </w:tcPr>
          <w:p w14:paraId="421E7001">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64C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61FF57D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三氯乙烯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1005D84A">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0.0012L</w:t>
            </w:r>
          </w:p>
        </w:tc>
        <w:tc>
          <w:tcPr>
            <w:tcW w:w="707" w:type="pct"/>
            <w:tcBorders>
              <w:right w:val="single" w:color="auto" w:sz="4" w:space="0"/>
            </w:tcBorders>
            <w:shd w:val="clear" w:color="auto" w:fill="auto"/>
            <w:noWrap w:val="0"/>
            <w:vAlign w:val="center"/>
          </w:tcPr>
          <w:p w14:paraId="24D8234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0.7</w:t>
            </w:r>
          </w:p>
        </w:tc>
        <w:tc>
          <w:tcPr>
            <w:tcW w:w="592" w:type="pct"/>
            <w:tcBorders>
              <w:right w:val="single" w:color="auto" w:sz="4" w:space="0"/>
            </w:tcBorders>
            <w:noWrap w:val="0"/>
            <w:vAlign w:val="center"/>
          </w:tcPr>
          <w:p w14:paraId="6F6BEA2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FBF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59EFC1C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1,2,3-三氯丙烷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4B3AAAF4">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0.0012L</w:t>
            </w:r>
          </w:p>
        </w:tc>
        <w:tc>
          <w:tcPr>
            <w:tcW w:w="707" w:type="pct"/>
            <w:tcBorders>
              <w:right w:val="single" w:color="auto" w:sz="4" w:space="0"/>
            </w:tcBorders>
            <w:shd w:val="clear" w:color="auto" w:fill="auto"/>
            <w:noWrap w:val="0"/>
            <w:vAlign w:val="center"/>
          </w:tcPr>
          <w:p w14:paraId="43D6532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0.05</w:t>
            </w:r>
          </w:p>
        </w:tc>
        <w:tc>
          <w:tcPr>
            <w:tcW w:w="592" w:type="pct"/>
            <w:tcBorders>
              <w:right w:val="single" w:color="auto" w:sz="4" w:space="0"/>
            </w:tcBorders>
            <w:noWrap w:val="0"/>
            <w:vAlign w:val="center"/>
          </w:tcPr>
          <w:p w14:paraId="1AE8F11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44B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0862FB5A">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氯乙烯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1C0849F9">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0.0010L</w:t>
            </w:r>
          </w:p>
        </w:tc>
        <w:tc>
          <w:tcPr>
            <w:tcW w:w="707" w:type="pct"/>
            <w:tcBorders>
              <w:right w:val="single" w:color="auto" w:sz="4" w:space="0"/>
            </w:tcBorders>
            <w:shd w:val="clear" w:color="auto" w:fill="auto"/>
            <w:noWrap w:val="0"/>
            <w:vAlign w:val="center"/>
          </w:tcPr>
          <w:p w14:paraId="09925D6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0.12</w:t>
            </w:r>
          </w:p>
        </w:tc>
        <w:tc>
          <w:tcPr>
            <w:tcW w:w="592" w:type="pct"/>
            <w:tcBorders>
              <w:right w:val="single" w:color="auto" w:sz="4" w:space="0"/>
            </w:tcBorders>
            <w:noWrap w:val="0"/>
            <w:vAlign w:val="center"/>
          </w:tcPr>
          <w:p w14:paraId="212E28F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27F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08149F9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硝基苯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1DC2A1B1">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0.09L</w:t>
            </w:r>
          </w:p>
        </w:tc>
        <w:tc>
          <w:tcPr>
            <w:tcW w:w="707" w:type="pct"/>
            <w:tcBorders>
              <w:right w:val="single" w:color="auto" w:sz="4" w:space="0"/>
            </w:tcBorders>
            <w:shd w:val="clear" w:color="auto" w:fill="auto"/>
            <w:noWrap w:val="0"/>
            <w:vAlign w:val="center"/>
          </w:tcPr>
          <w:p w14:paraId="5DBBA54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34</w:t>
            </w:r>
          </w:p>
        </w:tc>
        <w:tc>
          <w:tcPr>
            <w:tcW w:w="592" w:type="pct"/>
            <w:tcBorders>
              <w:right w:val="single" w:color="auto" w:sz="4" w:space="0"/>
            </w:tcBorders>
            <w:noWrap w:val="0"/>
            <w:vAlign w:val="center"/>
          </w:tcPr>
          <w:p w14:paraId="248EBEA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708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6DDF3FC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茚并</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1"/>
                <w:szCs w:val="21"/>
                <w:highlight w:val="none"/>
                <w:lang w:val="en-US" w:eastAsia="zh-CN" w:bidi="ar-SA"/>
              </w:rPr>
              <w:t>1,2,3-cd</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1"/>
                <w:szCs w:val="21"/>
                <w:highlight w:val="none"/>
                <w:lang w:val="en-US" w:eastAsia="zh-CN" w:bidi="ar-SA"/>
              </w:rPr>
              <w:t>芘</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5C5779E9">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0.1L</w:t>
            </w:r>
          </w:p>
        </w:tc>
        <w:tc>
          <w:tcPr>
            <w:tcW w:w="707" w:type="pct"/>
            <w:tcBorders>
              <w:right w:val="single" w:color="auto" w:sz="4" w:space="0"/>
            </w:tcBorders>
            <w:shd w:val="clear" w:color="auto" w:fill="auto"/>
            <w:noWrap w:val="0"/>
            <w:vAlign w:val="center"/>
          </w:tcPr>
          <w:p w14:paraId="59A938E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5.5</w:t>
            </w:r>
          </w:p>
        </w:tc>
        <w:tc>
          <w:tcPr>
            <w:tcW w:w="592" w:type="pct"/>
            <w:tcBorders>
              <w:right w:val="single" w:color="auto" w:sz="4" w:space="0"/>
            </w:tcBorders>
            <w:noWrap w:val="0"/>
            <w:vAlign w:val="center"/>
          </w:tcPr>
          <w:p w14:paraId="0F0003A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2C1C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32752EE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苯并</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1"/>
                <w:szCs w:val="21"/>
                <w:highlight w:val="none"/>
                <w:lang w:val="en-US" w:eastAsia="zh-CN" w:bidi="ar-SA"/>
              </w:rPr>
              <w:t>a</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1"/>
                <w:szCs w:val="21"/>
                <w:highlight w:val="none"/>
                <w:lang w:val="en-US" w:eastAsia="zh-CN" w:bidi="ar-SA"/>
              </w:rPr>
              <w:t>蒽</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60E639C9">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0.1L</w:t>
            </w:r>
          </w:p>
        </w:tc>
        <w:tc>
          <w:tcPr>
            <w:tcW w:w="707" w:type="pct"/>
            <w:tcBorders>
              <w:right w:val="single" w:color="auto" w:sz="4" w:space="0"/>
            </w:tcBorders>
            <w:shd w:val="clear" w:color="auto" w:fill="auto"/>
            <w:noWrap w:val="0"/>
            <w:vAlign w:val="center"/>
          </w:tcPr>
          <w:p w14:paraId="0A5CEC5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5.5</w:t>
            </w:r>
          </w:p>
        </w:tc>
        <w:tc>
          <w:tcPr>
            <w:tcW w:w="592" w:type="pct"/>
            <w:tcBorders>
              <w:right w:val="single" w:color="auto" w:sz="4" w:space="0"/>
            </w:tcBorders>
            <w:noWrap w:val="0"/>
            <w:vAlign w:val="center"/>
          </w:tcPr>
          <w:p w14:paraId="5B8264D9">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2FD2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1D4B9B90">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苯并[a]芘（mg/kg）</w:t>
            </w:r>
          </w:p>
        </w:tc>
        <w:tc>
          <w:tcPr>
            <w:tcW w:w="2116" w:type="pct"/>
            <w:tcBorders>
              <w:right w:val="single" w:color="auto" w:sz="4" w:space="0"/>
            </w:tcBorders>
            <w:shd w:val="clear" w:color="auto" w:fill="auto"/>
            <w:noWrap w:val="0"/>
            <w:vAlign w:val="center"/>
          </w:tcPr>
          <w:p w14:paraId="4524C8D9">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0.1L</w:t>
            </w:r>
          </w:p>
        </w:tc>
        <w:tc>
          <w:tcPr>
            <w:tcW w:w="707" w:type="pct"/>
            <w:tcBorders>
              <w:right w:val="single" w:color="auto" w:sz="4" w:space="0"/>
            </w:tcBorders>
            <w:shd w:val="clear" w:color="auto" w:fill="auto"/>
            <w:noWrap w:val="0"/>
            <w:vAlign w:val="center"/>
          </w:tcPr>
          <w:p w14:paraId="4FAF895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0.55</w:t>
            </w:r>
          </w:p>
        </w:tc>
        <w:tc>
          <w:tcPr>
            <w:tcW w:w="592" w:type="pct"/>
            <w:tcBorders>
              <w:right w:val="single" w:color="auto" w:sz="4" w:space="0"/>
            </w:tcBorders>
            <w:noWrap w:val="0"/>
            <w:vAlign w:val="center"/>
          </w:tcPr>
          <w:p w14:paraId="30987B4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011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2BA9BB86">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苯并</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1"/>
                <w:szCs w:val="21"/>
                <w:highlight w:val="none"/>
                <w:lang w:val="en-US" w:eastAsia="zh-CN" w:bidi="ar-SA"/>
              </w:rPr>
              <w:t>b</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1"/>
                <w:szCs w:val="21"/>
                <w:highlight w:val="none"/>
                <w:lang w:val="en-US" w:eastAsia="zh-CN" w:bidi="ar-SA"/>
              </w:rPr>
              <w:t>荧蒽</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115A904E">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0.2L</w:t>
            </w:r>
          </w:p>
        </w:tc>
        <w:tc>
          <w:tcPr>
            <w:tcW w:w="707" w:type="pct"/>
            <w:tcBorders>
              <w:right w:val="single" w:color="auto" w:sz="4" w:space="0"/>
            </w:tcBorders>
            <w:shd w:val="clear" w:color="auto" w:fill="auto"/>
            <w:noWrap w:val="0"/>
            <w:vAlign w:val="center"/>
          </w:tcPr>
          <w:p w14:paraId="76B9A4E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5.5</w:t>
            </w:r>
          </w:p>
        </w:tc>
        <w:tc>
          <w:tcPr>
            <w:tcW w:w="592" w:type="pct"/>
            <w:tcBorders>
              <w:right w:val="single" w:color="auto" w:sz="4" w:space="0"/>
            </w:tcBorders>
            <w:noWrap w:val="0"/>
            <w:vAlign w:val="center"/>
          </w:tcPr>
          <w:p w14:paraId="78721ED3">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C90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421C98C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苯并</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1"/>
                <w:szCs w:val="21"/>
                <w:highlight w:val="none"/>
                <w:lang w:val="en-US" w:eastAsia="zh-CN" w:bidi="ar-SA"/>
              </w:rPr>
              <w:t>k</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1"/>
                <w:szCs w:val="21"/>
                <w:highlight w:val="none"/>
                <w:lang w:val="en-US" w:eastAsia="zh-CN" w:bidi="ar-SA"/>
              </w:rPr>
              <w:t>荧蒽</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0D7B4BCC">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0.1L</w:t>
            </w:r>
          </w:p>
        </w:tc>
        <w:tc>
          <w:tcPr>
            <w:tcW w:w="707" w:type="pct"/>
            <w:tcBorders>
              <w:right w:val="single" w:color="auto" w:sz="4" w:space="0"/>
            </w:tcBorders>
            <w:shd w:val="clear" w:color="auto" w:fill="auto"/>
            <w:noWrap w:val="0"/>
            <w:vAlign w:val="center"/>
          </w:tcPr>
          <w:p w14:paraId="76D7271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55</w:t>
            </w:r>
          </w:p>
        </w:tc>
        <w:tc>
          <w:tcPr>
            <w:tcW w:w="592" w:type="pct"/>
            <w:tcBorders>
              <w:right w:val="single" w:color="auto" w:sz="4" w:space="0"/>
            </w:tcBorders>
            <w:noWrap w:val="0"/>
            <w:vAlign w:val="center"/>
          </w:tcPr>
          <w:p w14:paraId="1CA8A199">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CAB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7BC12000">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䓛</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12F4C2BF">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0.1L</w:t>
            </w:r>
          </w:p>
        </w:tc>
        <w:tc>
          <w:tcPr>
            <w:tcW w:w="707" w:type="pct"/>
            <w:tcBorders>
              <w:right w:val="single" w:color="auto" w:sz="4" w:space="0"/>
            </w:tcBorders>
            <w:shd w:val="clear" w:color="auto" w:fill="auto"/>
            <w:noWrap w:val="0"/>
            <w:vAlign w:val="center"/>
          </w:tcPr>
          <w:p w14:paraId="390534E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490</w:t>
            </w:r>
          </w:p>
        </w:tc>
        <w:tc>
          <w:tcPr>
            <w:tcW w:w="592" w:type="pct"/>
            <w:tcBorders>
              <w:right w:val="single" w:color="auto" w:sz="4" w:space="0"/>
            </w:tcBorders>
            <w:noWrap w:val="0"/>
            <w:vAlign w:val="center"/>
          </w:tcPr>
          <w:p w14:paraId="3BE1017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3B8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748382C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萘</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367274A3">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0.09L</w:t>
            </w:r>
          </w:p>
        </w:tc>
        <w:tc>
          <w:tcPr>
            <w:tcW w:w="707" w:type="pct"/>
            <w:tcBorders>
              <w:right w:val="single" w:color="auto" w:sz="4" w:space="0"/>
            </w:tcBorders>
            <w:shd w:val="clear" w:color="auto" w:fill="auto"/>
            <w:noWrap w:val="0"/>
            <w:vAlign w:val="center"/>
          </w:tcPr>
          <w:p w14:paraId="67BD21A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25</w:t>
            </w:r>
          </w:p>
        </w:tc>
        <w:tc>
          <w:tcPr>
            <w:tcW w:w="592" w:type="pct"/>
            <w:tcBorders>
              <w:right w:val="single" w:color="auto" w:sz="4" w:space="0"/>
            </w:tcBorders>
            <w:noWrap w:val="0"/>
            <w:vAlign w:val="center"/>
          </w:tcPr>
          <w:p w14:paraId="3402BD7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913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2215909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二苯并</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1"/>
                <w:szCs w:val="21"/>
                <w:highlight w:val="none"/>
                <w:lang w:val="en-US" w:eastAsia="zh-CN" w:bidi="ar-SA"/>
              </w:rPr>
              <w:t>a,h</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kern w:val="2"/>
                <w:sz w:val="21"/>
                <w:szCs w:val="21"/>
                <w:highlight w:val="none"/>
                <w:lang w:val="en-US" w:eastAsia="zh-CN" w:bidi="ar-SA"/>
              </w:rPr>
              <w:t>蒽</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1F0378FC">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0.1L</w:t>
            </w:r>
          </w:p>
        </w:tc>
        <w:tc>
          <w:tcPr>
            <w:tcW w:w="707" w:type="pct"/>
            <w:tcBorders>
              <w:right w:val="single" w:color="auto" w:sz="4" w:space="0"/>
            </w:tcBorders>
            <w:shd w:val="clear" w:color="auto" w:fill="auto"/>
            <w:noWrap w:val="0"/>
            <w:vAlign w:val="center"/>
          </w:tcPr>
          <w:p w14:paraId="733549A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0.55</w:t>
            </w:r>
          </w:p>
        </w:tc>
        <w:tc>
          <w:tcPr>
            <w:tcW w:w="592" w:type="pct"/>
            <w:tcBorders>
              <w:right w:val="single" w:color="auto" w:sz="4" w:space="0"/>
            </w:tcBorders>
            <w:noWrap w:val="0"/>
            <w:vAlign w:val="center"/>
          </w:tcPr>
          <w:p w14:paraId="7255F54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0440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499D4DB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反式-1,2-二氯乙烯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42AF7A7B">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0.0014L</w:t>
            </w:r>
          </w:p>
        </w:tc>
        <w:tc>
          <w:tcPr>
            <w:tcW w:w="707" w:type="pct"/>
            <w:tcBorders>
              <w:right w:val="single" w:color="auto" w:sz="4" w:space="0"/>
            </w:tcBorders>
            <w:shd w:val="clear" w:color="auto" w:fill="auto"/>
            <w:noWrap w:val="0"/>
            <w:vAlign w:val="center"/>
          </w:tcPr>
          <w:p w14:paraId="387998F6">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592" w:type="pct"/>
            <w:tcBorders>
              <w:right w:val="single" w:color="auto" w:sz="4" w:space="0"/>
            </w:tcBorders>
            <w:noWrap w:val="0"/>
            <w:vAlign w:val="center"/>
          </w:tcPr>
          <w:p w14:paraId="2B9B713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9A9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04859B89">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二氯甲烷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455A72E3">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0.0015L</w:t>
            </w:r>
          </w:p>
        </w:tc>
        <w:tc>
          <w:tcPr>
            <w:tcW w:w="707" w:type="pct"/>
            <w:tcBorders>
              <w:right w:val="single" w:color="auto" w:sz="4" w:space="0"/>
            </w:tcBorders>
            <w:shd w:val="clear" w:color="auto" w:fill="auto"/>
            <w:noWrap w:val="0"/>
            <w:vAlign w:val="center"/>
          </w:tcPr>
          <w:p w14:paraId="51F3CDD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94</w:t>
            </w:r>
          </w:p>
        </w:tc>
        <w:tc>
          <w:tcPr>
            <w:tcW w:w="592" w:type="pct"/>
            <w:tcBorders>
              <w:right w:val="single" w:color="auto" w:sz="4" w:space="0"/>
            </w:tcBorders>
            <w:noWrap w:val="0"/>
            <w:vAlign w:val="center"/>
          </w:tcPr>
          <w:p w14:paraId="6608B48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306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10CC281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2-氯苯酚</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52A04EF1">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0.06L</w:t>
            </w:r>
          </w:p>
        </w:tc>
        <w:tc>
          <w:tcPr>
            <w:tcW w:w="707" w:type="pct"/>
            <w:tcBorders>
              <w:right w:val="single" w:color="auto" w:sz="4" w:space="0"/>
            </w:tcBorders>
            <w:shd w:val="clear" w:color="auto" w:fill="auto"/>
            <w:noWrap w:val="0"/>
            <w:vAlign w:val="center"/>
          </w:tcPr>
          <w:p w14:paraId="1C2B3EE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250</w:t>
            </w:r>
          </w:p>
        </w:tc>
        <w:tc>
          <w:tcPr>
            <w:tcW w:w="592" w:type="pct"/>
            <w:tcBorders>
              <w:right w:val="single" w:color="auto" w:sz="4" w:space="0"/>
            </w:tcBorders>
            <w:noWrap w:val="0"/>
            <w:vAlign w:val="center"/>
          </w:tcPr>
          <w:p w14:paraId="7999D53E">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7F1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07DB239E">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0FFE58EA">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707" w:type="pct"/>
            <w:tcBorders>
              <w:right w:val="single" w:color="auto" w:sz="4" w:space="0"/>
            </w:tcBorders>
            <w:shd w:val="clear" w:color="auto" w:fill="auto"/>
            <w:noWrap w:val="0"/>
            <w:vAlign w:val="center"/>
          </w:tcPr>
          <w:p w14:paraId="3E7DEEA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592" w:type="pct"/>
            <w:tcBorders>
              <w:right w:val="single" w:color="auto" w:sz="4" w:space="0"/>
            </w:tcBorders>
            <w:noWrap w:val="0"/>
            <w:vAlign w:val="center"/>
          </w:tcPr>
          <w:p w14:paraId="11EC15B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567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6D1E6BE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氯苯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7800A06A">
            <w:pPr>
              <w:adjustRightInd w:val="0"/>
              <w:snapToGrid w:val="0"/>
              <w:spacing w:line="28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未检出</w:t>
            </w:r>
          </w:p>
        </w:tc>
        <w:tc>
          <w:tcPr>
            <w:tcW w:w="707" w:type="pct"/>
            <w:tcBorders>
              <w:right w:val="single" w:color="auto" w:sz="4" w:space="0"/>
            </w:tcBorders>
            <w:shd w:val="clear" w:color="auto" w:fill="auto"/>
            <w:noWrap w:val="0"/>
            <w:vAlign w:val="center"/>
          </w:tcPr>
          <w:p w14:paraId="40C39A4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68</w:t>
            </w:r>
          </w:p>
        </w:tc>
        <w:tc>
          <w:tcPr>
            <w:tcW w:w="592" w:type="pct"/>
            <w:tcBorders>
              <w:right w:val="single" w:color="auto" w:sz="4" w:space="0"/>
            </w:tcBorders>
            <w:noWrap w:val="0"/>
            <w:vAlign w:val="center"/>
          </w:tcPr>
          <w:p w14:paraId="1C2B7A6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1D2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2BB331AF">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1,2-二氯苯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103D7062">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未检出</w:t>
            </w:r>
          </w:p>
        </w:tc>
        <w:tc>
          <w:tcPr>
            <w:tcW w:w="707" w:type="pct"/>
            <w:tcBorders>
              <w:right w:val="single" w:color="auto" w:sz="4" w:space="0"/>
            </w:tcBorders>
            <w:shd w:val="clear" w:color="auto" w:fill="auto"/>
            <w:noWrap w:val="0"/>
            <w:vAlign w:val="center"/>
          </w:tcPr>
          <w:p w14:paraId="52766ED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560</w:t>
            </w:r>
          </w:p>
        </w:tc>
        <w:tc>
          <w:tcPr>
            <w:tcW w:w="592" w:type="pct"/>
            <w:tcBorders>
              <w:right w:val="single" w:color="auto" w:sz="4" w:space="0"/>
            </w:tcBorders>
            <w:noWrap w:val="0"/>
            <w:vAlign w:val="center"/>
          </w:tcPr>
          <w:p w14:paraId="7CA00FF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C25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3D45E7D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1,4-二氯苯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182E0B99">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未检出</w:t>
            </w:r>
          </w:p>
        </w:tc>
        <w:tc>
          <w:tcPr>
            <w:tcW w:w="707" w:type="pct"/>
            <w:tcBorders>
              <w:right w:val="single" w:color="auto" w:sz="4" w:space="0"/>
            </w:tcBorders>
            <w:shd w:val="clear" w:color="auto" w:fill="auto"/>
            <w:noWrap w:val="0"/>
            <w:vAlign w:val="center"/>
          </w:tcPr>
          <w:p w14:paraId="00C75DF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5.6</w:t>
            </w:r>
          </w:p>
        </w:tc>
        <w:tc>
          <w:tcPr>
            <w:tcW w:w="592" w:type="pct"/>
            <w:tcBorders>
              <w:right w:val="single" w:color="auto" w:sz="4" w:space="0"/>
            </w:tcBorders>
            <w:noWrap w:val="0"/>
            <w:vAlign w:val="center"/>
          </w:tcPr>
          <w:p w14:paraId="3C31C5B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62D9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50FE786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乙苯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3ED80472">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未检出</w:t>
            </w:r>
          </w:p>
        </w:tc>
        <w:tc>
          <w:tcPr>
            <w:tcW w:w="707" w:type="pct"/>
            <w:tcBorders>
              <w:right w:val="single" w:color="auto" w:sz="4" w:space="0"/>
            </w:tcBorders>
            <w:shd w:val="clear" w:color="auto" w:fill="auto"/>
            <w:noWrap w:val="0"/>
            <w:vAlign w:val="center"/>
          </w:tcPr>
          <w:p w14:paraId="090B8AF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7.2</w:t>
            </w:r>
          </w:p>
        </w:tc>
        <w:tc>
          <w:tcPr>
            <w:tcW w:w="592" w:type="pct"/>
            <w:tcBorders>
              <w:right w:val="single" w:color="auto" w:sz="4" w:space="0"/>
            </w:tcBorders>
            <w:noWrap w:val="0"/>
            <w:vAlign w:val="center"/>
          </w:tcPr>
          <w:p w14:paraId="26C9561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001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08B7CA43">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苯乙烯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76DFE686">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未检出</w:t>
            </w:r>
          </w:p>
        </w:tc>
        <w:tc>
          <w:tcPr>
            <w:tcW w:w="707" w:type="pct"/>
            <w:tcBorders>
              <w:right w:val="single" w:color="auto" w:sz="4" w:space="0"/>
            </w:tcBorders>
            <w:shd w:val="clear" w:color="auto" w:fill="auto"/>
            <w:noWrap w:val="0"/>
            <w:vAlign w:val="center"/>
          </w:tcPr>
          <w:p w14:paraId="4F0002E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1290</w:t>
            </w:r>
          </w:p>
        </w:tc>
        <w:tc>
          <w:tcPr>
            <w:tcW w:w="592" w:type="pct"/>
            <w:tcBorders>
              <w:right w:val="single" w:color="auto" w:sz="4" w:space="0"/>
            </w:tcBorders>
            <w:noWrap w:val="0"/>
            <w:vAlign w:val="center"/>
          </w:tcPr>
          <w:p w14:paraId="15C37AF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7AD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24D8895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甲苯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332BAB67">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未检出</w:t>
            </w:r>
          </w:p>
        </w:tc>
        <w:tc>
          <w:tcPr>
            <w:tcW w:w="707" w:type="pct"/>
            <w:tcBorders>
              <w:right w:val="single" w:color="auto" w:sz="4" w:space="0"/>
            </w:tcBorders>
            <w:shd w:val="clear" w:color="auto" w:fill="auto"/>
            <w:noWrap w:val="0"/>
            <w:vAlign w:val="center"/>
          </w:tcPr>
          <w:p w14:paraId="06D6E35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1200</w:t>
            </w:r>
          </w:p>
        </w:tc>
        <w:tc>
          <w:tcPr>
            <w:tcW w:w="592" w:type="pct"/>
            <w:tcBorders>
              <w:right w:val="single" w:color="auto" w:sz="4" w:space="0"/>
            </w:tcBorders>
            <w:noWrap w:val="0"/>
            <w:vAlign w:val="center"/>
          </w:tcPr>
          <w:p w14:paraId="6F615A23">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0DE8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028C6F61">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对-二甲苯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2394AC82">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未检出</w:t>
            </w:r>
          </w:p>
        </w:tc>
        <w:tc>
          <w:tcPr>
            <w:tcW w:w="707" w:type="pct"/>
            <w:tcBorders>
              <w:right w:val="single" w:color="auto" w:sz="4" w:space="0"/>
            </w:tcBorders>
            <w:shd w:val="clear" w:color="auto" w:fill="auto"/>
            <w:noWrap w:val="0"/>
            <w:vAlign w:val="center"/>
          </w:tcPr>
          <w:p w14:paraId="4A87C85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163</w:t>
            </w:r>
          </w:p>
        </w:tc>
        <w:tc>
          <w:tcPr>
            <w:tcW w:w="592" w:type="pct"/>
            <w:tcBorders>
              <w:right w:val="single" w:color="auto" w:sz="4" w:space="0"/>
            </w:tcBorders>
            <w:noWrap w:val="0"/>
            <w:vAlign w:val="center"/>
          </w:tcPr>
          <w:p w14:paraId="156E6B1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8E2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5264762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间-二甲苯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107E98AD">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未检出</w:t>
            </w:r>
          </w:p>
        </w:tc>
        <w:tc>
          <w:tcPr>
            <w:tcW w:w="707" w:type="pct"/>
            <w:tcBorders>
              <w:right w:val="single" w:color="auto" w:sz="4" w:space="0"/>
            </w:tcBorders>
            <w:shd w:val="clear" w:color="auto" w:fill="auto"/>
            <w:noWrap w:val="0"/>
            <w:vAlign w:val="center"/>
          </w:tcPr>
          <w:p w14:paraId="5F2C82E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163</w:t>
            </w:r>
          </w:p>
        </w:tc>
        <w:tc>
          <w:tcPr>
            <w:tcW w:w="592" w:type="pct"/>
            <w:tcBorders>
              <w:right w:val="single" w:color="auto" w:sz="4" w:space="0"/>
            </w:tcBorders>
            <w:noWrap w:val="0"/>
            <w:vAlign w:val="center"/>
          </w:tcPr>
          <w:p w14:paraId="44E99B71">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E70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2B0A224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邻二甲苯</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4F3E5C6A">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cs="Times New Roman"/>
                <w:color w:val="auto"/>
                <w:spacing w:val="0"/>
                <w:sz w:val="21"/>
                <w:szCs w:val="21"/>
                <w:highlight w:val="none"/>
                <w:lang w:val="en-US" w:eastAsia="zh-CN"/>
              </w:rPr>
              <w:t>未检出</w:t>
            </w:r>
          </w:p>
        </w:tc>
        <w:tc>
          <w:tcPr>
            <w:tcW w:w="707" w:type="pct"/>
            <w:tcBorders>
              <w:right w:val="single" w:color="auto" w:sz="4" w:space="0"/>
            </w:tcBorders>
            <w:shd w:val="clear" w:color="auto" w:fill="auto"/>
            <w:noWrap w:val="0"/>
            <w:vAlign w:val="center"/>
          </w:tcPr>
          <w:p w14:paraId="3AFE6929">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222</w:t>
            </w:r>
          </w:p>
        </w:tc>
        <w:tc>
          <w:tcPr>
            <w:tcW w:w="592" w:type="pct"/>
            <w:tcBorders>
              <w:right w:val="single" w:color="auto" w:sz="4" w:space="0"/>
            </w:tcBorders>
            <w:noWrap w:val="0"/>
            <w:vAlign w:val="center"/>
          </w:tcPr>
          <w:p w14:paraId="082FC68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377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601EE8F0">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w:t>
            </w:r>
            <w:r>
              <w:rPr>
                <w:rFonts w:hint="default" w:ascii="Times New Roman" w:hAnsi="Times New Roman" w:eastAsia="宋体" w:cs="Times New Roman"/>
                <w:color w:val="auto"/>
                <w:sz w:val="21"/>
                <w:szCs w:val="21"/>
                <w:highlight w:val="none"/>
                <w:lang w:val="en-US" w:eastAsia="zh-CN"/>
              </w:rPr>
              <w:t>H值（无量纲）</w:t>
            </w:r>
          </w:p>
        </w:tc>
        <w:tc>
          <w:tcPr>
            <w:tcW w:w="2116" w:type="pct"/>
            <w:tcBorders>
              <w:right w:val="single" w:color="auto" w:sz="4" w:space="0"/>
            </w:tcBorders>
            <w:shd w:val="clear" w:color="auto" w:fill="auto"/>
            <w:noWrap w:val="0"/>
            <w:vAlign w:val="center"/>
          </w:tcPr>
          <w:p w14:paraId="6E101BAA">
            <w:pPr>
              <w:jc w:val="center"/>
              <w:rPr>
                <w:rFonts w:hint="default"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cs="Times New Roman"/>
                <w:color w:val="auto"/>
                <w:spacing w:val="0"/>
                <w:kern w:val="2"/>
                <w:sz w:val="21"/>
                <w:szCs w:val="24"/>
                <w:highlight w:val="none"/>
                <w:lang w:val="en-US" w:eastAsia="zh-CN" w:bidi="ar-SA"/>
              </w:rPr>
              <w:t>7.1</w:t>
            </w:r>
          </w:p>
        </w:tc>
        <w:tc>
          <w:tcPr>
            <w:tcW w:w="707" w:type="pct"/>
            <w:tcBorders>
              <w:right w:val="single" w:color="auto" w:sz="4" w:space="0"/>
            </w:tcBorders>
            <w:shd w:val="clear" w:color="auto" w:fill="auto"/>
            <w:noWrap w:val="0"/>
            <w:vAlign w:val="center"/>
          </w:tcPr>
          <w:p w14:paraId="15B8FF15">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592" w:type="pct"/>
            <w:tcBorders>
              <w:right w:val="single" w:color="auto" w:sz="4" w:space="0"/>
            </w:tcBorders>
            <w:noWrap w:val="0"/>
            <w:vAlign w:val="center"/>
          </w:tcPr>
          <w:p w14:paraId="2B8B921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451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19A42A6D">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1,1,1,2-四氯乙烷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0C9598D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0.0012L</w:t>
            </w:r>
          </w:p>
        </w:tc>
        <w:tc>
          <w:tcPr>
            <w:tcW w:w="707" w:type="pct"/>
            <w:tcBorders>
              <w:right w:val="single" w:color="auto" w:sz="4" w:space="0"/>
            </w:tcBorders>
            <w:shd w:val="clear" w:color="auto" w:fill="auto"/>
            <w:noWrap w:val="0"/>
            <w:vAlign w:val="center"/>
          </w:tcPr>
          <w:p w14:paraId="0FEB206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2.6</w:t>
            </w:r>
          </w:p>
        </w:tc>
        <w:tc>
          <w:tcPr>
            <w:tcW w:w="592" w:type="pct"/>
            <w:tcBorders>
              <w:right w:val="single" w:color="auto" w:sz="4" w:space="0"/>
            </w:tcBorders>
            <w:noWrap w:val="0"/>
            <w:vAlign w:val="center"/>
          </w:tcPr>
          <w:p w14:paraId="3541941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FB5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83" w:type="pct"/>
            <w:gridSpan w:val="2"/>
            <w:shd w:val="clear" w:color="auto" w:fill="auto"/>
            <w:noWrap w:val="0"/>
            <w:vAlign w:val="center"/>
          </w:tcPr>
          <w:p w14:paraId="479D64E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1,1,2,2-四氯乙烷</w:t>
            </w:r>
            <w:r>
              <w:rPr>
                <w:rFonts w:hint="default" w:ascii="Times New Roman" w:hAnsi="Times New Roman" w:cs="Times New Roman"/>
                <w:color w:val="auto"/>
                <w:sz w:val="21"/>
                <w:szCs w:val="21"/>
                <w:highlight w:val="none"/>
                <w:lang w:val="en-US" w:eastAsia="zh-CN"/>
              </w:rPr>
              <w:t>（mg/kg）</w:t>
            </w:r>
          </w:p>
        </w:tc>
        <w:tc>
          <w:tcPr>
            <w:tcW w:w="2116" w:type="pct"/>
            <w:tcBorders>
              <w:right w:val="single" w:color="auto" w:sz="4" w:space="0"/>
            </w:tcBorders>
            <w:shd w:val="clear" w:color="auto" w:fill="auto"/>
            <w:noWrap w:val="0"/>
            <w:vAlign w:val="center"/>
          </w:tcPr>
          <w:p w14:paraId="1B25E71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0.0012L</w:t>
            </w:r>
          </w:p>
        </w:tc>
        <w:tc>
          <w:tcPr>
            <w:tcW w:w="707" w:type="pct"/>
            <w:tcBorders>
              <w:right w:val="single" w:color="auto" w:sz="4" w:space="0"/>
            </w:tcBorders>
            <w:shd w:val="clear" w:color="auto" w:fill="auto"/>
            <w:noWrap w:val="0"/>
            <w:vAlign w:val="center"/>
          </w:tcPr>
          <w:p w14:paraId="31DBF57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1.6</w:t>
            </w:r>
          </w:p>
        </w:tc>
        <w:tc>
          <w:tcPr>
            <w:tcW w:w="592" w:type="pct"/>
            <w:tcBorders>
              <w:right w:val="single" w:color="auto" w:sz="4" w:space="0"/>
            </w:tcBorders>
            <w:noWrap w:val="0"/>
            <w:vAlign w:val="center"/>
          </w:tcPr>
          <w:p w14:paraId="1BE4C7B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3DF7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2" w:type="pct"/>
            <w:vMerge w:val="restart"/>
            <w:noWrap w:val="0"/>
            <w:vAlign w:val="center"/>
          </w:tcPr>
          <w:p w14:paraId="0E306AAB">
            <w:pPr>
              <w:spacing w:line="30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苯胺</w:t>
            </w:r>
            <w:r>
              <w:rPr>
                <w:rFonts w:hint="default" w:ascii="Times New Roman" w:hAnsi="Times New Roman" w:cs="Times New Roman"/>
                <w:color w:val="auto"/>
                <w:sz w:val="21"/>
                <w:szCs w:val="21"/>
                <w:highlight w:val="none"/>
                <w:lang w:val="en-US" w:eastAsia="zh-CN"/>
              </w:rPr>
              <w:t>（mg/kg）</w:t>
            </w:r>
          </w:p>
        </w:tc>
        <w:tc>
          <w:tcPr>
            <w:tcW w:w="691" w:type="pct"/>
            <w:shd w:val="clear" w:color="auto" w:fill="auto"/>
            <w:noWrap w:val="0"/>
            <w:vAlign w:val="center"/>
          </w:tcPr>
          <w:p w14:paraId="574345EB">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4-氯苯胺</w:t>
            </w:r>
          </w:p>
        </w:tc>
        <w:tc>
          <w:tcPr>
            <w:tcW w:w="2116" w:type="pct"/>
            <w:tcBorders>
              <w:right w:val="single" w:color="auto" w:sz="4" w:space="0"/>
            </w:tcBorders>
            <w:shd w:val="clear" w:color="auto" w:fill="auto"/>
            <w:noWrap w:val="0"/>
            <w:vAlign w:val="center"/>
          </w:tcPr>
          <w:p w14:paraId="0330740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0.09L</w:t>
            </w:r>
          </w:p>
        </w:tc>
        <w:tc>
          <w:tcPr>
            <w:tcW w:w="707" w:type="pct"/>
            <w:vMerge w:val="restart"/>
            <w:tcBorders>
              <w:right w:val="single" w:color="auto" w:sz="4" w:space="0"/>
            </w:tcBorders>
            <w:noWrap w:val="0"/>
            <w:vAlign w:val="center"/>
          </w:tcPr>
          <w:p w14:paraId="1461D1CB">
            <w:pPr>
              <w:spacing w:line="30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92</w:t>
            </w:r>
          </w:p>
        </w:tc>
        <w:tc>
          <w:tcPr>
            <w:tcW w:w="592" w:type="pct"/>
            <w:tcBorders>
              <w:right w:val="single" w:color="auto" w:sz="4" w:space="0"/>
            </w:tcBorders>
            <w:shd w:val="clear" w:color="auto" w:fill="auto"/>
            <w:noWrap w:val="0"/>
            <w:vAlign w:val="center"/>
          </w:tcPr>
          <w:p w14:paraId="3EA5A53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7DB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2" w:type="pct"/>
            <w:vMerge w:val="continue"/>
            <w:noWrap w:val="0"/>
            <w:vAlign w:val="center"/>
          </w:tcPr>
          <w:p w14:paraId="505C9AC7">
            <w:pPr>
              <w:spacing w:line="300" w:lineRule="exact"/>
              <w:jc w:val="center"/>
              <w:rPr>
                <w:rFonts w:hint="default" w:ascii="Times New Roman" w:hAnsi="Times New Roman" w:cs="Times New Roman"/>
                <w:color w:val="auto"/>
                <w:kern w:val="2"/>
                <w:sz w:val="21"/>
                <w:szCs w:val="21"/>
                <w:highlight w:val="none"/>
                <w:lang w:val="en-US" w:eastAsia="zh-CN" w:bidi="ar-SA"/>
              </w:rPr>
            </w:pPr>
          </w:p>
        </w:tc>
        <w:tc>
          <w:tcPr>
            <w:tcW w:w="691" w:type="pct"/>
            <w:shd w:val="clear" w:color="auto" w:fill="auto"/>
            <w:noWrap w:val="0"/>
            <w:vAlign w:val="center"/>
          </w:tcPr>
          <w:p w14:paraId="69C2A051">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2-硝基苯胺</w:t>
            </w:r>
          </w:p>
        </w:tc>
        <w:tc>
          <w:tcPr>
            <w:tcW w:w="2116" w:type="pct"/>
            <w:tcBorders>
              <w:right w:val="single" w:color="auto" w:sz="4" w:space="0"/>
            </w:tcBorders>
            <w:shd w:val="clear" w:color="auto" w:fill="auto"/>
            <w:noWrap w:val="0"/>
            <w:vAlign w:val="center"/>
          </w:tcPr>
          <w:p w14:paraId="1CCBEB0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0.08L</w:t>
            </w:r>
          </w:p>
        </w:tc>
        <w:tc>
          <w:tcPr>
            <w:tcW w:w="707" w:type="pct"/>
            <w:vMerge w:val="continue"/>
            <w:tcBorders>
              <w:right w:val="single" w:color="auto" w:sz="4" w:space="0"/>
            </w:tcBorders>
            <w:noWrap w:val="0"/>
            <w:vAlign w:val="center"/>
          </w:tcPr>
          <w:p w14:paraId="7369E032">
            <w:pPr>
              <w:spacing w:line="300" w:lineRule="exact"/>
              <w:jc w:val="center"/>
              <w:rPr>
                <w:rFonts w:hint="default" w:ascii="Times New Roman" w:hAnsi="Times New Roman" w:cs="Times New Roman"/>
                <w:color w:val="auto"/>
                <w:kern w:val="2"/>
                <w:sz w:val="21"/>
                <w:szCs w:val="21"/>
                <w:highlight w:val="none"/>
                <w:lang w:val="en-US" w:eastAsia="zh-CN" w:bidi="ar-SA"/>
              </w:rPr>
            </w:pPr>
          </w:p>
        </w:tc>
        <w:tc>
          <w:tcPr>
            <w:tcW w:w="592" w:type="pct"/>
            <w:tcBorders>
              <w:right w:val="single" w:color="auto" w:sz="4" w:space="0"/>
            </w:tcBorders>
            <w:shd w:val="clear" w:color="auto" w:fill="auto"/>
            <w:noWrap w:val="0"/>
            <w:vAlign w:val="center"/>
          </w:tcPr>
          <w:p w14:paraId="74FAF18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47A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2" w:type="pct"/>
            <w:vMerge w:val="continue"/>
            <w:noWrap w:val="0"/>
            <w:vAlign w:val="center"/>
          </w:tcPr>
          <w:p w14:paraId="33ECFD89">
            <w:pPr>
              <w:spacing w:line="300" w:lineRule="exact"/>
              <w:jc w:val="center"/>
              <w:rPr>
                <w:rFonts w:hint="default" w:ascii="Times New Roman" w:hAnsi="Times New Roman" w:cs="Times New Roman"/>
                <w:color w:val="auto"/>
                <w:kern w:val="2"/>
                <w:sz w:val="21"/>
                <w:szCs w:val="21"/>
                <w:highlight w:val="none"/>
                <w:lang w:val="en-US" w:eastAsia="zh-CN" w:bidi="ar-SA"/>
              </w:rPr>
            </w:pPr>
          </w:p>
        </w:tc>
        <w:tc>
          <w:tcPr>
            <w:tcW w:w="691" w:type="pct"/>
            <w:shd w:val="clear" w:color="auto" w:fill="auto"/>
            <w:noWrap w:val="0"/>
            <w:vAlign w:val="center"/>
          </w:tcPr>
          <w:p w14:paraId="0A6B44CD">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3-硝基苯胺</w:t>
            </w:r>
          </w:p>
        </w:tc>
        <w:tc>
          <w:tcPr>
            <w:tcW w:w="2116" w:type="pct"/>
            <w:tcBorders>
              <w:right w:val="single" w:color="auto" w:sz="4" w:space="0"/>
            </w:tcBorders>
            <w:shd w:val="clear" w:color="auto" w:fill="auto"/>
            <w:noWrap w:val="0"/>
            <w:vAlign w:val="center"/>
          </w:tcPr>
          <w:p w14:paraId="0DB0434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0.1L</w:t>
            </w:r>
          </w:p>
        </w:tc>
        <w:tc>
          <w:tcPr>
            <w:tcW w:w="707" w:type="pct"/>
            <w:vMerge w:val="continue"/>
            <w:tcBorders>
              <w:right w:val="single" w:color="auto" w:sz="4" w:space="0"/>
            </w:tcBorders>
            <w:noWrap w:val="0"/>
            <w:vAlign w:val="center"/>
          </w:tcPr>
          <w:p w14:paraId="0E543ACE">
            <w:pPr>
              <w:spacing w:line="300" w:lineRule="exact"/>
              <w:jc w:val="center"/>
              <w:rPr>
                <w:rFonts w:hint="default" w:ascii="Times New Roman" w:hAnsi="Times New Roman" w:cs="Times New Roman"/>
                <w:color w:val="auto"/>
                <w:kern w:val="2"/>
                <w:sz w:val="21"/>
                <w:szCs w:val="21"/>
                <w:highlight w:val="none"/>
                <w:lang w:val="en-US" w:eastAsia="zh-CN" w:bidi="ar-SA"/>
              </w:rPr>
            </w:pPr>
          </w:p>
        </w:tc>
        <w:tc>
          <w:tcPr>
            <w:tcW w:w="592" w:type="pct"/>
            <w:tcBorders>
              <w:right w:val="single" w:color="auto" w:sz="4" w:space="0"/>
            </w:tcBorders>
            <w:shd w:val="clear" w:color="auto" w:fill="auto"/>
            <w:noWrap w:val="0"/>
            <w:vAlign w:val="center"/>
          </w:tcPr>
          <w:p w14:paraId="0F229990">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623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2" w:type="pct"/>
            <w:vMerge w:val="continue"/>
            <w:noWrap w:val="0"/>
            <w:vAlign w:val="center"/>
          </w:tcPr>
          <w:p w14:paraId="09E020AC">
            <w:pPr>
              <w:spacing w:line="300" w:lineRule="exact"/>
              <w:jc w:val="center"/>
              <w:rPr>
                <w:rFonts w:hint="default" w:ascii="Times New Roman" w:hAnsi="Times New Roman" w:cs="Times New Roman"/>
                <w:color w:val="auto"/>
                <w:kern w:val="2"/>
                <w:sz w:val="21"/>
                <w:szCs w:val="21"/>
                <w:highlight w:val="none"/>
                <w:lang w:val="en-US" w:eastAsia="zh-CN" w:bidi="ar-SA"/>
              </w:rPr>
            </w:pPr>
          </w:p>
        </w:tc>
        <w:tc>
          <w:tcPr>
            <w:tcW w:w="691" w:type="pct"/>
            <w:shd w:val="clear" w:color="auto" w:fill="auto"/>
            <w:noWrap w:val="0"/>
            <w:vAlign w:val="center"/>
          </w:tcPr>
          <w:p w14:paraId="11138531">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4-硝基苯胺</w:t>
            </w:r>
          </w:p>
        </w:tc>
        <w:tc>
          <w:tcPr>
            <w:tcW w:w="2116" w:type="pct"/>
            <w:tcBorders>
              <w:right w:val="single" w:color="auto" w:sz="4" w:space="0"/>
            </w:tcBorders>
            <w:shd w:val="clear" w:color="auto" w:fill="auto"/>
            <w:noWrap w:val="0"/>
            <w:vAlign w:val="center"/>
          </w:tcPr>
          <w:p w14:paraId="01EF4E55">
            <w:pPr>
              <w:spacing w:line="300" w:lineRule="exact"/>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0.1L</w:t>
            </w:r>
          </w:p>
        </w:tc>
        <w:tc>
          <w:tcPr>
            <w:tcW w:w="707" w:type="pct"/>
            <w:vMerge w:val="continue"/>
            <w:tcBorders>
              <w:right w:val="single" w:color="auto" w:sz="4" w:space="0"/>
            </w:tcBorders>
            <w:noWrap w:val="0"/>
            <w:vAlign w:val="center"/>
          </w:tcPr>
          <w:p w14:paraId="50D4A6A6">
            <w:pPr>
              <w:spacing w:line="300" w:lineRule="exact"/>
              <w:jc w:val="center"/>
              <w:rPr>
                <w:rFonts w:hint="default" w:ascii="Times New Roman" w:hAnsi="Times New Roman" w:cs="Times New Roman"/>
                <w:color w:val="auto"/>
                <w:kern w:val="2"/>
                <w:sz w:val="21"/>
                <w:szCs w:val="21"/>
                <w:highlight w:val="none"/>
                <w:lang w:val="en-US" w:eastAsia="zh-CN" w:bidi="ar-SA"/>
              </w:rPr>
            </w:pPr>
          </w:p>
        </w:tc>
        <w:tc>
          <w:tcPr>
            <w:tcW w:w="592" w:type="pct"/>
            <w:tcBorders>
              <w:right w:val="single" w:color="auto" w:sz="4" w:space="0"/>
            </w:tcBorders>
            <w:shd w:val="clear" w:color="auto" w:fill="auto"/>
            <w:noWrap w:val="0"/>
            <w:vAlign w:val="center"/>
          </w:tcPr>
          <w:p w14:paraId="0B2270C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bl>
    <w:p w14:paraId="25AC1ECD">
      <w:pPr>
        <w:pStyle w:val="666"/>
        <w:spacing w:line="360" w:lineRule="auto"/>
        <w:ind w:firstLine="0"/>
        <w:jc w:val="center"/>
        <w:rPr>
          <w:rFonts w:hint="default" w:ascii="Times New Roman" w:hAnsi="Times New Roman" w:eastAsia="黑体" w:cs="Times New Roman"/>
          <w:color w:val="auto"/>
          <w:kern w:val="0"/>
          <w:highlight w:val="none"/>
        </w:rPr>
      </w:pPr>
      <w:r>
        <w:rPr>
          <w:rFonts w:hint="default" w:ascii="Times New Roman" w:hAnsi="Times New Roman" w:eastAsia="黑体" w:cs="Times New Roman"/>
          <w:color w:val="auto"/>
          <w:kern w:val="0"/>
          <w:highlight w:val="none"/>
        </w:rPr>
        <w:t>表3.4-</w:t>
      </w:r>
      <w:r>
        <w:rPr>
          <w:rFonts w:hint="default" w:ascii="Times New Roman" w:hAnsi="Times New Roman" w:eastAsia="黑体" w:cs="Times New Roman"/>
          <w:color w:val="auto"/>
          <w:kern w:val="0"/>
          <w:highlight w:val="none"/>
          <w:lang w:val="en-US" w:eastAsia="zh-CN"/>
        </w:rPr>
        <w:t>15</w:t>
      </w:r>
      <w:r>
        <w:rPr>
          <w:rFonts w:hint="default" w:ascii="Times New Roman" w:hAnsi="Times New Roman" w:eastAsia="黑体" w:cs="Times New Roman"/>
          <w:color w:val="auto"/>
          <w:kern w:val="0"/>
          <w:highlight w:val="none"/>
        </w:rPr>
        <w:t xml:space="preserve">  </w:t>
      </w:r>
      <w:r>
        <w:rPr>
          <w:rFonts w:hint="default" w:ascii="Times New Roman" w:hAnsi="Times New Roman" w:eastAsia="黑体" w:cs="Times New Roman"/>
          <w:color w:val="auto"/>
          <w:kern w:val="0"/>
          <w:highlight w:val="none"/>
          <w:lang w:val="en-US" w:eastAsia="zh-CN"/>
        </w:rPr>
        <w:t>2#监测点</w:t>
      </w:r>
      <w:r>
        <w:rPr>
          <w:rFonts w:hint="default" w:ascii="Times New Roman" w:hAnsi="Times New Roman" w:eastAsia="黑体" w:cs="Times New Roman"/>
          <w:color w:val="auto"/>
          <w:kern w:val="0"/>
          <w:highlight w:val="none"/>
        </w:rPr>
        <w:t>土壤环境质量评价结果一览表</w:t>
      </w:r>
    </w:p>
    <w:tbl>
      <w:tblPr>
        <w:tblStyle w:val="5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5"/>
        <w:gridCol w:w="3840"/>
        <w:gridCol w:w="1725"/>
        <w:gridCol w:w="1290"/>
      </w:tblGrid>
      <w:tr w14:paraId="7982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262" w:type="pct"/>
            <w:vMerge w:val="restart"/>
            <w:noWrap w:val="0"/>
            <w:vAlign w:val="center"/>
          </w:tcPr>
          <w:p w14:paraId="0CE008B7">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检测项目（单位）</w:t>
            </w:r>
          </w:p>
        </w:tc>
        <w:tc>
          <w:tcPr>
            <w:tcW w:w="2093" w:type="pct"/>
            <w:tcBorders>
              <w:right w:val="single" w:color="auto" w:sz="4" w:space="0"/>
            </w:tcBorders>
            <w:noWrap w:val="0"/>
            <w:vAlign w:val="center"/>
          </w:tcPr>
          <w:p w14:paraId="4C345E50">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检测</w:t>
            </w:r>
            <w:r>
              <w:rPr>
                <w:rFonts w:hint="default" w:ascii="Times New Roman" w:hAnsi="Times New Roman" w:eastAsia="宋体" w:cs="Times New Roman"/>
                <w:b/>
                <w:bCs/>
                <w:color w:val="auto"/>
                <w:sz w:val="21"/>
                <w:szCs w:val="21"/>
                <w:highlight w:val="none"/>
                <w:lang w:val="en-US" w:eastAsia="zh-CN"/>
              </w:rPr>
              <w:t>点位/样品编号/</w:t>
            </w:r>
            <w:r>
              <w:rPr>
                <w:rFonts w:hint="default" w:ascii="Times New Roman" w:hAnsi="Times New Roman" w:eastAsia="宋体" w:cs="Times New Roman"/>
                <w:b/>
                <w:bCs/>
                <w:color w:val="auto"/>
                <w:sz w:val="21"/>
                <w:szCs w:val="21"/>
                <w:highlight w:val="none"/>
                <w:lang w:eastAsia="zh-CN"/>
              </w:rPr>
              <w:t>结果</w:t>
            </w:r>
          </w:p>
        </w:tc>
        <w:tc>
          <w:tcPr>
            <w:tcW w:w="940" w:type="pct"/>
            <w:tcBorders>
              <w:right w:val="single" w:color="auto" w:sz="4" w:space="0"/>
            </w:tcBorders>
            <w:noWrap w:val="0"/>
            <w:vAlign w:val="center"/>
          </w:tcPr>
          <w:p w14:paraId="403610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eastAsia="zh-CN"/>
              </w:rPr>
              <w:t>标准限值</w:t>
            </w:r>
          </w:p>
        </w:tc>
        <w:tc>
          <w:tcPr>
            <w:tcW w:w="703" w:type="pct"/>
            <w:vMerge w:val="restart"/>
            <w:tcBorders>
              <w:right w:val="single" w:color="auto" w:sz="4" w:space="0"/>
            </w:tcBorders>
            <w:noWrap w:val="0"/>
            <w:vAlign w:val="center"/>
          </w:tcPr>
          <w:p w14:paraId="5E156D3E">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达标判定</w:t>
            </w:r>
          </w:p>
        </w:tc>
      </w:tr>
      <w:tr w14:paraId="3655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62" w:type="pct"/>
            <w:vMerge w:val="continue"/>
            <w:noWrap w:val="0"/>
            <w:vAlign w:val="center"/>
          </w:tcPr>
          <w:p w14:paraId="1DDD864D">
            <w:pPr>
              <w:spacing w:line="300" w:lineRule="exact"/>
              <w:jc w:val="center"/>
              <w:rPr>
                <w:rFonts w:hint="default" w:ascii="Times New Roman" w:hAnsi="Times New Roman" w:eastAsia="宋体" w:cs="Times New Roman"/>
                <w:color w:val="auto"/>
                <w:sz w:val="21"/>
                <w:szCs w:val="21"/>
                <w:highlight w:val="none"/>
              </w:rPr>
            </w:pPr>
          </w:p>
        </w:tc>
        <w:tc>
          <w:tcPr>
            <w:tcW w:w="2093" w:type="pct"/>
            <w:tcBorders>
              <w:right w:val="single" w:color="auto" w:sz="4" w:space="0"/>
            </w:tcBorders>
            <w:noWrap w:val="0"/>
            <w:vAlign w:val="center"/>
          </w:tcPr>
          <w:p w14:paraId="544BDC66">
            <w:pPr>
              <w:pStyle w:val="28"/>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扎木镇岗巴村耕地处土壤监测点</w:t>
            </w:r>
          </w:p>
          <w:p w14:paraId="127F170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 xml:space="preserve">（E </w:t>
            </w:r>
            <w:r>
              <w:rPr>
                <w:rFonts w:hint="default" w:ascii="Times New Roman" w:hAnsi="Times New Roman" w:eastAsia="宋体" w:cs="Times New Roman"/>
                <w:bCs/>
                <w:color w:val="auto"/>
                <w:sz w:val="21"/>
                <w:szCs w:val="21"/>
                <w:highlight w:val="none"/>
                <w:lang w:val="en-US" w:eastAsia="zh-CN"/>
              </w:rPr>
              <w:t>95</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36</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14</w:t>
            </w:r>
            <w:r>
              <w:rPr>
                <w:rFonts w:hint="default" w:ascii="Times New Roman" w:hAnsi="Times New Roman" w:eastAsia="宋体" w:cs="Times New Roman"/>
                <w:bCs/>
                <w:color w:val="auto"/>
                <w:sz w:val="21"/>
                <w:szCs w:val="21"/>
                <w:highlight w:val="none"/>
              </w:rPr>
              <w:t xml:space="preserve">″，N </w:t>
            </w:r>
            <w:r>
              <w:rPr>
                <w:rFonts w:hint="default" w:ascii="Times New Roman" w:hAnsi="Times New Roman" w:eastAsia="宋体" w:cs="Times New Roman"/>
                <w:bCs/>
                <w:color w:val="auto"/>
                <w:sz w:val="21"/>
                <w:szCs w:val="21"/>
                <w:highlight w:val="none"/>
                <w:lang w:val="en-US" w:eastAsia="zh-CN"/>
              </w:rPr>
              <w:t>29</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52</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35</w:t>
            </w:r>
            <w:r>
              <w:rPr>
                <w:rFonts w:hint="default" w:ascii="Times New Roman" w:hAnsi="Times New Roman" w:eastAsia="宋体" w:cs="Times New Roman"/>
                <w:bCs/>
                <w:color w:val="auto"/>
                <w:sz w:val="21"/>
                <w:szCs w:val="21"/>
                <w:highlight w:val="none"/>
              </w:rPr>
              <w:t>″）</w:t>
            </w:r>
          </w:p>
        </w:tc>
        <w:tc>
          <w:tcPr>
            <w:tcW w:w="940" w:type="pct"/>
            <w:vMerge w:val="restart"/>
            <w:tcBorders>
              <w:right w:val="single" w:color="auto" w:sz="4" w:space="0"/>
            </w:tcBorders>
            <w:noWrap w:val="0"/>
            <w:vAlign w:val="center"/>
          </w:tcPr>
          <w:p w14:paraId="62A29CD0">
            <w:pPr>
              <w:spacing w:line="240" w:lineRule="exac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kern w:val="2"/>
                <w:sz w:val="21"/>
                <w:szCs w:val="21"/>
                <w:highlight w:val="none"/>
                <w:lang w:val="en-US" w:eastAsia="zh-CN" w:bidi="ar-SA"/>
              </w:rPr>
              <w:t>风险筛选值</w:t>
            </w:r>
          </w:p>
        </w:tc>
        <w:tc>
          <w:tcPr>
            <w:tcW w:w="703" w:type="pct"/>
            <w:vMerge w:val="continue"/>
            <w:tcBorders>
              <w:right w:val="single" w:color="auto" w:sz="4" w:space="0"/>
            </w:tcBorders>
            <w:noWrap w:val="0"/>
            <w:vAlign w:val="center"/>
          </w:tcPr>
          <w:p w14:paraId="33948B2F">
            <w:pPr>
              <w:spacing w:line="240" w:lineRule="exact"/>
              <w:jc w:val="center"/>
              <w:rPr>
                <w:rFonts w:hint="default" w:ascii="Times New Roman" w:hAnsi="Times New Roman" w:cs="Times New Roman"/>
                <w:b/>
                <w:bCs/>
                <w:color w:val="auto"/>
                <w:kern w:val="2"/>
                <w:sz w:val="21"/>
                <w:szCs w:val="21"/>
                <w:highlight w:val="none"/>
                <w:lang w:val="en-US" w:eastAsia="zh-CN" w:bidi="ar-SA"/>
              </w:rPr>
            </w:pPr>
          </w:p>
        </w:tc>
      </w:tr>
      <w:tr w14:paraId="0B34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62" w:type="pct"/>
            <w:vMerge w:val="continue"/>
            <w:noWrap w:val="0"/>
            <w:vAlign w:val="center"/>
          </w:tcPr>
          <w:p w14:paraId="2F8061E6">
            <w:pPr>
              <w:spacing w:line="240" w:lineRule="exact"/>
              <w:jc w:val="center"/>
              <w:rPr>
                <w:rFonts w:hint="default" w:ascii="Times New Roman" w:hAnsi="Times New Roman" w:cs="Times New Roman"/>
                <w:color w:val="auto"/>
                <w:highlight w:val="none"/>
              </w:rPr>
            </w:pPr>
          </w:p>
        </w:tc>
        <w:tc>
          <w:tcPr>
            <w:tcW w:w="2093" w:type="pct"/>
            <w:tcBorders>
              <w:right w:val="single" w:color="auto" w:sz="4" w:space="0"/>
            </w:tcBorders>
            <w:noWrap w:val="0"/>
            <w:vAlign w:val="center"/>
          </w:tcPr>
          <w:p w14:paraId="56CE32B4">
            <w:pPr>
              <w:spacing w:line="240" w:lineRule="exact"/>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TR1-2-1</w:t>
            </w:r>
          </w:p>
        </w:tc>
        <w:tc>
          <w:tcPr>
            <w:tcW w:w="940" w:type="pct"/>
            <w:vMerge w:val="continue"/>
            <w:tcBorders>
              <w:right w:val="single" w:color="auto" w:sz="4" w:space="0"/>
            </w:tcBorders>
            <w:noWrap w:val="0"/>
            <w:vAlign w:val="center"/>
          </w:tcPr>
          <w:p w14:paraId="6A6D407D">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703" w:type="pct"/>
            <w:vMerge w:val="continue"/>
            <w:tcBorders>
              <w:right w:val="single" w:color="auto" w:sz="4" w:space="0"/>
            </w:tcBorders>
            <w:noWrap w:val="0"/>
            <w:vAlign w:val="center"/>
          </w:tcPr>
          <w:p w14:paraId="7DA4F910">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p>
        </w:tc>
      </w:tr>
      <w:tr w14:paraId="01A6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2" w:type="pct"/>
            <w:noWrap w:val="0"/>
            <w:vAlign w:val="center"/>
          </w:tcPr>
          <w:p w14:paraId="68D3D121">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w:t>
            </w:r>
            <w:r>
              <w:rPr>
                <w:rFonts w:hint="default" w:ascii="Times New Roman" w:hAnsi="Times New Roman" w:eastAsia="宋体" w:cs="Times New Roman"/>
                <w:color w:val="auto"/>
                <w:sz w:val="21"/>
                <w:szCs w:val="21"/>
                <w:highlight w:val="none"/>
                <w:lang w:val="en-US" w:eastAsia="zh-CN"/>
              </w:rPr>
              <w:t>H值（无量纲）</w:t>
            </w:r>
          </w:p>
        </w:tc>
        <w:tc>
          <w:tcPr>
            <w:tcW w:w="2093" w:type="pct"/>
            <w:tcBorders>
              <w:right w:val="single" w:color="auto" w:sz="4" w:space="0"/>
            </w:tcBorders>
            <w:noWrap w:val="0"/>
            <w:vAlign w:val="center"/>
          </w:tcPr>
          <w:p w14:paraId="1EBA745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7.4</w:t>
            </w:r>
          </w:p>
        </w:tc>
        <w:tc>
          <w:tcPr>
            <w:tcW w:w="940" w:type="pct"/>
            <w:tcBorders>
              <w:right w:val="single" w:color="auto" w:sz="4" w:space="0"/>
            </w:tcBorders>
            <w:noWrap w:val="0"/>
            <w:vAlign w:val="center"/>
          </w:tcPr>
          <w:p w14:paraId="1847B30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6.5＜pH≤7.5</w:t>
            </w:r>
          </w:p>
        </w:tc>
        <w:tc>
          <w:tcPr>
            <w:tcW w:w="703" w:type="pct"/>
            <w:tcBorders>
              <w:right w:val="single" w:color="auto" w:sz="4" w:space="0"/>
            </w:tcBorders>
            <w:noWrap w:val="0"/>
            <w:vAlign w:val="center"/>
          </w:tcPr>
          <w:p w14:paraId="36873FD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4F5D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2" w:type="pct"/>
            <w:noWrap w:val="0"/>
            <w:vAlign w:val="center"/>
          </w:tcPr>
          <w:p w14:paraId="710745D4">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镉</w:t>
            </w:r>
            <w:r>
              <w:rPr>
                <w:rFonts w:hint="default" w:ascii="Times New Roman" w:hAnsi="Times New Roman" w:cs="Times New Roman"/>
                <w:color w:val="auto"/>
                <w:sz w:val="21"/>
                <w:szCs w:val="21"/>
                <w:highlight w:val="none"/>
                <w:lang w:val="en-US" w:eastAsia="zh-CN"/>
              </w:rPr>
              <w:t>（mg/kg）</w:t>
            </w:r>
          </w:p>
        </w:tc>
        <w:tc>
          <w:tcPr>
            <w:tcW w:w="2093" w:type="pct"/>
            <w:tcBorders>
              <w:right w:val="single" w:color="auto" w:sz="4" w:space="0"/>
            </w:tcBorders>
            <w:noWrap w:val="0"/>
            <w:vAlign w:val="center"/>
          </w:tcPr>
          <w:p w14:paraId="3597300B">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0.19</w:t>
            </w:r>
          </w:p>
        </w:tc>
        <w:tc>
          <w:tcPr>
            <w:tcW w:w="940" w:type="pct"/>
            <w:tcBorders>
              <w:right w:val="single" w:color="auto" w:sz="4" w:space="0"/>
            </w:tcBorders>
            <w:noWrap w:val="0"/>
            <w:vAlign w:val="center"/>
          </w:tcPr>
          <w:p w14:paraId="341B403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w:t>
            </w:r>
          </w:p>
        </w:tc>
        <w:tc>
          <w:tcPr>
            <w:tcW w:w="703" w:type="pct"/>
            <w:tcBorders>
              <w:right w:val="single" w:color="auto" w:sz="4" w:space="0"/>
            </w:tcBorders>
            <w:noWrap w:val="0"/>
            <w:vAlign w:val="center"/>
          </w:tcPr>
          <w:p w14:paraId="0AFCEC1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F97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2" w:type="pct"/>
            <w:noWrap w:val="0"/>
            <w:vAlign w:val="center"/>
          </w:tcPr>
          <w:p w14:paraId="57B9E39F">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汞（</w:t>
            </w:r>
            <w:r>
              <w:rPr>
                <w:rFonts w:hint="default" w:ascii="Times New Roman" w:hAnsi="Times New Roman" w:eastAsia="宋体"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kg</w:t>
            </w:r>
            <w:r>
              <w:rPr>
                <w:rFonts w:hint="default" w:ascii="Times New Roman" w:hAnsi="Times New Roman" w:eastAsia="宋体" w:cs="Times New Roman"/>
                <w:color w:val="auto"/>
                <w:sz w:val="21"/>
                <w:szCs w:val="21"/>
                <w:highlight w:val="none"/>
                <w:lang w:val="en-US" w:eastAsia="zh-CN"/>
              </w:rPr>
              <w:t>）</w:t>
            </w:r>
          </w:p>
        </w:tc>
        <w:tc>
          <w:tcPr>
            <w:tcW w:w="2093" w:type="pct"/>
            <w:tcBorders>
              <w:right w:val="single" w:color="auto" w:sz="4" w:space="0"/>
            </w:tcBorders>
            <w:noWrap w:val="0"/>
            <w:vAlign w:val="center"/>
          </w:tcPr>
          <w:p w14:paraId="4BC07344">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0.516</w:t>
            </w:r>
          </w:p>
        </w:tc>
        <w:tc>
          <w:tcPr>
            <w:tcW w:w="940" w:type="pct"/>
            <w:tcBorders>
              <w:right w:val="single" w:color="auto" w:sz="4" w:space="0"/>
            </w:tcBorders>
            <w:noWrap w:val="0"/>
            <w:vAlign w:val="center"/>
          </w:tcPr>
          <w:p w14:paraId="3F9574B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w:t>
            </w:r>
          </w:p>
        </w:tc>
        <w:tc>
          <w:tcPr>
            <w:tcW w:w="703" w:type="pct"/>
            <w:tcBorders>
              <w:right w:val="single" w:color="auto" w:sz="4" w:space="0"/>
            </w:tcBorders>
            <w:noWrap w:val="0"/>
            <w:vAlign w:val="center"/>
          </w:tcPr>
          <w:p w14:paraId="70D3A32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1D7C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2" w:type="pct"/>
            <w:noWrap w:val="0"/>
            <w:vAlign w:val="center"/>
          </w:tcPr>
          <w:p w14:paraId="0A339167">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w:t>
            </w:r>
            <w:r>
              <w:rPr>
                <w:rFonts w:hint="default" w:ascii="Times New Roman" w:hAnsi="Times New Roman" w:eastAsia="宋体"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kg</w:t>
            </w:r>
            <w:r>
              <w:rPr>
                <w:rFonts w:hint="default" w:ascii="Times New Roman" w:hAnsi="Times New Roman" w:eastAsia="宋体" w:cs="Times New Roman"/>
                <w:color w:val="auto"/>
                <w:sz w:val="21"/>
                <w:szCs w:val="21"/>
                <w:highlight w:val="none"/>
                <w:lang w:val="en-US" w:eastAsia="zh-CN"/>
              </w:rPr>
              <w:t>）</w:t>
            </w:r>
          </w:p>
        </w:tc>
        <w:tc>
          <w:tcPr>
            <w:tcW w:w="2093" w:type="pct"/>
            <w:tcBorders>
              <w:right w:val="single" w:color="auto" w:sz="4" w:space="0"/>
            </w:tcBorders>
            <w:noWrap w:val="0"/>
            <w:vAlign w:val="center"/>
          </w:tcPr>
          <w:p w14:paraId="4472023C">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12.8</w:t>
            </w:r>
          </w:p>
        </w:tc>
        <w:tc>
          <w:tcPr>
            <w:tcW w:w="940" w:type="pct"/>
            <w:tcBorders>
              <w:right w:val="single" w:color="auto" w:sz="4" w:space="0"/>
            </w:tcBorders>
            <w:noWrap w:val="0"/>
            <w:vAlign w:val="center"/>
          </w:tcPr>
          <w:p w14:paraId="4F0A066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w:t>
            </w:r>
          </w:p>
        </w:tc>
        <w:tc>
          <w:tcPr>
            <w:tcW w:w="703" w:type="pct"/>
            <w:tcBorders>
              <w:right w:val="single" w:color="auto" w:sz="4" w:space="0"/>
            </w:tcBorders>
            <w:noWrap w:val="0"/>
            <w:vAlign w:val="center"/>
          </w:tcPr>
          <w:p w14:paraId="0BE0DFF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2E1B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262" w:type="pct"/>
            <w:noWrap w:val="0"/>
            <w:vAlign w:val="center"/>
          </w:tcPr>
          <w:p w14:paraId="00041253">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铅（</w:t>
            </w:r>
            <w:r>
              <w:rPr>
                <w:rFonts w:hint="default" w:ascii="Times New Roman" w:hAnsi="Times New Roman" w:eastAsia="宋体"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kg</w:t>
            </w:r>
            <w:r>
              <w:rPr>
                <w:rFonts w:hint="default" w:ascii="Times New Roman" w:hAnsi="Times New Roman" w:eastAsia="宋体" w:cs="Times New Roman"/>
                <w:color w:val="auto"/>
                <w:sz w:val="21"/>
                <w:szCs w:val="21"/>
                <w:highlight w:val="none"/>
                <w:lang w:val="en-US" w:eastAsia="zh-CN"/>
              </w:rPr>
              <w:t>）</w:t>
            </w:r>
          </w:p>
        </w:tc>
        <w:tc>
          <w:tcPr>
            <w:tcW w:w="2093" w:type="pct"/>
            <w:tcBorders>
              <w:right w:val="single" w:color="auto" w:sz="4" w:space="0"/>
            </w:tcBorders>
            <w:noWrap w:val="0"/>
            <w:vAlign w:val="center"/>
          </w:tcPr>
          <w:p w14:paraId="078F78B7">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57</w:t>
            </w:r>
          </w:p>
        </w:tc>
        <w:tc>
          <w:tcPr>
            <w:tcW w:w="940" w:type="pct"/>
            <w:tcBorders>
              <w:right w:val="single" w:color="auto" w:sz="4" w:space="0"/>
            </w:tcBorders>
            <w:noWrap w:val="0"/>
            <w:vAlign w:val="center"/>
          </w:tcPr>
          <w:p w14:paraId="71DD888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w:t>
            </w:r>
          </w:p>
        </w:tc>
        <w:tc>
          <w:tcPr>
            <w:tcW w:w="703" w:type="pct"/>
            <w:tcBorders>
              <w:right w:val="single" w:color="auto" w:sz="4" w:space="0"/>
            </w:tcBorders>
            <w:noWrap w:val="0"/>
            <w:vAlign w:val="center"/>
          </w:tcPr>
          <w:p w14:paraId="4960A0F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54B7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2" w:type="pct"/>
            <w:noWrap w:val="0"/>
            <w:vAlign w:val="center"/>
          </w:tcPr>
          <w:p w14:paraId="18C90975">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铬（</w:t>
            </w:r>
            <w:r>
              <w:rPr>
                <w:rFonts w:hint="default" w:ascii="Times New Roman" w:hAnsi="Times New Roman" w:eastAsia="宋体"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kg</w:t>
            </w:r>
            <w:r>
              <w:rPr>
                <w:rFonts w:hint="default" w:ascii="Times New Roman" w:hAnsi="Times New Roman" w:eastAsia="宋体" w:cs="Times New Roman"/>
                <w:color w:val="auto"/>
                <w:sz w:val="21"/>
                <w:szCs w:val="21"/>
                <w:highlight w:val="none"/>
                <w:lang w:val="en-US" w:eastAsia="zh-CN"/>
              </w:rPr>
              <w:t>）</w:t>
            </w:r>
          </w:p>
        </w:tc>
        <w:tc>
          <w:tcPr>
            <w:tcW w:w="2093" w:type="pct"/>
            <w:tcBorders>
              <w:right w:val="single" w:color="auto" w:sz="4" w:space="0"/>
            </w:tcBorders>
            <w:noWrap w:val="0"/>
            <w:vAlign w:val="center"/>
          </w:tcPr>
          <w:p w14:paraId="6ED26A13">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44</w:t>
            </w:r>
          </w:p>
        </w:tc>
        <w:tc>
          <w:tcPr>
            <w:tcW w:w="940" w:type="pct"/>
            <w:tcBorders>
              <w:right w:val="single" w:color="auto" w:sz="4" w:space="0"/>
            </w:tcBorders>
            <w:noWrap w:val="0"/>
            <w:vAlign w:val="center"/>
          </w:tcPr>
          <w:p w14:paraId="5C29955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w:t>
            </w:r>
          </w:p>
        </w:tc>
        <w:tc>
          <w:tcPr>
            <w:tcW w:w="703" w:type="pct"/>
            <w:tcBorders>
              <w:right w:val="single" w:color="auto" w:sz="4" w:space="0"/>
            </w:tcBorders>
            <w:noWrap w:val="0"/>
            <w:vAlign w:val="center"/>
          </w:tcPr>
          <w:p w14:paraId="169F6F2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C97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2" w:type="pct"/>
            <w:noWrap w:val="0"/>
            <w:vAlign w:val="center"/>
          </w:tcPr>
          <w:p w14:paraId="3F19805A">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铜（</w:t>
            </w:r>
            <w:r>
              <w:rPr>
                <w:rFonts w:hint="default" w:ascii="Times New Roman" w:hAnsi="Times New Roman" w:eastAsia="宋体"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kg</w:t>
            </w:r>
            <w:r>
              <w:rPr>
                <w:rFonts w:hint="default" w:ascii="Times New Roman" w:hAnsi="Times New Roman" w:eastAsia="宋体" w:cs="Times New Roman"/>
                <w:color w:val="auto"/>
                <w:sz w:val="21"/>
                <w:szCs w:val="21"/>
                <w:highlight w:val="none"/>
                <w:lang w:val="en-US" w:eastAsia="zh-CN"/>
              </w:rPr>
              <w:t>）</w:t>
            </w:r>
          </w:p>
        </w:tc>
        <w:tc>
          <w:tcPr>
            <w:tcW w:w="2093" w:type="pct"/>
            <w:tcBorders>
              <w:right w:val="single" w:color="auto" w:sz="4" w:space="0"/>
            </w:tcBorders>
            <w:noWrap w:val="0"/>
            <w:vAlign w:val="center"/>
          </w:tcPr>
          <w:p w14:paraId="21A8DA7B">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56</w:t>
            </w:r>
          </w:p>
        </w:tc>
        <w:tc>
          <w:tcPr>
            <w:tcW w:w="940" w:type="pct"/>
            <w:tcBorders>
              <w:right w:val="single" w:color="auto" w:sz="4" w:space="0"/>
            </w:tcBorders>
            <w:noWrap w:val="0"/>
            <w:vAlign w:val="center"/>
          </w:tcPr>
          <w:p w14:paraId="4EC5E8E1">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c>
          <w:tcPr>
            <w:tcW w:w="703" w:type="pct"/>
            <w:tcBorders>
              <w:right w:val="single" w:color="auto" w:sz="4" w:space="0"/>
            </w:tcBorders>
            <w:noWrap w:val="0"/>
            <w:vAlign w:val="center"/>
          </w:tcPr>
          <w:p w14:paraId="0B80F42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B2F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2" w:type="pct"/>
            <w:noWrap w:val="0"/>
            <w:vAlign w:val="center"/>
          </w:tcPr>
          <w:p w14:paraId="521346CE">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锌（</w:t>
            </w:r>
            <w:r>
              <w:rPr>
                <w:rFonts w:hint="default" w:ascii="Times New Roman" w:hAnsi="Times New Roman" w:eastAsia="宋体"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kg</w:t>
            </w:r>
            <w:r>
              <w:rPr>
                <w:rFonts w:hint="default" w:ascii="Times New Roman" w:hAnsi="Times New Roman" w:eastAsia="宋体" w:cs="Times New Roman"/>
                <w:color w:val="auto"/>
                <w:sz w:val="21"/>
                <w:szCs w:val="21"/>
                <w:highlight w:val="none"/>
                <w:lang w:val="en-US" w:eastAsia="zh-CN"/>
              </w:rPr>
              <w:t>）</w:t>
            </w:r>
          </w:p>
        </w:tc>
        <w:tc>
          <w:tcPr>
            <w:tcW w:w="2093" w:type="pct"/>
            <w:tcBorders>
              <w:right w:val="single" w:color="auto" w:sz="4" w:space="0"/>
            </w:tcBorders>
            <w:noWrap w:val="0"/>
            <w:vAlign w:val="center"/>
          </w:tcPr>
          <w:p w14:paraId="792E290A">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55</w:t>
            </w:r>
          </w:p>
        </w:tc>
        <w:tc>
          <w:tcPr>
            <w:tcW w:w="940" w:type="pct"/>
            <w:tcBorders>
              <w:right w:val="single" w:color="auto" w:sz="4" w:space="0"/>
            </w:tcBorders>
            <w:noWrap w:val="0"/>
            <w:vAlign w:val="center"/>
          </w:tcPr>
          <w:p w14:paraId="05EC21C6">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250</w:t>
            </w:r>
          </w:p>
        </w:tc>
        <w:tc>
          <w:tcPr>
            <w:tcW w:w="703" w:type="pct"/>
            <w:tcBorders>
              <w:right w:val="single" w:color="auto" w:sz="4" w:space="0"/>
            </w:tcBorders>
            <w:noWrap w:val="0"/>
            <w:vAlign w:val="center"/>
          </w:tcPr>
          <w:p w14:paraId="404802C3">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14:paraId="7BCC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2" w:type="pct"/>
            <w:noWrap w:val="0"/>
            <w:vAlign w:val="center"/>
          </w:tcPr>
          <w:p w14:paraId="682DCB45">
            <w:pPr>
              <w:spacing w:line="2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镍（</w:t>
            </w:r>
            <w:r>
              <w:rPr>
                <w:rFonts w:hint="default" w:ascii="Times New Roman" w:hAnsi="Times New Roman" w:eastAsia="宋体"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kg</w:t>
            </w:r>
            <w:r>
              <w:rPr>
                <w:rFonts w:hint="default" w:ascii="Times New Roman" w:hAnsi="Times New Roman" w:eastAsia="宋体" w:cs="Times New Roman"/>
                <w:color w:val="auto"/>
                <w:sz w:val="21"/>
                <w:szCs w:val="21"/>
                <w:highlight w:val="none"/>
                <w:lang w:val="en-US" w:eastAsia="zh-CN"/>
              </w:rPr>
              <w:t>）</w:t>
            </w:r>
          </w:p>
        </w:tc>
        <w:tc>
          <w:tcPr>
            <w:tcW w:w="2093" w:type="pct"/>
            <w:tcBorders>
              <w:right w:val="single" w:color="auto" w:sz="4" w:space="0"/>
            </w:tcBorders>
            <w:noWrap w:val="0"/>
            <w:vAlign w:val="center"/>
          </w:tcPr>
          <w:p w14:paraId="2105A7F1">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52</w:t>
            </w:r>
          </w:p>
        </w:tc>
        <w:tc>
          <w:tcPr>
            <w:tcW w:w="940" w:type="pct"/>
            <w:tcBorders>
              <w:right w:val="single" w:color="auto" w:sz="4" w:space="0"/>
            </w:tcBorders>
            <w:noWrap w:val="0"/>
            <w:vAlign w:val="center"/>
          </w:tcPr>
          <w:p w14:paraId="512FF0A1">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c>
          <w:tcPr>
            <w:tcW w:w="703" w:type="pct"/>
            <w:tcBorders>
              <w:right w:val="single" w:color="auto" w:sz="4" w:space="0"/>
            </w:tcBorders>
            <w:noWrap w:val="0"/>
            <w:vAlign w:val="center"/>
          </w:tcPr>
          <w:p w14:paraId="6888EF5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bl>
    <w:p w14:paraId="17ED6CE1">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监测点位现状为</w:t>
      </w:r>
      <w:r>
        <w:rPr>
          <w:rFonts w:hint="default" w:ascii="Times New Roman" w:hAnsi="Times New Roman" w:cs="Times New Roman"/>
          <w:color w:val="auto"/>
          <w:kern w:val="0"/>
          <w:sz w:val="24"/>
          <w:highlight w:val="none"/>
          <w:lang w:val="en-US" w:eastAsia="zh-CN"/>
        </w:rPr>
        <w:t>居住用地</w:t>
      </w:r>
      <w:r>
        <w:rPr>
          <w:rFonts w:hint="default" w:ascii="Times New Roman" w:hAnsi="Times New Roman" w:cs="Times New Roman" w:eastAsiaTheme="minorEastAsia"/>
          <w:color w:val="auto"/>
          <w:kern w:val="0"/>
          <w:sz w:val="24"/>
          <w:highlight w:val="none"/>
        </w:rPr>
        <w:t>，</w:t>
      </w:r>
      <w:r>
        <w:rPr>
          <w:rFonts w:hint="default" w:ascii="Times New Roman" w:hAnsi="Times New Roman" w:cs="Times New Roman" w:eastAsiaTheme="minorEastAsia"/>
          <w:color w:val="auto"/>
          <w:kern w:val="0"/>
          <w:sz w:val="24"/>
          <w:highlight w:val="none"/>
          <w:lang w:val="en-US" w:eastAsia="zh-CN"/>
        </w:rPr>
        <w:t>各监测因子满足</w:t>
      </w:r>
      <w:r>
        <w:rPr>
          <w:rFonts w:hint="default" w:ascii="Times New Roman" w:hAnsi="Times New Roman" w:cs="Times New Roman" w:eastAsiaTheme="minorEastAsia"/>
          <w:color w:val="auto"/>
          <w:kern w:val="0"/>
          <w:sz w:val="24"/>
          <w:highlight w:val="none"/>
        </w:rPr>
        <w:t>《土壤环境质量 建设用地土壤污染风险管控标准（试行）》（GB36600-2018）中的</w:t>
      </w:r>
      <w:r>
        <w:rPr>
          <w:rFonts w:hint="default" w:ascii="Times New Roman" w:hAnsi="Times New Roman" w:cs="Times New Roman" w:eastAsiaTheme="minorEastAsia"/>
          <w:color w:val="auto"/>
          <w:kern w:val="0"/>
          <w:sz w:val="24"/>
          <w:highlight w:val="none"/>
          <w:lang w:val="en-US" w:eastAsia="zh-CN"/>
        </w:rPr>
        <w:t>一</w:t>
      </w:r>
      <w:r>
        <w:rPr>
          <w:rFonts w:hint="default" w:ascii="Times New Roman" w:hAnsi="Times New Roman" w:cs="Times New Roman" w:eastAsiaTheme="minorEastAsia"/>
          <w:color w:val="auto"/>
          <w:kern w:val="0"/>
          <w:sz w:val="24"/>
          <w:highlight w:val="none"/>
        </w:rPr>
        <w:t>类用地风险筛选值</w:t>
      </w:r>
      <w:r>
        <w:rPr>
          <w:rFonts w:hint="default" w:ascii="Times New Roman" w:hAnsi="Times New Roman" w:cs="Times New Roman" w:eastAsiaTheme="minorEastAsia"/>
          <w:color w:val="auto"/>
          <w:kern w:val="0"/>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监测点位现状</w:t>
      </w:r>
      <w:r>
        <w:rPr>
          <w:rFonts w:hint="default" w:ascii="Times New Roman" w:hAnsi="Times New Roman" w:cs="Times New Roman"/>
          <w:color w:val="auto"/>
          <w:sz w:val="24"/>
          <w:highlight w:val="none"/>
          <w:lang w:val="en-US" w:eastAsia="zh-CN"/>
        </w:rPr>
        <w:t>与</w:t>
      </w:r>
      <w:r>
        <w:rPr>
          <w:rFonts w:hint="default" w:ascii="Times New Roman" w:hAnsi="Times New Roman" w:cs="Times New Roman"/>
          <w:color w:val="auto"/>
          <w:sz w:val="24"/>
          <w:highlight w:val="none"/>
        </w:rPr>
        <w:t>规划用地性质</w:t>
      </w:r>
      <w:r>
        <w:rPr>
          <w:rFonts w:hint="default" w:ascii="Times New Roman" w:hAnsi="Times New Roman" w:cs="Times New Roman"/>
          <w:color w:val="auto"/>
          <w:sz w:val="24"/>
          <w:highlight w:val="none"/>
          <w:lang w:val="en-US" w:eastAsia="zh-CN"/>
        </w:rPr>
        <w:t>均</w:t>
      </w:r>
      <w:r>
        <w:rPr>
          <w:rFonts w:hint="default" w:ascii="Times New Roman" w:hAnsi="Times New Roman" w:cs="Times New Roman"/>
          <w:color w:val="auto"/>
          <w:sz w:val="24"/>
          <w:highlight w:val="none"/>
        </w:rPr>
        <w:t>为旱地，在监测期间锌、镉、汞、砷、铅、铬、铜、镍监测值能够满足《土壤环境质量农用地土壤污染风险管控标准（试行）》（GB15618-2018）中风险筛选值。</w:t>
      </w:r>
    </w:p>
    <w:bookmarkEnd w:id="125"/>
    <w:bookmarkEnd w:id="126"/>
    <w:p w14:paraId="32920A2B">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生态现状调查与评价</w:t>
      </w:r>
    </w:p>
    <w:p w14:paraId="2BC2C583">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本规划位于</w:t>
      </w:r>
      <w:r>
        <w:rPr>
          <w:rFonts w:hint="default" w:ascii="Times New Roman" w:hAnsi="Times New Roman" w:cs="Times New Roman" w:eastAsiaTheme="minorEastAsia"/>
          <w:bCs/>
          <w:color w:val="auto"/>
          <w:kern w:val="0"/>
          <w:sz w:val="24"/>
          <w:highlight w:val="none"/>
          <w:lang w:eastAsia="zh-CN"/>
        </w:rPr>
        <w:t>林芝市波密县扎木镇、古乡</w:t>
      </w:r>
      <w:r>
        <w:rPr>
          <w:rFonts w:hint="default" w:ascii="Times New Roman" w:hAnsi="Times New Roman" w:cs="Times New Roman" w:eastAsiaTheme="minorEastAsia"/>
          <w:bCs/>
          <w:color w:val="auto"/>
          <w:kern w:val="0"/>
          <w:sz w:val="24"/>
          <w:highlight w:val="none"/>
        </w:rPr>
        <w:t>。规划区部分区域处于雅鲁藏布大峡谷国家级自然保护区试验区内，涉及627.6206hm</w:t>
      </w:r>
      <w:r>
        <w:rPr>
          <w:rFonts w:hint="default" w:ascii="Times New Roman" w:hAnsi="Times New Roman" w:cs="Times New Roman" w:eastAsiaTheme="minorEastAsia"/>
          <w:bCs/>
          <w:color w:val="auto"/>
          <w:kern w:val="0"/>
          <w:sz w:val="24"/>
          <w:highlight w:val="none"/>
          <w:vertAlign w:val="superscript"/>
        </w:rPr>
        <w:t>2</w:t>
      </w:r>
      <w:r>
        <w:rPr>
          <w:rFonts w:hint="default" w:ascii="Times New Roman" w:hAnsi="Times New Roman" w:cs="Times New Roman" w:eastAsiaTheme="minorEastAsia"/>
          <w:bCs/>
          <w:color w:val="auto"/>
          <w:kern w:val="0"/>
          <w:sz w:val="24"/>
          <w:highlight w:val="none"/>
        </w:rPr>
        <w:t>，规划区已避让雅鲁藏布大峡谷国家级自然保护区核心区和缓冲区。规划区涉及西藏嘎朗国家湿地公园湿地体验区、湿地功能展示区，其中占用湿地体验区339.3274hm</w:t>
      </w:r>
      <w:r>
        <w:rPr>
          <w:rFonts w:hint="default" w:ascii="Times New Roman" w:hAnsi="Times New Roman" w:cs="Times New Roman" w:eastAsiaTheme="minorEastAsia"/>
          <w:bCs/>
          <w:color w:val="auto"/>
          <w:kern w:val="0"/>
          <w:sz w:val="24"/>
          <w:highlight w:val="none"/>
          <w:vertAlign w:val="superscript"/>
        </w:rPr>
        <w:t>2</w:t>
      </w:r>
      <w:r>
        <w:rPr>
          <w:rFonts w:hint="default" w:ascii="Times New Roman" w:hAnsi="Times New Roman" w:cs="Times New Roman" w:eastAsiaTheme="minorEastAsia"/>
          <w:bCs/>
          <w:color w:val="auto"/>
          <w:kern w:val="0"/>
          <w:sz w:val="24"/>
          <w:highlight w:val="none"/>
        </w:rPr>
        <w:t>，占用湿地功能展示区3.4228hm</w:t>
      </w:r>
      <w:r>
        <w:rPr>
          <w:rFonts w:hint="default" w:ascii="Times New Roman" w:hAnsi="Times New Roman" w:cs="Times New Roman" w:eastAsiaTheme="minorEastAsia"/>
          <w:bCs/>
          <w:color w:val="auto"/>
          <w:kern w:val="0"/>
          <w:sz w:val="24"/>
          <w:highlight w:val="none"/>
          <w:vertAlign w:val="superscript"/>
        </w:rPr>
        <w:t>2</w:t>
      </w:r>
      <w:r>
        <w:rPr>
          <w:rFonts w:hint="default" w:ascii="Times New Roman" w:hAnsi="Times New Roman" w:cs="Times New Roman" w:eastAsiaTheme="minorEastAsia"/>
          <w:bCs/>
          <w:color w:val="auto"/>
          <w:kern w:val="0"/>
          <w:sz w:val="24"/>
          <w:highlight w:val="none"/>
        </w:rPr>
        <w:t>。规划区涉及生态保护红线面积约365.27hm</w:t>
      </w:r>
      <w:r>
        <w:rPr>
          <w:rFonts w:hint="default" w:ascii="Times New Roman" w:hAnsi="Times New Roman" w:cs="Times New Roman" w:eastAsiaTheme="minorEastAsia"/>
          <w:bCs/>
          <w:color w:val="auto"/>
          <w:kern w:val="0"/>
          <w:sz w:val="24"/>
          <w:highlight w:val="none"/>
          <w:vertAlign w:val="superscript"/>
        </w:rPr>
        <w:t>2</w:t>
      </w:r>
      <w:r>
        <w:rPr>
          <w:rFonts w:hint="default" w:ascii="Times New Roman" w:hAnsi="Times New Roman" w:cs="Times New Roman" w:eastAsiaTheme="minorEastAsia"/>
          <w:bCs/>
          <w:color w:val="auto"/>
          <w:kern w:val="0"/>
          <w:sz w:val="24"/>
          <w:highlight w:val="none"/>
        </w:rPr>
        <w:t>，均为生态保护红线（一般控制区），不涉及生态保护红线（核心保护区）。</w:t>
      </w:r>
    </w:p>
    <w:p w14:paraId="0B21E26F">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本次生态环境现状调查范围包括评价区域内（规划区红线外延</w:t>
      </w:r>
      <w:r>
        <w:rPr>
          <w:rFonts w:hint="default" w:ascii="Times New Roman" w:hAnsi="Times New Roman" w:cs="Times New Roman" w:eastAsiaTheme="minorEastAsia"/>
          <w:bCs/>
          <w:color w:val="auto"/>
          <w:kern w:val="0"/>
          <w:sz w:val="24"/>
          <w:highlight w:val="none"/>
          <w:lang w:val="en-US" w:eastAsia="zh-CN"/>
        </w:rPr>
        <w:t>10</w:t>
      </w:r>
      <w:r>
        <w:rPr>
          <w:rFonts w:hint="default" w:ascii="Times New Roman" w:hAnsi="Times New Roman" w:cs="Times New Roman" w:eastAsiaTheme="minorEastAsia"/>
          <w:bCs/>
          <w:color w:val="auto"/>
          <w:kern w:val="0"/>
          <w:sz w:val="24"/>
          <w:highlight w:val="none"/>
        </w:rPr>
        <w:t>00米的区域）的生态调查。</w:t>
      </w:r>
    </w:p>
    <w:p w14:paraId="279CED63">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生态功能区划</w:t>
      </w:r>
    </w:p>
    <w:p w14:paraId="7827891E">
      <w:pPr>
        <w:adjustRightInd w:val="0"/>
        <w:spacing w:line="360" w:lineRule="auto"/>
        <w:ind w:firstLine="480" w:firstLineChars="200"/>
        <w:contextualSpacing/>
        <w:rPr>
          <w:rStyle w:val="103"/>
          <w:rFonts w:hint="default" w:ascii="Times New Roman" w:hAnsi="Times New Roman" w:cs="Times New Roman"/>
          <w:color w:val="auto"/>
          <w:highlight w:val="none"/>
        </w:rPr>
      </w:pPr>
      <w:r>
        <w:rPr>
          <w:rStyle w:val="103"/>
          <w:rFonts w:hint="default" w:ascii="Times New Roman" w:hAnsi="Times New Roman" w:cs="Times New Roman"/>
          <w:color w:val="auto"/>
          <w:highlight w:val="none"/>
        </w:rPr>
        <w:t>根据《西藏自治区生态功能区划》，规划区所在地属</w:t>
      </w:r>
      <w:r>
        <w:rPr>
          <w:rStyle w:val="103"/>
          <w:rFonts w:hint="default" w:ascii="Times New Roman" w:hAnsi="Times New Roman" w:cs="Times New Roman"/>
          <w:color w:val="auto"/>
          <w:highlight w:val="none"/>
          <w:lang w:val="en-US" w:eastAsia="zh-CN"/>
        </w:rPr>
        <w:t>-II-藏东高山深谷温带半湿润常绿阔叶林—暗针叶林生态区、</w:t>
      </w:r>
      <w:r>
        <w:rPr>
          <w:rStyle w:val="103"/>
          <w:rFonts w:hint="default" w:ascii="Times New Roman" w:hAnsi="Times New Roman" w:cs="Times New Roman"/>
          <w:color w:val="auto"/>
          <w:highlight w:val="none"/>
        </w:rPr>
        <w:t>II</w:t>
      </w:r>
      <w:r>
        <w:rPr>
          <w:rStyle w:val="103"/>
          <w:rFonts w:hint="default" w:ascii="Times New Roman" w:hAnsi="Times New Roman" w:cs="Times New Roman"/>
          <w:color w:val="auto"/>
          <w:highlight w:val="none"/>
          <w:vertAlign w:val="subscript"/>
        </w:rPr>
        <w:t>1</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rPr>
        <w:t>念青唐古拉山南翼常绿阔叶林、云冷杉林生态亚区—</w:t>
      </w:r>
      <w:r>
        <w:rPr>
          <w:rStyle w:val="103"/>
          <w:rFonts w:hint="default" w:ascii="Times New Roman" w:hAnsi="Times New Roman" w:cs="Times New Roman"/>
          <w:color w:val="auto"/>
          <w:highlight w:val="none"/>
          <w:lang w:eastAsia="zh-CN"/>
        </w:rPr>
        <w:t>II</w:t>
      </w:r>
      <w:r>
        <w:rPr>
          <w:rStyle w:val="103"/>
          <w:rFonts w:hint="default" w:ascii="Times New Roman" w:hAnsi="Times New Roman" w:cs="Times New Roman"/>
          <w:color w:val="auto"/>
          <w:highlight w:val="none"/>
          <w:vertAlign w:val="subscript"/>
          <w:lang w:eastAsia="zh-CN"/>
        </w:rPr>
        <w:t>1-1</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lang w:eastAsia="zh-CN"/>
        </w:rPr>
        <w:t>帕隆—易贡藏布山地灾害敏感性与生物多样性保护生态功能区</w:t>
      </w:r>
      <w:r>
        <w:rPr>
          <w:rStyle w:val="103"/>
          <w:rFonts w:hint="default" w:ascii="Times New Roman" w:hAnsi="Times New Roman" w:cs="Times New Roman"/>
          <w:color w:val="auto"/>
          <w:highlight w:val="none"/>
        </w:rPr>
        <w:t>。</w:t>
      </w:r>
    </w:p>
    <w:p w14:paraId="2F026B27">
      <w:pPr>
        <w:adjustRightInd w:val="0"/>
        <w:spacing w:line="360" w:lineRule="auto"/>
        <w:ind w:firstLine="480" w:firstLineChars="200"/>
        <w:contextualSpacing/>
        <w:rPr>
          <w:rStyle w:val="103"/>
          <w:rFonts w:hint="default" w:ascii="Times New Roman" w:hAnsi="Times New Roman" w:cs="Times New Roman"/>
          <w:color w:val="auto"/>
          <w:kern w:val="0"/>
          <w:highlight w:val="none"/>
        </w:rPr>
      </w:pPr>
      <w:r>
        <w:rPr>
          <w:rStyle w:val="103"/>
          <w:rFonts w:hint="default" w:ascii="Times New Roman" w:hAnsi="Times New Roman" w:cs="Times New Roman"/>
          <w:color w:val="auto"/>
          <w:kern w:val="0"/>
          <w:highlight w:val="none"/>
        </w:rPr>
        <w:t>生态功能范围：</w:t>
      </w:r>
      <w:r>
        <w:rPr>
          <w:rFonts w:hint="default" w:ascii="Times New Roman" w:hAnsi="Times New Roman" w:cs="Times New Roman"/>
          <w:color w:val="auto"/>
          <w:sz w:val="24"/>
          <w:highlight w:val="none"/>
        </w:rPr>
        <w:t>该区地处西藏东南雅鲁藏布江一级支流帕隆藏布及其支流易贡藏布中下游流域，包括波密县的全境。面积19043.34km</w:t>
      </w:r>
      <w:r>
        <w:rPr>
          <w:rFonts w:hint="default" w:ascii="Times New Roman" w:hAnsi="Times New Roman" w:cs="Times New Roman"/>
          <w:color w:val="auto"/>
          <w:sz w:val="24"/>
          <w:highlight w:val="none"/>
          <w:vertAlign w:val="superscript"/>
        </w:rPr>
        <w:t>2</w:t>
      </w:r>
      <w:r>
        <w:rPr>
          <w:rStyle w:val="103"/>
          <w:rFonts w:hint="default" w:ascii="Times New Roman" w:hAnsi="Times New Roman" w:cs="Times New Roman"/>
          <w:color w:val="auto"/>
          <w:kern w:val="0"/>
          <w:highlight w:val="none"/>
        </w:rPr>
        <w:t>。</w:t>
      </w:r>
    </w:p>
    <w:p w14:paraId="68D8DBB2">
      <w:pPr>
        <w:adjustRightInd w:val="0"/>
        <w:spacing w:line="360" w:lineRule="auto"/>
        <w:ind w:firstLine="480" w:firstLineChars="200"/>
        <w:contextualSpacing/>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生态功能定位：山地灾害预防和生物多样性保护，其次为水源涵养。</w:t>
      </w:r>
    </w:p>
    <w:p w14:paraId="0ED6F37A">
      <w:pPr>
        <w:autoSpaceDE w:val="0"/>
        <w:autoSpaceDN w:val="0"/>
        <w:adjustRightInd w:val="0"/>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发展与保护方向及对策：该区森林植被类型的多样性，为多种动物的繁衍生息创造了有利的条件，主要动物种类有羚牛、赤斑羚、豹、盘羊、黑熊、猕猴、雪鸡等。该区是西藏山地生态系统类型多样性和生物多样性比较丰富的地区之一。在人类活动影响较小的地区，生物多样性保存较好，其中波密岗乡以云杉林为主的原始森林生态系统拥有丰富的动植物物种，云杉林生物生产力很高，林木生长速度、持续生长期和单位蓄积量大大超过国内外同类林分，每公顷蓄积量高达1500～2000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前已述及，该区主要生态环境问题是以崩塌、滑坡和泥石流为主的山地灾害，具有易发性特点，且灾害主要危害公路交通，造成的危害和损失严重。因此，该区的主要生态功能是生物多样性的保护和山地灾害的预防。</w:t>
      </w:r>
    </w:p>
    <w:p w14:paraId="52D1AB89">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调查方法</w:t>
      </w:r>
    </w:p>
    <w:p w14:paraId="6C1DC78E">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（1）植被及植物多样性调查方法</w:t>
      </w:r>
    </w:p>
    <w:p w14:paraId="38BA94E1">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调查评价除应用植物区系学、植被生态学等学科的野外常规调查方法外，还采用地理信息系统（GIS）、全球卫星定位系统（GPS）、卫星遥感（RS）相结合的手段，通过实地调查、卫星图像解译、制图、数据分析等一系列工作程序和过程，实现“3S”技术的应用。</w:t>
      </w:r>
    </w:p>
    <w:p w14:paraId="2B285E13">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植物多样性调查方法为样线与样方相结合的调查法，样方设立要求覆盖调查区域绝大多数生境类型：既考虑到不同地点、不同海拔，又考虑到不同生境类型和不同演化阶段。若发现现场鉴定有疑义的植物种类则采样本或拍摄植物明显特征后再取回鉴定。</w:t>
      </w:r>
    </w:p>
    <w:p w14:paraId="249E319D">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植被调查主要采取样线调查和样方调查相结合的方法。样线调查中，针对调查区域的地形、地势特点，沿着山坡垂直向上，直到调查区域的上限为一条完整的样线。</w:t>
      </w:r>
    </w:p>
    <w:p w14:paraId="6E3D94A2">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样方调查方法：采取典型选样的方式设置样地。典型乔木样地设置为10m×10m、</w:t>
      </w:r>
      <w:r>
        <w:rPr>
          <w:rFonts w:hint="default" w:ascii="Times New Roman" w:hAnsi="Times New Roman" w:cs="Times New Roman" w:eastAsiaTheme="minorEastAsia"/>
          <w:bCs/>
          <w:color w:val="auto"/>
          <w:kern w:val="0"/>
          <w:sz w:val="24"/>
          <w:highlight w:val="none"/>
          <w:lang w:val="en-US" w:eastAsia="zh-CN"/>
        </w:rPr>
        <w:t>草丛</w:t>
      </w:r>
      <w:r>
        <w:rPr>
          <w:rFonts w:hint="default" w:ascii="Times New Roman" w:hAnsi="Times New Roman" w:cs="Times New Roman" w:eastAsiaTheme="minorEastAsia"/>
          <w:bCs/>
          <w:color w:val="auto"/>
          <w:kern w:val="0"/>
          <w:sz w:val="24"/>
          <w:highlight w:val="none"/>
        </w:rPr>
        <w:t>植被的样地为1m×1m。</w:t>
      </w:r>
    </w:p>
    <w:p w14:paraId="58E52ACF">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物种鉴定和植物名录制定</w:t>
      </w:r>
      <w:r>
        <w:rPr>
          <w:rFonts w:hint="default" w:ascii="Times New Roman" w:hAnsi="Times New Roman" w:cs="Times New Roman" w:eastAsiaTheme="minorEastAsia"/>
          <w:bCs/>
          <w:color w:val="auto"/>
          <w:kern w:val="0"/>
          <w:sz w:val="24"/>
          <w:highlight w:val="none"/>
          <w:lang w:eastAsia="zh-CN"/>
        </w:rPr>
        <w:t>：</w:t>
      </w:r>
      <w:r>
        <w:rPr>
          <w:rFonts w:hint="default" w:ascii="Times New Roman" w:hAnsi="Times New Roman" w:cs="Times New Roman" w:eastAsiaTheme="minorEastAsia"/>
          <w:bCs/>
          <w:color w:val="auto"/>
          <w:kern w:val="0"/>
          <w:sz w:val="24"/>
          <w:highlight w:val="none"/>
        </w:rPr>
        <w:t>评价区植物种类的调查仅调查维管束植物，详细记录评价区范围内分布的植物种类，对现场能确认物种的，记录种名、分布的海拔、生境和多度等。对现场不能确定具体种类的，采集其标本后，根据《中国高等植物图鉴》、《中国植物志》、《中国高等植物》、《西藏植物志》或《青藏高原维管植物及其生态地理分布》进行鉴定。同时，收集评价区及其周边区域的植物及植被的历史调查资料，包括各历史时期公开发表的期刊、书籍、专著、专项调查报告及科学考察报告和各科研单位已有的标本采集记录等。最后，将样地内的物种与沿途记录的物种汇总，得到评价区的植物名录。</w:t>
      </w:r>
    </w:p>
    <w:p w14:paraId="1EA4F86C">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植物多样性调查满足《环境影响评价技术导则 生态影响》（HJ/T19-2022）规定的评价要求。另外，采用资源三号卫星2m分辨率的遥感影像进行室内解译，同时结合现场典型样方调查制作项目评价区植被类型图。</w:t>
      </w:r>
    </w:p>
    <w:p w14:paraId="08756060">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（2）动物多样性调查方法</w:t>
      </w:r>
    </w:p>
    <w:p w14:paraId="6F59A1E4">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动物调查主要采用样线法，辅以样方法、查阅资料法、访问调查法进行。本次共设置了</w:t>
      </w:r>
      <w:r>
        <w:rPr>
          <w:rFonts w:hint="default" w:ascii="Times New Roman" w:hAnsi="Times New Roman" w:cs="Times New Roman" w:eastAsiaTheme="minorEastAsia"/>
          <w:bCs/>
          <w:color w:val="auto"/>
          <w:kern w:val="0"/>
          <w:sz w:val="24"/>
          <w:highlight w:val="none"/>
        </w:rPr>
        <w:t>4条样线</w:t>
      </w:r>
      <w:r>
        <w:rPr>
          <w:rFonts w:hint="default" w:ascii="Times New Roman" w:hAnsi="Times New Roman" w:cs="Times New Roman" w:eastAsiaTheme="minorEastAsia"/>
          <w:bCs/>
          <w:color w:val="auto"/>
          <w:kern w:val="0"/>
          <w:sz w:val="24"/>
          <w:highlight w:val="none"/>
        </w:rPr>
        <w:t>。查阅调查范围内的有关科学研究和野外调查资料，同时收集该区及相邻近地区相关资料，并比照相应的地理位置和海拔，得出本次评价动物名录，各物种调查方法如下：</w:t>
      </w:r>
    </w:p>
    <w:p w14:paraId="0C90793B">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1）两栖类、爬行类</w:t>
      </w:r>
    </w:p>
    <w:p w14:paraId="7A797168">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以样线法调查为主，主要观察实体、巢穴、足迹等。辅以样方法和查阅历史资料。考虑到本次项目评价区地理特点及两栖爬行类的生态学特性，野外调查中可能会因为季节、天气等因素无法观察或记录到两栖类、爬行类物种。因此，两栖、爬行类物种需要通过实际记录和文献查阅的方法辅助确定。</w:t>
      </w:r>
    </w:p>
    <w:p w14:paraId="1A17314A">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2）鸟类</w:t>
      </w:r>
    </w:p>
    <w:p w14:paraId="7E4F4181">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野外调查依据鸟类生态特性，主要采用样线法进行种类及数量调查。调查时在样带内徒步行走，观察记数所见鸟类种类、数量以及羽毛、鸟巢等痕迹，发现国家重点保护鸟类用GPS准确定位并拍照。同时访问专家及附近居民等，详细记录样带内的生境变化，并通过全球卫星定位仪（GPS）测定样带的经纬度和海拔高度变化。在内业数据处理中，根据评价区内地貌、海拔高度、植被类型等特点，将鸟类生境进行划分并对鸟类地理区系进行分析论证。</w:t>
      </w:r>
    </w:p>
    <w:p w14:paraId="4B50D2D2">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3）兽类</w:t>
      </w:r>
    </w:p>
    <w:p w14:paraId="34F120C8">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兽类调查主要观察实体、食迹、足迹、粪便、毛发等，除了常规的样带法、样点法外，对于兽类还辅以访问法进行调查。另外，多数兽类对人为活动比较敏感，在野外不易被观察或记录到。因此，兽类物种还要通过查阅文献的方法确定物种名录。根据实地调查结果，并结合文献资料报道的情况确定兽类动物物种组成。</w:t>
      </w:r>
    </w:p>
    <w:p w14:paraId="6293580E">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4）水生生物</w:t>
      </w:r>
    </w:p>
    <w:p w14:paraId="73B79104">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水生生物调查采用访问法和查资料法相结合进行调查，在此基础上制作评价区珍稀动物分布图等。</w:t>
      </w:r>
    </w:p>
    <w:p w14:paraId="26D11E73">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调查时间、内容及样线设置</w:t>
      </w:r>
    </w:p>
    <w:p w14:paraId="70A8F13C">
      <w:pPr>
        <w:autoSpaceDE w:val="0"/>
        <w:autoSpaceDN w:val="0"/>
        <w:adjustRightInd w:val="0"/>
        <w:spacing w:line="360" w:lineRule="auto"/>
        <w:ind w:firstLine="480" w:firstLineChars="200"/>
        <w:rPr>
          <w:rFonts w:hint="default" w:ascii="Times New Roman" w:hAnsi="Times New Roman" w:cs="Times New Roman" w:eastAsiaTheme="minorEastAsia"/>
          <w:bCs/>
          <w:color w:val="auto"/>
          <w:kern w:val="0"/>
          <w:sz w:val="24"/>
          <w:highlight w:val="none"/>
        </w:rPr>
      </w:pPr>
      <w:r>
        <w:rPr>
          <w:rFonts w:hint="default" w:ascii="Times New Roman" w:hAnsi="Times New Roman" w:cs="Times New Roman" w:eastAsiaTheme="minorEastAsia"/>
          <w:bCs/>
          <w:color w:val="auto"/>
          <w:kern w:val="0"/>
          <w:sz w:val="24"/>
          <w:highlight w:val="none"/>
        </w:rPr>
        <w:t>本次规划环评于202</w:t>
      </w:r>
      <w:r>
        <w:rPr>
          <w:rFonts w:hint="default" w:ascii="Times New Roman" w:hAnsi="Times New Roman" w:cs="Times New Roman" w:eastAsiaTheme="minorEastAsia"/>
          <w:bCs/>
          <w:color w:val="auto"/>
          <w:kern w:val="0"/>
          <w:sz w:val="24"/>
          <w:highlight w:val="none"/>
          <w:lang w:val="en-US" w:eastAsia="zh-CN"/>
        </w:rPr>
        <w:t>6</w:t>
      </w:r>
      <w:r>
        <w:rPr>
          <w:rFonts w:hint="default" w:ascii="Times New Roman" w:hAnsi="Times New Roman" w:cs="Times New Roman" w:eastAsiaTheme="minorEastAsia"/>
          <w:bCs/>
          <w:color w:val="auto"/>
          <w:kern w:val="0"/>
          <w:sz w:val="24"/>
          <w:highlight w:val="none"/>
        </w:rPr>
        <w:t>年</w:t>
      </w:r>
      <w:r>
        <w:rPr>
          <w:rFonts w:hint="default" w:ascii="Times New Roman" w:hAnsi="Times New Roman" w:cs="Times New Roman" w:eastAsiaTheme="minorEastAsia"/>
          <w:bCs/>
          <w:color w:val="auto"/>
          <w:kern w:val="0"/>
          <w:sz w:val="24"/>
          <w:highlight w:val="none"/>
          <w:lang w:val="en-US" w:eastAsia="zh-CN"/>
        </w:rPr>
        <w:t>4</w:t>
      </w:r>
      <w:r>
        <w:rPr>
          <w:rFonts w:hint="default" w:ascii="Times New Roman" w:hAnsi="Times New Roman" w:cs="Times New Roman" w:eastAsiaTheme="minorEastAsia"/>
          <w:bCs/>
          <w:color w:val="auto"/>
          <w:kern w:val="0"/>
          <w:sz w:val="24"/>
          <w:highlight w:val="none"/>
        </w:rPr>
        <w:t>月</w:t>
      </w:r>
      <w:r>
        <w:rPr>
          <w:rFonts w:hint="default" w:ascii="Times New Roman" w:hAnsi="Times New Roman" w:cs="Times New Roman" w:eastAsiaTheme="minorEastAsia"/>
          <w:bCs/>
          <w:color w:val="auto"/>
          <w:kern w:val="0"/>
          <w:sz w:val="24"/>
          <w:highlight w:val="none"/>
          <w:lang w:val="en-US" w:eastAsia="zh-CN"/>
        </w:rPr>
        <w:t>15</w:t>
      </w:r>
      <w:r>
        <w:rPr>
          <w:rFonts w:hint="default" w:ascii="Times New Roman" w:hAnsi="Times New Roman" w:cs="Times New Roman" w:eastAsiaTheme="minorEastAsia"/>
          <w:bCs/>
          <w:color w:val="auto"/>
          <w:kern w:val="0"/>
          <w:sz w:val="24"/>
          <w:highlight w:val="none"/>
        </w:rPr>
        <w:t>日</w:t>
      </w:r>
      <w:r>
        <w:rPr>
          <w:rFonts w:hint="default" w:ascii="Times New Roman" w:hAnsi="Times New Roman" w:cs="Times New Roman" w:eastAsiaTheme="minorEastAsia"/>
          <w:bCs/>
          <w:color w:val="auto"/>
          <w:kern w:val="0"/>
          <w:sz w:val="24"/>
          <w:highlight w:val="none"/>
          <w:lang w:eastAsia="zh-CN"/>
        </w:rPr>
        <w:t>、</w:t>
      </w:r>
      <w:r>
        <w:rPr>
          <w:rFonts w:hint="default" w:ascii="Times New Roman" w:hAnsi="Times New Roman" w:cs="Times New Roman" w:eastAsiaTheme="minorEastAsia"/>
          <w:bCs/>
          <w:color w:val="auto"/>
          <w:kern w:val="0"/>
          <w:sz w:val="24"/>
          <w:highlight w:val="none"/>
          <w:lang w:val="en-US" w:eastAsia="zh-CN"/>
        </w:rPr>
        <w:t>5</w:t>
      </w:r>
      <w:r>
        <w:rPr>
          <w:rFonts w:hint="default" w:ascii="Times New Roman" w:hAnsi="Times New Roman" w:cs="Times New Roman" w:eastAsiaTheme="minorEastAsia"/>
          <w:bCs/>
          <w:color w:val="auto"/>
          <w:kern w:val="0"/>
          <w:sz w:val="24"/>
          <w:highlight w:val="none"/>
        </w:rPr>
        <w:t>月</w:t>
      </w:r>
      <w:r>
        <w:rPr>
          <w:rFonts w:hint="default" w:ascii="Times New Roman" w:hAnsi="Times New Roman" w:cs="Times New Roman" w:eastAsiaTheme="minorEastAsia"/>
          <w:bCs/>
          <w:color w:val="auto"/>
          <w:kern w:val="0"/>
          <w:sz w:val="24"/>
          <w:highlight w:val="none"/>
          <w:lang w:val="en-US" w:eastAsia="zh-CN"/>
        </w:rPr>
        <w:t>6</w:t>
      </w:r>
      <w:r>
        <w:rPr>
          <w:rFonts w:hint="default" w:ascii="Times New Roman" w:hAnsi="Times New Roman" w:cs="Times New Roman" w:eastAsiaTheme="minorEastAsia"/>
          <w:bCs/>
          <w:color w:val="auto"/>
          <w:kern w:val="0"/>
          <w:sz w:val="24"/>
          <w:highlight w:val="none"/>
        </w:rPr>
        <w:t>日对影响评价区进行实地调查，调查内容包括生态系统、植物和植被、野生动物、土地利用、主要生态问题等方面。实地调查中主要采用访问调查、样线调查和样方调查等方法开展，其中样线主要沿现有农村公路及其周边，同时结合规划区、影响区地形布设，调查范围涵盖规划直接影响区和间接影响区，并在影响评价区不同植被类型布设调查样方</w:t>
      </w:r>
      <w:r>
        <w:rPr>
          <w:rFonts w:hint="default" w:ascii="Times New Roman" w:hAnsi="Times New Roman" w:cs="Times New Roman" w:eastAsiaTheme="minorEastAsia"/>
          <w:bCs/>
          <w:color w:val="auto"/>
          <w:kern w:val="0"/>
          <w:sz w:val="24"/>
          <w:highlight w:val="none"/>
          <w:lang w:val="en-US" w:eastAsia="zh-CN"/>
        </w:rPr>
        <w:t>10</w:t>
      </w:r>
      <w:r>
        <w:rPr>
          <w:rFonts w:hint="default" w:ascii="Times New Roman" w:hAnsi="Times New Roman" w:cs="Times New Roman" w:eastAsiaTheme="minorEastAsia"/>
          <w:bCs/>
          <w:color w:val="auto"/>
          <w:kern w:val="0"/>
          <w:sz w:val="24"/>
          <w:highlight w:val="none"/>
        </w:rPr>
        <w:t>个。</w:t>
      </w:r>
    </w:p>
    <w:p w14:paraId="31BE158C">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生态系统现状调查</w:t>
      </w:r>
    </w:p>
    <w:p w14:paraId="3E7F04A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根据规划所在地区植被分布及土地利用现状，本规划涉及的生态体系大体包括：草丛生态系统、林地生态系统</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湿地生态系统</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rPr>
        <w:t>农田生态系统、</w:t>
      </w:r>
      <w:r>
        <w:rPr>
          <w:rFonts w:hint="default" w:ascii="Times New Roman" w:hAnsi="Times New Roman" w:cs="Times New Roman"/>
          <w:color w:val="auto"/>
          <w:sz w:val="24"/>
          <w:highlight w:val="none"/>
        </w:rPr>
        <w:t>水域、村镇及道路系统，共</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种拼块类型。</w:t>
      </w:r>
    </w:p>
    <w:p w14:paraId="59B89BB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（1）草丛生态系统</w:t>
      </w:r>
    </w:p>
    <w:p w14:paraId="1085040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该类生态系统属环境资源拼块，面积较</w:t>
      </w:r>
      <w:r>
        <w:rPr>
          <w:rFonts w:hint="eastAsia" w:cs="Times New Roman"/>
          <w:color w:val="auto"/>
          <w:sz w:val="24"/>
          <w:highlight w:val="none"/>
          <w:lang w:val="en-US" w:eastAsia="zh-CN"/>
        </w:rPr>
        <w:t>小</w:t>
      </w:r>
      <w:r>
        <w:rPr>
          <w:rFonts w:hint="default" w:ascii="Times New Roman" w:hAnsi="Times New Roman" w:cs="Times New Roman"/>
          <w:color w:val="auto"/>
          <w:sz w:val="24"/>
          <w:highlight w:val="none"/>
        </w:rPr>
        <w:t>且连通程度</w:t>
      </w:r>
      <w:r>
        <w:rPr>
          <w:rFonts w:hint="eastAsia" w:cs="Times New Roman"/>
          <w:color w:val="auto"/>
          <w:sz w:val="24"/>
          <w:highlight w:val="none"/>
          <w:lang w:val="en-US" w:eastAsia="zh-CN"/>
        </w:rPr>
        <w:t>不</w:t>
      </w:r>
      <w:r>
        <w:rPr>
          <w:rFonts w:hint="default" w:ascii="Times New Roman" w:hAnsi="Times New Roman" w:cs="Times New Roman"/>
          <w:color w:val="auto"/>
          <w:sz w:val="24"/>
          <w:highlight w:val="none"/>
        </w:rPr>
        <w:t>高，该拼块对区内环境质量有动态控制功能，起到减缓区内水土流失、维持生态平衡的重要作用。多分布于规划区</w:t>
      </w:r>
      <w:r>
        <w:rPr>
          <w:rFonts w:hint="eastAsia" w:cs="Times New Roman"/>
          <w:color w:val="auto"/>
          <w:sz w:val="24"/>
          <w:highlight w:val="none"/>
          <w:lang w:val="en-US" w:eastAsia="zh-CN"/>
        </w:rPr>
        <w:t>巴卡村与错卡弄巴河流</w:t>
      </w:r>
      <w:r>
        <w:rPr>
          <w:rFonts w:hint="default" w:ascii="Times New Roman" w:hAnsi="Times New Roman" w:cs="Times New Roman"/>
          <w:color w:val="auto"/>
          <w:sz w:val="24"/>
          <w:highlight w:val="none"/>
          <w:lang w:val="en-US" w:eastAsia="zh-CN"/>
        </w:rPr>
        <w:t>两侧</w:t>
      </w:r>
      <w:r>
        <w:rPr>
          <w:rFonts w:hint="default" w:ascii="Times New Roman" w:hAnsi="Times New Roman" w:cs="Times New Roman"/>
          <w:color w:val="auto"/>
          <w:sz w:val="24"/>
          <w:highlight w:val="none"/>
        </w:rPr>
        <w:t>，分布面积较</w:t>
      </w:r>
      <w:r>
        <w:rPr>
          <w:rFonts w:hint="default" w:ascii="Times New Roman" w:hAnsi="Times New Roman" w:cs="Times New Roman"/>
          <w:color w:val="auto"/>
          <w:sz w:val="24"/>
          <w:highlight w:val="none"/>
          <w:lang w:val="en-US" w:eastAsia="zh-CN"/>
        </w:rPr>
        <w:t>小</w:t>
      </w:r>
      <w:r>
        <w:rPr>
          <w:rFonts w:hint="default" w:ascii="Times New Roman" w:hAnsi="Times New Roman" w:cs="Times New Roman"/>
          <w:color w:val="auto"/>
          <w:sz w:val="24"/>
          <w:highlight w:val="none"/>
        </w:rPr>
        <w:t>。植被类型以灌丛和高山草甸植被为主，是牧业生产利用的主要类型，植被覆盖度约</w:t>
      </w:r>
      <w:r>
        <w:rPr>
          <w:rFonts w:hint="eastAsia" w:cs="Times New Roman"/>
          <w:color w:val="auto"/>
          <w:sz w:val="24"/>
          <w:highlight w:val="none"/>
          <w:lang w:val="en-US" w:eastAsia="zh-CN"/>
        </w:rPr>
        <w:t>60~</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w:t>
      </w:r>
    </w:p>
    <w:p w14:paraId="4733562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（2）林地生态系统</w:t>
      </w:r>
    </w:p>
    <w:p w14:paraId="3E31DE6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该类生态系统属环境资源拼块，面积大且连通程度</w:t>
      </w:r>
      <w:r>
        <w:rPr>
          <w:rFonts w:hint="default" w:ascii="Times New Roman" w:hAnsi="Times New Roman" w:cs="Times New Roman"/>
          <w:color w:val="auto"/>
          <w:sz w:val="24"/>
          <w:highlight w:val="none"/>
          <w:lang w:val="en-US" w:eastAsia="zh-CN"/>
        </w:rPr>
        <w:t>极</w:t>
      </w:r>
      <w:r>
        <w:rPr>
          <w:rFonts w:hint="default" w:ascii="Times New Roman" w:hAnsi="Times New Roman" w:cs="Times New Roman"/>
          <w:color w:val="auto"/>
          <w:sz w:val="24"/>
          <w:highlight w:val="none"/>
        </w:rPr>
        <w:t>高，</w:t>
      </w:r>
      <w:r>
        <w:rPr>
          <w:rFonts w:hint="default" w:ascii="Times New Roman" w:hAnsi="Times New Roman" w:cs="Times New Roman"/>
          <w:color w:val="auto"/>
          <w:sz w:val="24"/>
          <w:highlight w:val="none"/>
          <w:lang w:val="en-US" w:eastAsia="zh-CN"/>
        </w:rPr>
        <w:t>占据规划区绝大部分面积，约占总面积的73.45％，</w:t>
      </w:r>
      <w:r>
        <w:rPr>
          <w:rFonts w:hint="default" w:ascii="Times New Roman" w:hAnsi="Times New Roman" w:cs="Times New Roman"/>
          <w:color w:val="auto"/>
          <w:sz w:val="24"/>
          <w:highlight w:val="none"/>
        </w:rPr>
        <w:t>由</w:t>
      </w:r>
      <w:r>
        <w:rPr>
          <w:rFonts w:hint="default" w:ascii="Times New Roman" w:hAnsi="Times New Roman" w:cs="Times New Roman"/>
          <w:color w:val="auto"/>
          <w:sz w:val="24"/>
          <w:highlight w:val="none"/>
          <w:lang w:val="en-US" w:eastAsia="zh-CN"/>
        </w:rPr>
        <w:t>杉树</w:t>
      </w:r>
      <w:r>
        <w:rPr>
          <w:rFonts w:hint="eastAsia" w:cs="Times New Roman"/>
          <w:color w:val="auto"/>
          <w:sz w:val="24"/>
          <w:highlight w:val="none"/>
          <w:lang w:val="en-US" w:eastAsia="zh-CN"/>
        </w:rPr>
        <w:t>（林芝云杉）、杨树（藏川杨）</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松树</w:t>
      </w:r>
      <w:r>
        <w:rPr>
          <w:rFonts w:hint="eastAsia" w:cs="Times New Roman"/>
          <w:color w:val="auto"/>
          <w:sz w:val="24"/>
          <w:highlight w:val="none"/>
          <w:lang w:val="en-US" w:eastAsia="zh-CN"/>
        </w:rPr>
        <w:t>（高山松、华山松）、漆树、三桠乌药、川滇高山栎</w:t>
      </w:r>
      <w:r>
        <w:rPr>
          <w:rFonts w:hint="default" w:ascii="Times New Roman" w:hAnsi="Times New Roman" w:cs="Times New Roman"/>
          <w:color w:val="auto"/>
          <w:sz w:val="24"/>
          <w:highlight w:val="none"/>
        </w:rPr>
        <w:t>等树种组成，</w:t>
      </w:r>
      <w:r>
        <w:rPr>
          <w:rFonts w:hint="default" w:ascii="Times New Roman" w:hAnsi="Times New Roman" w:cs="Times New Roman"/>
          <w:color w:val="auto"/>
          <w:sz w:val="24"/>
          <w:highlight w:val="none"/>
          <w:lang w:val="en-US" w:eastAsia="zh-CN"/>
        </w:rPr>
        <w:t>除少数房前屋后为</w:t>
      </w:r>
      <w:r>
        <w:rPr>
          <w:rFonts w:hint="default" w:ascii="Times New Roman" w:hAnsi="Times New Roman" w:cs="Times New Roman"/>
          <w:color w:val="auto"/>
          <w:sz w:val="24"/>
          <w:highlight w:val="none"/>
        </w:rPr>
        <w:t>人工种植</w:t>
      </w:r>
      <w:r>
        <w:rPr>
          <w:rFonts w:hint="default" w:ascii="Times New Roman" w:hAnsi="Times New Roman" w:cs="Times New Roman"/>
          <w:color w:val="auto"/>
          <w:sz w:val="24"/>
          <w:highlight w:val="none"/>
          <w:lang w:val="en-US" w:eastAsia="zh-CN"/>
        </w:rPr>
        <w:t>外，绝大部分为天然生长</w:t>
      </w:r>
      <w:r>
        <w:rPr>
          <w:rFonts w:hint="default" w:ascii="Times New Roman" w:hAnsi="Times New Roman" w:cs="Times New Roman"/>
          <w:color w:val="auto"/>
          <w:sz w:val="24"/>
          <w:highlight w:val="none"/>
        </w:rPr>
        <w:t>。该拼块对区内环境质量有动态控制功能，起到维持生态平衡的重要作用。</w:t>
      </w:r>
    </w:p>
    <w:p w14:paraId="25216C44">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湿地生态系统</w:t>
      </w:r>
    </w:p>
    <w:p w14:paraId="0237A71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该类生态系统</w:t>
      </w:r>
      <w:r>
        <w:rPr>
          <w:rFonts w:hint="default" w:ascii="Times New Roman" w:hAnsi="Times New Roman" w:cs="Times New Roman"/>
          <w:color w:val="auto"/>
          <w:sz w:val="24"/>
          <w:highlight w:val="none"/>
          <w:lang w:val="en-US" w:eastAsia="zh-CN"/>
        </w:rPr>
        <w:t>主要分布于帕隆藏布及帕隆藏布支流两侧</w:t>
      </w:r>
      <w:r>
        <w:rPr>
          <w:rFonts w:hint="default" w:ascii="Times New Roman" w:hAnsi="Times New Roman" w:cs="Times New Roman"/>
          <w:color w:val="auto"/>
          <w:kern w:val="0"/>
          <w:sz w:val="24"/>
          <w:highlight w:val="none"/>
          <w:lang w:val="en-US" w:eastAsia="zh-CN"/>
        </w:rPr>
        <w:t>，在评价范围内占比较低，</w:t>
      </w:r>
      <w:r>
        <w:rPr>
          <w:rFonts w:hint="default" w:ascii="Times New Roman" w:hAnsi="Times New Roman" w:cs="Times New Roman"/>
          <w:bCs/>
          <w:color w:val="auto"/>
          <w:sz w:val="24"/>
          <w:highlight w:val="none"/>
        </w:rPr>
        <w:t>湿地生态系统具有</w:t>
      </w:r>
      <w:r>
        <w:rPr>
          <w:rFonts w:hint="default" w:ascii="Times New Roman" w:hAnsi="Times New Roman" w:cs="Times New Roman"/>
          <w:bCs/>
          <w:color w:val="auto"/>
          <w:sz w:val="24"/>
          <w:highlight w:val="none"/>
          <w:lang w:val="en-US" w:eastAsia="zh-CN"/>
        </w:rPr>
        <w:t>较</w:t>
      </w:r>
      <w:r>
        <w:rPr>
          <w:rFonts w:hint="default" w:ascii="Times New Roman" w:hAnsi="Times New Roman" w:cs="Times New Roman"/>
          <w:bCs/>
          <w:color w:val="auto"/>
          <w:sz w:val="24"/>
          <w:highlight w:val="none"/>
        </w:rPr>
        <w:t>大的环境调节功能和环境效益，在调蓄洪水、调节气候、控制土壤等多方面发挥着</w:t>
      </w:r>
      <w:r>
        <w:rPr>
          <w:rFonts w:hint="default" w:ascii="Times New Roman" w:hAnsi="Times New Roman" w:cs="Times New Roman"/>
          <w:bCs/>
          <w:color w:val="auto"/>
          <w:sz w:val="24"/>
          <w:highlight w:val="none"/>
          <w:lang w:val="en-US" w:eastAsia="zh-CN"/>
        </w:rPr>
        <w:t>较为</w:t>
      </w:r>
      <w:r>
        <w:rPr>
          <w:rFonts w:hint="default" w:ascii="Times New Roman" w:hAnsi="Times New Roman" w:cs="Times New Roman"/>
          <w:bCs/>
          <w:color w:val="auto"/>
          <w:sz w:val="24"/>
          <w:highlight w:val="none"/>
        </w:rPr>
        <w:t>重要作用</w:t>
      </w:r>
      <w:r>
        <w:rPr>
          <w:rFonts w:hint="default" w:ascii="Times New Roman" w:hAnsi="Times New Roman" w:cs="Times New Roman"/>
          <w:bCs/>
          <w:color w:val="auto"/>
          <w:sz w:val="24"/>
          <w:highlight w:val="none"/>
          <w:lang w:eastAsia="zh-CN"/>
        </w:rPr>
        <w:t>。</w:t>
      </w:r>
    </w:p>
    <w:p w14:paraId="36135D5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）农田生态系统</w:t>
      </w:r>
    </w:p>
    <w:p w14:paraId="2E7B496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该类生态系统是人工种植拼块，以农业植被为主体，属以农业活动为中心，以输出农产品为主要功能的区域。</w:t>
      </w:r>
      <w:r>
        <w:rPr>
          <w:rFonts w:hint="default" w:ascii="Times New Roman" w:hAnsi="Times New Roman" w:cs="Times New Roman"/>
          <w:color w:val="auto"/>
          <w:sz w:val="24"/>
          <w:highlight w:val="none"/>
          <w:lang w:val="en-US" w:eastAsia="zh-CN"/>
        </w:rPr>
        <w:t>主要位于居民区附近</w:t>
      </w:r>
      <w:r>
        <w:rPr>
          <w:rFonts w:hint="default" w:ascii="Times New Roman" w:hAnsi="Times New Roman" w:cs="Times New Roman"/>
          <w:color w:val="auto"/>
          <w:sz w:val="24"/>
          <w:highlight w:val="none"/>
        </w:rPr>
        <w:t>，主要种植小麦、青稞、油菜、马铃薯等作物，一年一熟。农田生态系统受农业生产活动的控制，对农耕地的合理利用和管理同样可起到维护区域生态环境质量的作用。</w:t>
      </w:r>
    </w:p>
    <w:p w14:paraId="5F6CE7E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）水域</w:t>
      </w:r>
    </w:p>
    <w:p w14:paraId="5F222E3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水域生态系统属环境资源型拼块</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在规划区</w:t>
      </w:r>
      <w:r>
        <w:rPr>
          <w:rFonts w:hint="default" w:ascii="Times New Roman" w:hAnsi="Times New Roman" w:cs="Times New Roman"/>
          <w:color w:val="auto"/>
          <w:sz w:val="24"/>
          <w:highlight w:val="none"/>
          <w:lang w:val="en-US" w:eastAsia="zh-CN"/>
        </w:rPr>
        <w:t>内主要为帕隆藏布支流</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kern w:val="0"/>
          <w:sz w:val="24"/>
          <w:highlight w:val="none"/>
          <w:lang w:val="en-US" w:eastAsia="zh-CN"/>
        </w:rPr>
        <w:t>评价范围内规划区外北侧紧邻帕隆藏布，</w:t>
      </w:r>
      <w:r>
        <w:rPr>
          <w:rFonts w:hint="default" w:ascii="Times New Roman" w:hAnsi="Times New Roman" w:cs="Times New Roman"/>
          <w:color w:val="auto"/>
          <w:sz w:val="24"/>
          <w:highlight w:val="none"/>
        </w:rPr>
        <w:t>其生态功能主要用于区内的泄洪</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灌溉</w:t>
      </w:r>
      <w:r>
        <w:rPr>
          <w:rFonts w:hint="default" w:ascii="Times New Roman" w:hAnsi="Times New Roman" w:cs="Times New Roman"/>
          <w:color w:val="auto"/>
          <w:sz w:val="24"/>
          <w:highlight w:val="none"/>
        </w:rPr>
        <w:t>。</w:t>
      </w:r>
    </w:p>
    <w:p w14:paraId="261D8BF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）村镇及道路系统</w:t>
      </w:r>
    </w:p>
    <w:p w14:paraId="3C723B7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该系统属人工引进拼块，系人工形成的景观，主要为规划区内的村庄、公路等，受人类生产、生活活动的干扰强烈，原生性的自然环境逐渐减少。本类生态系统受人的生产、生活规律控制，对区域生态环境质量也起着一定的作用。</w:t>
      </w:r>
    </w:p>
    <w:p w14:paraId="62DDBAD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总的说来，目前规划区域内生态系统构成，以林地生态系统</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草丛生态系统、农田生态系统相对面积较大，优势度最高，是区域内决定生态环境质量的重要组分，其生态环境状况的好坏直接决定区域生态体系的稳定性和环境质量的优劣。其次为水域系统</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村镇及道路系统</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湿地生态系统</w:t>
      </w:r>
      <w:r>
        <w:rPr>
          <w:rFonts w:hint="default" w:ascii="Times New Roman" w:hAnsi="Times New Roman" w:cs="Times New Roman"/>
          <w:color w:val="auto"/>
          <w:sz w:val="24"/>
          <w:highlight w:val="none"/>
        </w:rPr>
        <w:t>，为区域内具有生态环境质量调控能力的组分，其生态环境状况直接影响区域内生态体系的稳定性和环境质量的优劣，对维护区域生态环境质量起到一定作用。同时，村镇及道路系统等人工引进的生态系统拼块对区域生态环境也会产生一定的影响。总体评价，区域生态系统具有一定的稳定性，但受人为影响严重，随着人类的开发利用的加剧，区域生态体系对内外干扰的阻抗能力将减弱。</w:t>
      </w:r>
    </w:p>
    <w:p w14:paraId="6178F906">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土地利用现状</w:t>
      </w:r>
    </w:p>
    <w:p w14:paraId="32EDF73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评价范围内（规划区外延</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00m），用地类型主要为</w:t>
      </w:r>
      <w:r>
        <w:rPr>
          <w:rFonts w:hint="default" w:ascii="Times New Roman" w:hAnsi="Times New Roman" w:cs="Times New Roman"/>
          <w:color w:val="auto"/>
          <w:sz w:val="24"/>
          <w:highlight w:val="none"/>
          <w:lang w:val="en-US" w:eastAsia="zh-CN"/>
        </w:rPr>
        <w:t>林</w:t>
      </w:r>
      <w:r>
        <w:rPr>
          <w:rFonts w:hint="default" w:ascii="Times New Roman" w:hAnsi="Times New Roman" w:cs="Times New Roman"/>
          <w:color w:val="auto"/>
          <w:sz w:val="24"/>
          <w:highlight w:val="none"/>
        </w:rPr>
        <w:t>地，</w:t>
      </w:r>
      <w:r>
        <w:rPr>
          <w:rFonts w:hint="default" w:ascii="Times New Roman" w:hAnsi="Times New Roman" w:cs="Times New Roman"/>
          <w:color w:val="auto"/>
          <w:sz w:val="24"/>
          <w:highlight w:val="none"/>
          <w:lang w:val="en-US" w:eastAsia="zh-CN"/>
        </w:rPr>
        <w:t>耕</w:t>
      </w:r>
      <w:r>
        <w:rPr>
          <w:rFonts w:hint="default" w:ascii="Times New Roman" w:hAnsi="Times New Roman" w:cs="Times New Roman"/>
          <w:color w:val="auto"/>
          <w:sz w:val="24"/>
          <w:highlight w:val="none"/>
        </w:rPr>
        <w:t>地次之。具体情况见表3.4-</w:t>
      </w:r>
      <w:r>
        <w:rPr>
          <w:rFonts w:hint="default" w:ascii="Times New Roman" w:hAnsi="Times New Roman" w:cs="Times New Roman"/>
          <w:color w:val="auto"/>
          <w:sz w:val="24"/>
          <w:highlight w:val="none"/>
          <w:lang w:val="en-US" w:eastAsia="zh-CN"/>
        </w:rPr>
        <w:t>16</w:t>
      </w:r>
      <w:r>
        <w:rPr>
          <w:rFonts w:hint="default" w:ascii="Times New Roman" w:hAnsi="Times New Roman" w:cs="Times New Roman"/>
          <w:color w:val="auto"/>
          <w:sz w:val="24"/>
          <w:highlight w:val="none"/>
        </w:rPr>
        <w:t>。</w:t>
      </w:r>
    </w:p>
    <w:p w14:paraId="00F27345">
      <w:pPr>
        <w:pStyle w:val="666"/>
        <w:spacing w:line="360" w:lineRule="auto"/>
        <w:ind w:firstLine="0"/>
        <w:jc w:val="center"/>
        <w:rPr>
          <w:rFonts w:hint="default" w:ascii="Times New Roman" w:hAnsi="Times New Roman" w:eastAsia="黑体" w:cs="Times New Roman"/>
          <w:color w:val="auto"/>
          <w:kern w:val="0"/>
          <w:highlight w:val="none"/>
        </w:rPr>
      </w:pPr>
      <w:r>
        <w:rPr>
          <w:rFonts w:hint="default" w:ascii="Times New Roman" w:hAnsi="Times New Roman" w:eastAsia="黑体" w:cs="Times New Roman"/>
          <w:color w:val="auto"/>
          <w:kern w:val="0"/>
          <w:highlight w:val="none"/>
        </w:rPr>
        <w:t>表3.4-</w:t>
      </w:r>
      <w:r>
        <w:rPr>
          <w:rFonts w:hint="default" w:ascii="Times New Roman" w:hAnsi="Times New Roman" w:eastAsia="黑体" w:cs="Times New Roman"/>
          <w:color w:val="auto"/>
          <w:kern w:val="0"/>
          <w:highlight w:val="none"/>
          <w:lang w:val="en-US" w:eastAsia="zh-CN"/>
        </w:rPr>
        <w:t>16</w:t>
      </w:r>
      <w:r>
        <w:rPr>
          <w:rFonts w:hint="default" w:ascii="Times New Roman" w:hAnsi="Times New Roman" w:eastAsia="黑体" w:cs="Times New Roman"/>
          <w:color w:val="auto"/>
          <w:kern w:val="0"/>
          <w:highlight w:val="none"/>
        </w:rPr>
        <w:t xml:space="preserve">  评价区土地利用现状</w:t>
      </w:r>
    </w:p>
    <w:tbl>
      <w:tblPr>
        <w:tblStyle w:val="5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02"/>
        <w:gridCol w:w="2306"/>
        <w:gridCol w:w="2107"/>
        <w:gridCol w:w="915"/>
        <w:gridCol w:w="1469"/>
        <w:gridCol w:w="1065"/>
      </w:tblGrid>
      <w:tr w14:paraId="012B0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7" w:hRule="atLeast"/>
          <w:jc w:val="center"/>
        </w:trPr>
        <w:tc>
          <w:tcPr>
            <w:tcW w:w="615" w:type="pct"/>
            <w:vMerge w:val="restart"/>
            <w:tcBorders>
              <w:top w:val="single" w:color="000000" w:sz="4" w:space="0"/>
              <w:left w:val="single" w:color="000000" w:sz="4" w:space="0"/>
              <w:right w:val="single" w:color="000000" w:sz="4" w:space="0"/>
            </w:tcBorders>
            <w:shd w:val="clear" w:color="auto" w:fill="auto"/>
            <w:vAlign w:val="center"/>
          </w:tcPr>
          <w:p w14:paraId="55D8FEFE">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土地三大类</w:t>
            </w:r>
          </w:p>
        </w:tc>
        <w:tc>
          <w:tcPr>
            <w:tcW w:w="2971" w:type="pct"/>
            <w:gridSpan w:val="3"/>
            <w:vMerge w:val="restart"/>
            <w:tcBorders>
              <w:top w:val="single" w:color="000000" w:sz="4" w:space="0"/>
              <w:left w:val="single" w:color="000000" w:sz="4" w:space="0"/>
              <w:right w:val="single" w:color="000000" w:sz="4" w:space="0"/>
            </w:tcBorders>
            <w:shd w:val="clear" w:color="auto" w:fill="auto"/>
            <w:vAlign w:val="center"/>
          </w:tcPr>
          <w:p w14:paraId="493788BB">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名称</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73B8A">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现状</w:t>
            </w:r>
          </w:p>
        </w:tc>
      </w:tr>
      <w:tr w14:paraId="3B716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jc w:val="center"/>
        </w:trPr>
        <w:tc>
          <w:tcPr>
            <w:tcW w:w="615" w:type="pct"/>
            <w:vMerge w:val="continue"/>
            <w:tcBorders>
              <w:left w:val="single" w:color="000000" w:sz="4" w:space="0"/>
              <w:bottom w:val="single" w:color="000000" w:sz="4" w:space="0"/>
              <w:right w:val="single" w:color="000000" w:sz="4" w:space="0"/>
            </w:tcBorders>
            <w:shd w:val="clear" w:color="auto" w:fill="auto"/>
            <w:vAlign w:val="center"/>
          </w:tcPr>
          <w:p w14:paraId="0E9EF498">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2971" w:type="pct"/>
            <w:gridSpan w:val="3"/>
            <w:vMerge w:val="continue"/>
            <w:tcBorders>
              <w:left w:val="single" w:color="000000" w:sz="4" w:space="0"/>
              <w:bottom w:val="single" w:color="000000" w:sz="4" w:space="0"/>
              <w:right w:val="single" w:color="000000" w:sz="4" w:space="0"/>
            </w:tcBorders>
            <w:shd w:val="clear" w:color="auto" w:fill="auto"/>
            <w:vAlign w:val="center"/>
          </w:tcPr>
          <w:p w14:paraId="3B5DCC02">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F5ED0">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面积（h</w:t>
            </w:r>
            <w:r>
              <w:rPr>
                <w:rFonts w:hint="default" w:ascii="Times New Roman" w:hAnsi="Times New Roman" w:eastAsia="宋体" w:cs="Times New Roman"/>
                <w:color w:val="auto"/>
                <w:kern w:val="0"/>
                <w:szCs w:val="21"/>
                <w:highlight w:val="none"/>
                <w:lang w:val="en-US" w:eastAsia="zh-CN"/>
              </w:rPr>
              <w:t>m</w:t>
            </w:r>
            <w:r>
              <w:rPr>
                <w:rFonts w:hint="default" w:ascii="Times New Roman" w:hAnsi="Times New Roman" w:eastAsia="宋体" w:cs="Times New Roman"/>
                <w:color w:val="auto"/>
                <w:kern w:val="0"/>
                <w:szCs w:val="21"/>
                <w:highlight w:val="none"/>
                <w:vertAlign w:val="superscript"/>
                <w:lang w:val="en-US" w:eastAsia="zh-CN"/>
              </w:rPr>
              <w:t>2</w:t>
            </w:r>
            <w:r>
              <w:rPr>
                <w:rFonts w:hint="default" w:ascii="Times New Roman" w:hAnsi="Times New Roman" w:eastAsia="宋体" w:cs="Times New Roman"/>
                <w:color w:val="auto"/>
                <w:kern w:val="0"/>
                <w:szCs w:val="21"/>
                <w:highlight w:val="none"/>
              </w:rPr>
              <w:t>）</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A174C">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占比</w:t>
            </w:r>
          </w:p>
        </w:tc>
      </w:tr>
      <w:tr w14:paraId="63A82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6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C2C8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农用地</w:t>
            </w:r>
          </w:p>
        </w:tc>
        <w:tc>
          <w:tcPr>
            <w:tcW w:w="1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A373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耕地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B9C2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水浇地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AFA6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6227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58.46</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3443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8.58%</w:t>
            </w:r>
          </w:p>
        </w:tc>
      </w:tr>
      <w:tr w14:paraId="5703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B87DC">
            <w:pPr>
              <w:widowControl/>
              <w:jc w:val="center"/>
              <w:rPr>
                <w:rFonts w:hint="default" w:ascii="Times New Roman" w:hAnsi="Times New Roman" w:eastAsia="宋体" w:cs="Times New Roman"/>
                <w:color w:val="auto"/>
                <w:kern w:val="0"/>
                <w:szCs w:val="21"/>
                <w:highlight w:val="none"/>
              </w:rPr>
            </w:pPr>
          </w:p>
        </w:tc>
        <w:tc>
          <w:tcPr>
            <w:tcW w:w="1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144F1">
            <w:pPr>
              <w:widowControl/>
              <w:jc w:val="center"/>
              <w:rPr>
                <w:rFonts w:hint="default" w:ascii="Times New Roman" w:hAnsi="Times New Roman" w:eastAsia="宋体" w:cs="Times New Roman"/>
                <w:color w:val="auto"/>
                <w:kern w:val="0"/>
                <w:szCs w:val="21"/>
                <w:highlight w:val="none"/>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3F07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旱地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D029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1ADF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43.34</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619A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6.36%</w:t>
            </w:r>
          </w:p>
        </w:tc>
      </w:tr>
      <w:tr w14:paraId="09389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E6A54">
            <w:pPr>
              <w:widowControl/>
              <w:jc w:val="center"/>
              <w:rPr>
                <w:rFonts w:hint="default" w:ascii="Times New Roman" w:hAnsi="Times New Roman" w:eastAsia="宋体" w:cs="Times New Roman"/>
                <w:color w:val="auto"/>
                <w:kern w:val="0"/>
                <w:szCs w:val="21"/>
                <w:highlight w:val="none"/>
              </w:rPr>
            </w:pP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3444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园地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3570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果园</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AE9E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32A2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0.66</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A301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0.10%</w:t>
            </w:r>
          </w:p>
        </w:tc>
      </w:tr>
      <w:tr w14:paraId="22B3D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CE434">
            <w:pPr>
              <w:widowControl/>
              <w:jc w:val="center"/>
              <w:rPr>
                <w:rFonts w:hint="default" w:ascii="Times New Roman" w:hAnsi="Times New Roman" w:eastAsia="宋体" w:cs="Times New Roman"/>
                <w:color w:val="auto"/>
                <w:kern w:val="0"/>
                <w:szCs w:val="21"/>
                <w:highlight w:val="none"/>
              </w:rPr>
            </w:pPr>
          </w:p>
        </w:tc>
        <w:tc>
          <w:tcPr>
            <w:tcW w:w="1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F1F6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林地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6EF8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乔木林地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6F59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71E7C">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485.2</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F409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71.22%</w:t>
            </w:r>
          </w:p>
        </w:tc>
      </w:tr>
      <w:tr w14:paraId="0E0E5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3825A">
            <w:pPr>
              <w:widowControl/>
              <w:jc w:val="center"/>
              <w:rPr>
                <w:rFonts w:hint="default" w:ascii="Times New Roman" w:hAnsi="Times New Roman" w:eastAsia="宋体" w:cs="Times New Roman"/>
                <w:color w:val="auto"/>
                <w:kern w:val="0"/>
                <w:szCs w:val="21"/>
                <w:highlight w:val="none"/>
              </w:rPr>
            </w:pPr>
          </w:p>
        </w:tc>
        <w:tc>
          <w:tcPr>
            <w:tcW w:w="1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B8640">
            <w:pPr>
              <w:widowControl/>
              <w:jc w:val="center"/>
              <w:rPr>
                <w:rFonts w:hint="default" w:ascii="Times New Roman" w:hAnsi="Times New Roman" w:eastAsia="宋体" w:cs="Times New Roman"/>
                <w:color w:val="auto"/>
                <w:kern w:val="0"/>
                <w:szCs w:val="21"/>
                <w:highlight w:val="none"/>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E1F1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灌木林地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883C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46740">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14.59</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779F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2.14%</w:t>
            </w:r>
          </w:p>
        </w:tc>
      </w:tr>
      <w:tr w14:paraId="379F4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E2AD2">
            <w:pPr>
              <w:widowControl/>
              <w:jc w:val="center"/>
              <w:rPr>
                <w:rFonts w:hint="default" w:ascii="Times New Roman" w:hAnsi="Times New Roman" w:eastAsia="宋体" w:cs="Times New Roman"/>
                <w:color w:val="auto"/>
                <w:kern w:val="0"/>
                <w:szCs w:val="21"/>
                <w:highlight w:val="none"/>
              </w:rPr>
            </w:pPr>
          </w:p>
        </w:tc>
        <w:tc>
          <w:tcPr>
            <w:tcW w:w="1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031CC">
            <w:pPr>
              <w:widowControl/>
              <w:jc w:val="center"/>
              <w:rPr>
                <w:rFonts w:hint="default" w:ascii="Times New Roman" w:hAnsi="Times New Roman" w:eastAsia="宋体" w:cs="Times New Roman"/>
                <w:color w:val="auto"/>
                <w:kern w:val="0"/>
                <w:szCs w:val="21"/>
                <w:highlight w:val="none"/>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3DA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其他林地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009F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EFAE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0.63</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0E1F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0.09%</w:t>
            </w:r>
          </w:p>
        </w:tc>
      </w:tr>
      <w:tr w14:paraId="4B03C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97A01">
            <w:pPr>
              <w:widowControl/>
              <w:jc w:val="center"/>
              <w:rPr>
                <w:rFonts w:hint="default" w:ascii="Times New Roman" w:hAnsi="Times New Roman" w:eastAsia="宋体" w:cs="Times New Roman"/>
                <w:color w:val="auto"/>
                <w:kern w:val="0"/>
                <w:szCs w:val="21"/>
                <w:highlight w:val="none"/>
              </w:rPr>
            </w:pPr>
          </w:p>
        </w:tc>
        <w:tc>
          <w:tcPr>
            <w:tcW w:w="1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2C9B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草地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BE5D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天然牧草地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4225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C33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42.78</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7029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6.28%</w:t>
            </w:r>
          </w:p>
        </w:tc>
      </w:tr>
      <w:tr w14:paraId="1C37F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B0DCF">
            <w:pPr>
              <w:widowControl/>
              <w:jc w:val="center"/>
              <w:rPr>
                <w:rFonts w:hint="default" w:ascii="Times New Roman" w:hAnsi="Times New Roman" w:eastAsia="宋体" w:cs="Times New Roman"/>
                <w:color w:val="auto"/>
                <w:kern w:val="0"/>
                <w:szCs w:val="21"/>
                <w:highlight w:val="none"/>
              </w:rPr>
            </w:pPr>
          </w:p>
        </w:tc>
        <w:tc>
          <w:tcPr>
            <w:tcW w:w="1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6CFA9">
            <w:pPr>
              <w:widowControl/>
              <w:jc w:val="center"/>
              <w:rPr>
                <w:rFonts w:hint="default" w:ascii="Times New Roman" w:hAnsi="Times New Roman" w:eastAsia="宋体" w:cs="Times New Roman"/>
                <w:color w:val="auto"/>
                <w:kern w:val="0"/>
                <w:szCs w:val="21"/>
                <w:highlight w:val="none"/>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F540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其他草地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5EDC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ED57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0.23</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861C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r>
      <w:tr w14:paraId="5DCAE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4CEDD">
            <w:pPr>
              <w:widowControl/>
              <w:jc w:val="center"/>
              <w:rPr>
                <w:rFonts w:hint="default" w:ascii="Times New Roman" w:hAnsi="Times New Roman" w:eastAsia="宋体" w:cs="Times New Roman"/>
                <w:color w:val="auto"/>
                <w:kern w:val="0"/>
                <w:szCs w:val="21"/>
                <w:highlight w:val="none"/>
              </w:rPr>
            </w:pP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3597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湿地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FE3C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内陆滩涂</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5BE1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41C6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6.31</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FAEE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0.93%</w:t>
            </w:r>
          </w:p>
        </w:tc>
      </w:tr>
      <w:tr w14:paraId="4CDDF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3B9EB">
            <w:pPr>
              <w:widowControl/>
              <w:jc w:val="center"/>
              <w:rPr>
                <w:rFonts w:hint="default" w:ascii="Times New Roman" w:hAnsi="Times New Roman" w:eastAsia="宋体" w:cs="Times New Roman"/>
                <w:color w:val="auto"/>
                <w:kern w:val="0"/>
                <w:szCs w:val="21"/>
                <w:highlight w:val="none"/>
              </w:rPr>
            </w:pPr>
          </w:p>
        </w:tc>
        <w:tc>
          <w:tcPr>
            <w:tcW w:w="1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66086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农业设施建设用地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07EF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农村道路</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D2E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村道用地</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BDF0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3.44</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FCDF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0.50%</w:t>
            </w:r>
          </w:p>
        </w:tc>
      </w:tr>
      <w:tr w14:paraId="0B18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5F0A8">
            <w:pPr>
              <w:widowControl/>
              <w:jc w:val="center"/>
              <w:rPr>
                <w:rFonts w:hint="default" w:ascii="Times New Roman" w:hAnsi="Times New Roman" w:eastAsia="宋体" w:cs="Times New Roman"/>
                <w:color w:val="auto"/>
                <w:kern w:val="0"/>
                <w:szCs w:val="21"/>
                <w:highlight w:val="none"/>
              </w:rPr>
            </w:pPr>
          </w:p>
        </w:tc>
        <w:tc>
          <w:tcPr>
            <w:tcW w:w="1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F4905">
            <w:pPr>
              <w:widowControl/>
              <w:jc w:val="center"/>
              <w:rPr>
                <w:rFonts w:hint="default" w:ascii="Times New Roman" w:hAnsi="Times New Roman" w:eastAsia="宋体" w:cs="Times New Roman"/>
                <w:color w:val="auto"/>
                <w:kern w:val="0"/>
                <w:szCs w:val="21"/>
                <w:highlight w:val="none"/>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771A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设施农用地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72B4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3300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0.18</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4AD2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r>
      <w:tr w14:paraId="64515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78281">
            <w:pPr>
              <w:widowControl/>
              <w:jc w:val="center"/>
              <w:rPr>
                <w:rFonts w:hint="default" w:ascii="Times New Roman" w:hAnsi="Times New Roman" w:eastAsia="宋体" w:cs="Times New Roman"/>
                <w:color w:val="auto"/>
                <w:kern w:val="0"/>
                <w:szCs w:val="21"/>
                <w:highlight w:val="none"/>
              </w:rPr>
            </w:pPr>
          </w:p>
        </w:tc>
        <w:tc>
          <w:tcPr>
            <w:tcW w:w="297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49C19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农用地合计</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8C1A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655.82</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EBFD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96.26%</w:t>
            </w:r>
          </w:p>
        </w:tc>
      </w:tr>
      <w:tr w14:paraId="4319B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2A14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建设用地</w:t>
            </w:r>
          </w:p>
        </w:tc>
        <w:tc>
          <w:tcPr>
            <w:tcW w:w="1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93EAE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居住用地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88F1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农村宅基地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FDA0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7F15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4.82</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68D1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0.71%</w:t>
            </w:r>
          </w:p>
        </w:tc>
      </w:tr>
      <w:tr w14:paraId="7DC8F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5FAB9">
            <w:pPr>
              <w:widowControl/>
              <w:jc w:val="center"/>
              <w:rPr>
                <w:rFonts w:hint="default" w:ascii="Times New Roman" w:hAnsi="Times New Roman" w:eastAsia="宋体" w:cs="Times New Roman"/>
                <w:color w:val="auto"/>
                <w:kern w:val="0"/>
                <w:szCs w:val="21"/>
                <w:highlight w:val="none"/>
              </w:rPr>
            </w:pPr>
          </w:p>
        </w:tc>
        <w:tc>
          <w:tcPr>
            <w:tcW w:w="1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9016F">
            <w:pPr>
              <w:widowControl/>
              <w:jc w:val="center"/>
              <w:rPr>
                <w:rFonts w:hint="default" w:ascii="Times New Roman" w:hAnsi="Times New Roman" w:eastAsia="宋体" w:cs="Times New Roman"/>
                <w:color w:val="auto"/>
                <w:kern w:val="0"/>
                <w:szCs w:val="21"/>
                <w:highlight w:val="none"/>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5EE6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农村社区服务设施用地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90ED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0D4F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0.22</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149B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r>
      <w:tr w14:paraId="735BC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2BA2F">
            <w:pPr>
              <w:widowControl/>
              <w:jc w:val="center"/>
              <w:rPr>
                <w:rFonts w:hint="default" w:ascii="Times New Roman" w:hAnsi="Times New Roman" w:eastAsia="宋体" w:cs="Times New Roman"/>
                <w:color w:val="auto"/>
                <w:kern w:val="0"/>
                <w:szCs w:val="21"/>
                <w:highlight w:val="none"/>
              </w:rPr>
            </w:pPr>
          </w:p>
        </w:tc>
        <w:tc>
          <w:tcPr>
            <w:tcW w:w="1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FDDCF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公共管理与公共服务用地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642A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文化用地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BC25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9F07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0.02</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761B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0.00%</w:t>
            </w:r>
          </w:p>
        </w:tc>
      </w:tr>
      <w:tr w14:paraId="33F59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1A4FD">
            <w:pPr>
              <w:widowControl/>
              <w:jc w:val="center"/>
              <w:rPr>
                <w:rFonts w:hint="default" w:ascii="Times New Roman" w:hAnsi="Times New Roman" w:eastAsia="宋体" w:cs="Times New Roman"/>
                <w:color w:val="auto"/>
                <w:kern w:val="0"/>
                <w:szCs w:val="21"/>
                <w:highlight w:val="none"/>
              </w:rPr>
            </w:pPr>
          </w:p>
        </w:tc>
        <w:tc>
          <w:tcPr>
            <w:tcW w:w="1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4A489">
            <w:pPr>
              <w:widowControl/>
              <w:jc w:val="center"/>
              <w:rPr>
                <w:rFonts w:hint="default" w:ascii="Times New Roman" w:hAnsi="Times New Roman" w:eastAsia="宋体" w:cs="Times New Roman"/>
                <w:color w:val="auto"/>
                <w:kern w:val="0"/>
                <w:szCs w:val="21"/>
                <w:highlight w:val="none"/>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53DA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体育用地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515E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DF60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0.07</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24B0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0.01%</w:t>
            </w:r>
          </w:p>
        </w:tc>
      </w:tr>
      <w:tr w14:paraId="42E16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63D7C">
            <w:pPr>
              <w:widowControl/>
              <w:jc w:val="center"/>
              <w:rPr>
                <w:rFonts w:hint="default" w:ascii="Times New Roman" w:hAnsi="Times New Roman" w:eastAsia="宋体" w:cs="Times New Roman"/>
                <w:color w:val="auto"/>
                <w:kern w:val="0"/>
                <w:szCs w:val="21"/>
                <w:highlight w:val="none"/>
              </w:rPr>
            </w:pP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F691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商业服务业用地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0C93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商业用地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9F9B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456F2">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4.58</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988F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0.67%</w:t>
            </w:r>
          </w:p>
        </w:tc>
      </w:tr>
      <w:tr w14:paraId="6CB3A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6C05A">
            <w:pPr>
              <w:widowControl/>
              <w:jc w:val="center"/>
              <w:rPr>
                <w:rFonts w:hint="default" w:ascii="Times New Roman" w:hAnsi="Times New Roman" w:eastAsia="宋体" w:cs="Times New Roman"/>
                <w:color w:val="auto"/>
                <w:kern w:val="0"/>
                <w:szCs w:val="21"/>
                <w:highlight w:val="none"/>
              </w:rPr>
            </w:pPr>
          </w:p>
        </w:tc>
        <w:tc>
          <w:tcPr>
            <w:tcW w:w="1286" w:type="pct"/>
            <w:vMerge w:val="restart"/>
            <w:tcBorders>
              <w:top w:val="single" w:color="000000" w:sz="4" w:space="0"/>
              <w:left w:val="single" w:color="000000" w:sz="4" w:space="0"/>
              <w:right w:val="single" w:color="000000" w:sz="4" w:space="0"/>
            </w:tcBorders>
            <w:shd w:val="clear" w:color="auto" w:fill="auto"/>
            <w:vAlign w:val="center"/>
          </w:tcPr>
          <w:p w14:paraId="485B328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交通运输用地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2281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公路用地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672F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9140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3.84</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EFCD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0.56%</w:t>
            </w:r>
          </w:p>
        </w:tc>
      </w:tr>
      <w:tr w14:paraId="2E471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031CD">
            <w:pPr>
              <w:widowControl/>
              <w:jc w:val="center"/>
              <w:rPr>
                <w:rFonts w:hint="default" w:ascii="Times New Roman" w:hAnsi="Times New Roman" w:eastAsia="宋体" w:cs="Times New Roman"/>
                <w:color w:val="auto"/>
                <w:kern w:val="0"/>
                <w:szCs w:val="21"/>
                <w:highlight w:val="none"/>
              </w:rPr>
            </w:pPr>
          </w:p>
        </w:tc>
        <w:tc>
          <w:tcPr>
            <w:tcW w:w="1286" w:type="pct"/>
            <w:vMerge w:val="continue"/>
            <w:tcBorders>
              <w:left w:val="single" w:color="000000" w:sz="4" w:space="0"/>
              <w:right w:val="single" w:color="000000" w:sz="4" w:space="0"/>
            </w:tcBorders>
            <w:shd w:val="clear" w:color="auto" w:fill="auto"/>
            <w:vAlign w:val="center"/>
          </w:tcPr>
          <w:p w14:paraId="356EF294">
            <w:pPr>
              <w:widowControl/>
              <w:jc w:val="center"/>
              <w:rPr>
                <w:rFonts w:hint="default" w:ascii="Times New Roman" w:hAnsi="Times New Roman" w:eastAsia="宋体" w:cs="Times New Roman"/>
                <w:color w:val="auto"/>
                <w:kern w:val="0"/>
                <w:szCs w:val="21"/>
                <w:highlight w:val="none"/>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B7FE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城镇村道路用地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E782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2FB6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0.07</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D857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0.01%</w:t>
            </w:r>
          </w:p>
        </w:tc>
      </w:tr>
      <w:tr w14:paraId="4589D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5AA79">
            <w:pPr>
              <w:widowControl/>
              <w:jc w:val="center"/>
              <w:rPr>
                <w:rFonts w:hint="default" w:ascii="Times New Roman" w:hAnsi="Times New Roman" w:eastAsia="宋体" w:cs="Times New Roman"/>
                <w:color w:val="auto"/>
                <w:kern w:val="0"/>
                <w:szCs w:val="21"/>
                <w:highlight w:val="none"/>
              </w:rPr>
            </w:pPr>
          </w:p>
        </w:tc>
        <w:tc>
          <w:tcPr>
            <w:tcW w:w="1286" w:type="pct"/>
            <w:vMerge w:val="continue"/>
            <w:tcBorders>
              <w:left w:val="single" w:color="000000" w:sz="4" w:space="0"/>
              <w:bottom w:val="single" w:color="000000" w:sz="4" w:space="0"/>
              <w:right w:val="single" w:color="000000" w:sz="4" w:space="0"/>
            </w:tcBorders>
            <w:shd w:val="clear" w:color="auto" w:fill="auto"/>
            <w:vAlign w:val="center"/>
          </w:tcPr>
          <w:p w14:paraId="625F599B">
            <w:pPr>
              <w:widowControl/>
              <w:jc w:val="center"/>
              <w:rPr>
                <w:rFonts w:hint="default" w:ascii="Times New Roman" w:hAnsi="Times New Roman" w:eastAsia="宋体" w:cs="Times New Roman"/>
                <w:color w:val="auto"/>
                <w:kern w:val="0"/>
                <w:szCs w:val="21"/>
                <w:highlight w:val="none"/>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A379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交通场站用地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7D7FA">
            <w:pPr>
              <w:widowControl/>
              <w:jc w:val="center"/>
              <w:rPr>
                <w:rFonts w:hint="default" w:ascii="Times New Roman" w:hAnsi="Times New Roman" w:eastAsia="宋体" w:cs="Times New Roman"/>
                <w:color w:val="auto"/>
                <w:kern w:val="0"/>
                <w:szCs w:val="21"/>
                <w:highlight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7AC53">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0.29</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A6D5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0.04%</w:t>
            </w:r>
          </w:p>
        </w:tc>
      </w:tr>
      <w:tr w14:paraId="253E9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04617">
            <w:pPr>
              <w:widowControl/>
              <w:jc w:val="center"/>
              <w:rPr>
                <w:rFonts w:hint="default" w:ascii="Times New Roman" w:hAnsi="Times New Roman" w:eastAsia="宋体" w:cs="Times New Roman"/>
                <w:color w:val="auto"/>
                <w:kern w:val="0"/>
                <w:szCs w:val="21"/>
                <w:highlight w:val="none"/>
              </w:rPr>
            </w:pP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F417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公用设施用地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0BFA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环卫用地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E143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2D2D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0.19</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F18E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r>
      <w:tr w14:paraId="591AD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3AA8E">
            <w:pPr>
              <w:widowControl/>
              <w:jc w:val="center"/>
              <w:rPr>
                <w:rFonts w:hint="default" w:ascii="Times New Roman" w:hAnsi="Times New Roman" w:eastAsia="宋体" w:cs="Times New Roman"/>
                <w:color w:val="auto"/>
                <w:kern w:val="0"/>
                <w:szCs w:val="21"/>
                <w:highlight w:val="none"/>
              </w:rPr>
            </w:pP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EA15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绿地与开敞空间用地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53DB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防护绿地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BF46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ED35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AD53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0.00%</w:t>
            </w:r>
          </w:p>
        </w:tc>
      </w:tr>
      <w:tr w14:paraId="3B3F2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A5554">
            <w:pPr>
              <w:widowControl/>
              <w:jc w:val="center"/>
              <w:rPr>
                <w:rFonts w:hint="default" w:ascii="Times New Roman" w:hAnsi="Times New Roman" w:eastAsia="宋体" w:cs="Times New Roman"/>
                <w:color w:val="auto"/>
                <w:kern w:val="0"/>
                <w:szCs w:val="21"/>
                <w:highlight w:val="none"/>
              </w:rPr>
            </w:pP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9615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特殊用地</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758B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BE98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F7E1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2.18</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D1C6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0.32%</w:t>
            </w:r>
          </w:p>
        </w:tc>
      </w:tr>
      <w:tr w14:paraId="761DD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AAD08">
            <w:pPr>
              <w:widowControl/>
              <w:jc w:val="center"/>
              <w:rPr>
                <w:rFonts w:hint="default" w:ascii="Times New Roman" w:hAnsi="Times New Roman" w:eastAsia="宋体" w:cs="Times New Roman"/>
                <w:color w:val="auto"/>
                <w:kern w:val="0"/>
                <w:szCs w:val="21"/>
                <w:highlight w:val="none"/>
              </w:rPr>
            </w:pPr>
          </w:p>
        </w:tc>
        <w:tc>
          <w:tcPr>
            <w:tcW w:w="297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3DD40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建设用地合计</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F34E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16.28</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0DF0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2.39%</w:t>
            </w:r>
          </w:p>
        </w:tc>
      </w:tr>
      <w:tr w14:paraId="26EB4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96E1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未利用地</w:t>
            </w:r>
          </w:p>
        </w:tc>
        <w:tc>
          <w:tcPr>
            <w:tcW w:w="1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038F5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陆地水域</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1D3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河流水面</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D6AF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7ECE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8.52</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062B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1.25%</w:t>
            </w:r>
          </w:p>
        </w:tc>
      </w:tr>
      <w:tr w14:paraId="7B38A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35607">
            <w:pPr>
              <w:widowControl/>
              <w:jc w:val="center"/>
              <w:rPr>
                <w:rFonts w:hint="default" w:ascii="Times New Roman" w:hAnsi="Times New Roman" w:eastAsia="宋体" w:cs="Times New Roman"/>
                <w:color w:val="auto"/>
                <w:kern w:val="0"/>
                <w:szCs w:val="21"/>
                <w:highlight w:val="none"/>
              </w:rPr>
            </w:pPr>
          </w:p>
        </w:tc>
        <w:tc>
          <w:tcPr>
            <w:tcW w:w="1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EDA99">
            <w:pPr>
              <w:widowControl/>
              <w:jc w:val="center"/>
              <w:rPr>
                <w:rFonts w:hint="default" w:ascii="Times New Roman" w:hAnsi="Times New Roman" w:eastAsia="宋体" w:cs="Times New Roman"/>
                <w:color w:val="auto"/>
                <w:kern w:val="0"/>
                <w:szCs w:val="21"/>
                <w:highlight w:val="none"/>
              </w:rPr>
            </w:pP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466B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坑塘水面</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444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B3BC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0.68</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8540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0.10%</w:t>
            </w:r>
          </w:p>
        </w:tc>
      </w:tr>
      <w:tr w14:paraId="0109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8AE39">
            <w:pPr>
              <w:widowControl/>
              <w:jc w:val="center"/>
              <w:rPr>
                <w:rFonts w:hint="default" w:ascii="Times New Roman" w:hAnsi="Times New Roman" w:eastAsia="宋体" w:cs="Times New Roman"/>
                <w:color w:val="auto"/>
                <w:kern w:val="0"/>
                <w:szCs w:val="21"/>
                <w:highlight w:val="none"/>
              </w:rPr>
            </w:pPr>
          </w:p>
        </w:tc>
        <w:tc>
          <w:tcPr>
            <w:tcW w:w="1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9EE2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未利用地合计</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189C3">
            <w:pPr>
              <w:widowControl/>
              <w:jc w:val="center"/>
              <w:rPr>
                <w:rFonts w:hint="default" w:ascii="Times New Roman" w:hAnsi="Times New Roman" w:eastAsia="宋体" w:cs="Times New Roman"/>
                <w:color w:val="auto"/>
                <w:kern w:val="0"/>
                <w:szCs w:val="21"/>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69E8B">
            <w:pPr>
              <w:widowControl/>
              <w:jc w:val="center"/>
              <w:rPr>
                <w:rFonts w:hint="default" w:ascii="Times New Roman" w:hAnsi="Times New Roman" w:eastAsia="宋体" w:cs="Times New Roman"/>
                <w:color w:val="auto"/>
                <w:kern w:val="0"/>
                <w:szCs w:val="21"/>
                <w:highlight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EF8F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 xml:space="preserve">9.20 </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DBEA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1.35%</w:t>
            </w:r>
          </w:p>
        </w:tc>
      </w:tr>
      <w:tr w14:paraId="18BC9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jc w:val="center"/>
        </w:trPr>
        <w:tc>
          <w:tcPr>
            <w:tcW w:w="358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C4087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总计</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8759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681.3</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DDC5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100.00%</w:t>
            </w:r>
          </w:p>
        </w:tc>
      </w:tr>
    </w:tbl>
    <w:p w14:paraId="3557A08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植被和植物资源现状</w:t>
      </w:r>
    </w:p>
    <w:p w14:paraId="6C39678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评价区植被类型主要为灌草丛植被、农田栽培植被、</w:t>
      </w:r>
      <w:r>
        <w:rPr>
          <w:rFonts w:hint="default" w:ascii="Times New Roman" w:hAnsi="Times New Roman" w:cs="Times New Roman"/>
          <w:color w:val="auto"/>
          <w:sz w:val="24"/>
          <w:highlight w:val="none"/>
          <w:lang w:val="en-US" w:eastAsia="zh-CN"/>
        </w:rPr>
        <w:t>落叶</w:t>
      </w:r>
      <w:r>
        <w:rPr>
          <w:rFonts w:hint="default" w:ascii="Times New Roman" w:hAnsi="Times New Roman" w:cs="Times New Roman"/>
          <w:color w:val="auto"/>
          <w:sz w:val="24"/>
          <w:highlight w:val="none"/>
        </w:rPr>
        <w:t>阔叶林植被。具体情况见附图。</w:t>
      </w:r>
    </w:p>
    <w:p w14:paraId="6EB8A2F7">
      <w:pPr>
        <w:pStyle w:val="666"/>
        <w:spacing w:line="360" w:lineRule="auto"/>
        <w:ind w:firstLine="0"/>
        <w:jc w:val="center"/>
        <w:rPr>
          <w:rFonts w:hint="default" w:ascii="Times New Roman" w:hAnsi="Times New Roman" w:eastAsia="黑体" w:cs="Times New Roman"/>
          <w:color w:val="auto"/>
          <w:kern w:val="0"/>
          <w:highlight w:val="none"/>
        </w:rPr>
      </w:pPr>
      <w:r>
        <w:rPr>
          <w:rFonts w:hint="default" w:ascii="Times New Roman" w:hAnsi="Times New Roman" w:eastAsia="黑体" w:cs="Times New Roman"/>
          <w:color w:val="auto"/>
          <w:kern w:val="0"/>
          <w:highlight w:val="none"/>
        </w:rPr>
        <w:t>表3.4-</w:t>
      </w:r>
      <w:r>
        <w:rPr>
          <w:rFonts w:hint="default" w:ascii="Times New Roman" w:hAnsi="Times New Roman" w:eastAsia="黑体" w:cs="Times New Roman"/>
          <w:color w:val="auto"/>
          <w:kern w:val="0"/>
          <w:highlight w:val="none"/>
          <w:lang w:val="en-US" w:eastAsia="zh-CN"/>
        </w:rPr>
        <w:t>17</w:t>
      </w:r>
      <w:r>
        <w:rPr>
          <w:rFonts w:hint="default" w:ascii="Times New Roman" w:hAnsi="Times New Roman" w:eastAsia="黑体" w:cs="Times New Roman"/>
          <w:color w:val="auto"/>
          <w:kern w:val="0"/>
          <w:highlight w:val="none"/>
        </w:rPr>
        <w:t xml:space="preserve">  评价区与规划区主要植被类型</w:t>
      </w:r>
    </w:p>
    <w:tbl>
      <w:tblPr>
        <w:tblStyle w:val="58"/>
        <w:tblW w:w="5000" w:type="pct"/>
        <w:tblInd w:w="0" w:type="dxa"/>
        <w:tblLayout w:type="autofit"/>
        <w:tblCellMar>
          <w:top w:w="0" w:type="dxa"/>
          <w:left w:w="108" w:type="dxa"/>
          <w:bottom w:w="0" w:type="dxa"/>
          <w:right w:w="108" w:type="dxa"/>
        </w:tblCellMar>
      </w:tblPr>
      <w:tblGrid>
        <w:gridCol w:w="1686"/>
        <w:gridCol w:w="1476"/>
        <w:gridCol w:w="1393"/>
        <w:gridCol w:w="1441"/>
        <w:gridCol w:w="1003"/>
        <w:gridCol w:w="1118"/>
        <w:gridCol w:w="1057"/>
      </w:tblGrid>
      <w:tr w14:paraId="48301779">
        <w:tblPrEx>
          <w:tblCellMar>
            <w:top w:w="0" w:type="dxa"/>
            <w:left w:w="108" w:type="dxa"/>
            <w:bottom w:w="0" w:type="dxa"/>
            <w:right w:w="108" w:type="dxa"/>
          </w:tblCellMar>
        </w:tblPrEx>
        <w:trPr>
          <w:trHeight w:val="318" w:hRule="atLeast"/>
        </w:trPr>
        <w:tc>
          <w:tcPr>
            <w:tcW w:w="918"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73A87675">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植被类型</w:t>
            </w:r>
          </w:p>
        </w:tc>
        <w:tc>
          <w:tcPr>
            <w:tcW w:w="2349" w:type="pct"/>
            <w:gridSpan w:val="3"/>
            <w:tcBorders>
              <w:top w:val="single" w:color="auto" w:sz="4" w:space="0"/>
              <w:left w:val="nil"/>
              <w:bottom w:val="single" w:color="auto" w:sz="4" w:space="0"/>
              <w:right w:val="single" w:color="auto" w:sz="4" w:space="0"/>
            </w:tcBorders>
            <w:shd w:val="clear" w:color="auto" w:fill="auto"/>
            <w:noWrap/>
            <w:vAlign w:val="center"/>
          </w:tcPr>
          <w:p w14:paraId="13000A06">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评价范围</w:t>
            </w:r>
          </w:p>
        </w:tc>
        <w:tc>
          <w:tcPr>
            <w:tcW w:w="1732" w:type="pct"/>
            <w:gridSpan w:val="3"/>
            <w:tcBorders>
              <w:top w:val="single" w:color="auto" w:sz="4" w:space="0"/>
              <w:left w:val="nil"/>
              <w:bottom w:val="single" w:color="auto" w:sz="4" w:space="0"/>
              <w:right w:val="single" w:color="auto" w:sz="4" w:space="0"/>
            </w:tcBorders>
          </w:tcPr>
          <w:p w14:paraId="2B58F2FF">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规划区</w:t>
            </w:r>
          </w:p>
        </w:tc>
      </w:tr>
      <w:tr w14:paraId="08E2C196">
        <w:tblPrEx>
          <w:tblCellMar>
            <w:top w:w="0" w:type="dxa"/>
            <w:left w:w="108" w:type="dxa"/>
            <w:bottom w:w="0" w:type="dxa"/>
            <w:right w:w="108" w:type="dxa"/>
          </w:tblCellMar>
        </w:tblPrEx>
        <w:trPr>
          <w:trHeight w:val="318" w:hRule="atLeast"/>
        </w:trPr>
        <w:tc>
          <w:tcPr>
            <w:tcW w:w="918" w:type="pct"/>
            <w:vMerge w:val="continue"/>
            <w:tcBorders>
              <w:top w:val="single" w:color="auto" w:sz="4" w:space="0"/>
              <w:left w:val="single" w:color="auto" w:sz="4" w:space="0"/>
              <w:bottom w:val="single" w:color="000000" w:sz="4" w:space="0"/>
              <w:right w:val="single" w:color="auto" w:sz="4" w:space="0"/>
            </w:tcBorders>
            <w:vAlign w:val="center"/>
          </w:tcPr>
          <w:p w14:paraId="43DDB3B7">
            <w:pPr>
              <w:widowControl/>
              <w:jc w:val="center"/>
              <w:rPr>
                <w:rFonts w:hint="default" w:ascii="Times New Roman" w:hAnsi="Times New Roman" w:cs="Times New Roman"/>
                <w:color w:val="auto"/>
                <w:kern w:val="0"/>
                <w:szCs w:val="21"/>
                <w:highlight w:val="none"/>
              </w:rPr>
            </w:pPr>
          </w:p>
        </w:tc>
        <w:tc>
          <w:tcPr>
            <w:tcW w:w="804" w:type="pct"/>
            <w:tcBorders>
              <w:top w:val="nil"/>
              <w:left w:val="nil"/>
              <w:bottom w:val="single" w:color="auto" w:sz="4" w:space="0"/>
              <w:right w:val="single" w:color="auto" w:sz="4" w:space="0"/>
            </w:tcBorders>
            <w:shd w:val="clear" w:color="auto" w:fill="auto"/>
            <w:noWrap/>
            <w:vAlign w:val="center"/>
          </w:tcPr>
          <w:p w14:paraId="1D40742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斑块数（块）</w:t>
            </w:r>
          </w:p>
        </w:tc>
        <w:tc>
          <w:tcPr>
            <w:tcW w:w="759" w:type="pct"/>
            <w:tcBorders>
              <w:top w:val="nil"/>
              <w:left w:val="nil"/>
              <w:bottom w:val="single" w:color="auto" w:sz="4" w:space="0"/>
              <w:right w:val="single" w:color="auto" w:sz="4" w:space="0"/>
            </w:tcBorders>
            <w:shd w:val="clear" w:color="auto" w:fill="auto"/>
            <w:noWrap/>
            <w:vAlign w:val="center"/>
          </w:tcPr>
          <w:p w14:paraId="2BFF17D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面积（hm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785" w:type="pct"/>
            <w:tcBorders>
              <w:top w:val="nil"/>
              <w:left w:val="nil"/>
              <w:bottom w:val="single" w:color="auto" w:sz="4" w:space="0"/>
              <w:right w:val="single" w:color="auto" w:sz="4" w:space="0"/>
            </w:tcBorders>
            <w:shd w:val="clear" w:color="auto" w:fill="auto"/>
            <w:noWrap/>
            <w:vAlign w:val="center"/>
          </w:tcPr>
          <w:p w14:paraId="34D79E5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百分比（%）</w:t>
            </w:r>
          </w:p>
        </w:tc>
        <w:tc>
          <w:tcPr>
            <w:tcW w:w="547" w:type="pct"/>
            <w:tcBorders>
              <w:top w:val="nil"/>
              <w:left w:val="nil"/>
              <w:bottom w:val="single" w:color="auto" w:sz="4" w:space="0"/>
              <w:right w:val="single" w:color="auto" w:sz="4" w:space="0"/>
            </w:tcBorders>
            <w:vAlign w:val="center"/>
          </w:tcPr>
          <w:p w14:paraId="679D058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斑块数（块）</w:t>
            </w:r>
          </w:p>
        </w:tc>
        <w:tc>
          <w:tcPr>
            <w:tcW w:w="609" w:type="pct"/>
            <w:tcBorders>
              <w:top w:val="nil"/>
              <w:left w:val="nil"/>
              <w:bottom w:val="single" w:color="auto" w:sz="4" w:space="0"/>
              <w:right w:val="single" w:color="auto" w:sz="4" w:space="0"/>
            </w:tcBorders>
            <w:vAlign w:val="center"/>
          </w:tcPr>
          <w:p w14:paraId="072D53F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面积（hm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574" w:type="pct"/>
            <w:tcBorders>
              <w:top w:val="nil"/>
              <w:left w:val="nil"/>
              <w:bottom w:val="single" w:color="auto" w:sz="4" w:space="0"/>
              <w:right w:val="single" w:color="auto" w:sz="4" w:space="0"/>
            </w:tcBorders>
            <w:vAlign w:val="center"/>
          </w:tcPr>
          <w:p w14:paraId="367C1E60">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百分比（%）</w:t>
            </w:r>
          </w:p>
        </w:tc>
      </w:tr>
      <w:tr w14:paraId="09FAA517">
        <w:tblPrEx>
          <w:tblCellMar>
            <w:top w:w="0" w:type="dxa"/>
            <w:left w:w="108" w:type="dxa"/>
            <w:bottom w:w="0" w:type="dxa"/>
            <w:right w:w="108" w:type="dxa"/>
          </w:tblCellMar>
        </w:tblPrEx>
        <w:trPr>
          <w:trHeight w:val="300" w:hRule="atLeast"/>
        </w:trPr>
        <w:tc>
          <w:tcPr>
            <w:tcW w:w="918" w:type="pct"/>
            <w:tcBorders>
              <w:top w:val="nil"/>
              <w:left w:val="single" w:color="auto" w:sz="4" w:space="0"/>
              <w:bottom w:val="single" w:color="auto" w:sz="4" w:space="0"/>
              <w:right w:val="single" w:color="auto" w:sz="4" w:space="0"/>
            </w:tcBorders>
            <w:shd w:val="clear" w:color="auto" w:fill="auto"/>
            <w:noWrap/>
            <w:vAlign w:val="center"/>
          </w:tcPr>
          <w:p w14:paraId="5E15AE3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落叶</w:t>
            </w:r>
            <w:r>
              <w:rPr>
                <w:rFonts w:hint="default" w:ascii="Times New Roman" w:hAnsi="Times New Roman" w:cs="Times New Roman"/>
                <w:color w:val="auto"/>
                <w:kern w:val="0"/>
                <w:szCs w:val="21"/>
                <w:highlight w:val="none"/>
              </w:rPr>
              <w:t>阔叶林植被</w:t>
            </w:r>
          </w:p>
        </w:tc>
        <w:tc>
          <w:tcPr>
            <w:tcW w:w="804" w:type="pct"/>
            <w:tcBorders>
              <w:top w:val="nil"/>
              <w:left w:val="nil"/>
              <w:bottom w:val="single" w:color="auto" w:sz="4" w:space="0"/>
              <w:right w:val="single" w:color="auto" w:sz="4" w:space="0"/>
            </w:tcBorders>
            <w:shd w:val="clear" w:color="auto" w:fill="auto"/>
            <w:noWrap/>
            <w:vAlign w:val="center"/>
          </w:tcPr>
          <w:p w14:paraId="192A488A">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7</w:t>
            </w:r>
          </w:p>
        </w:tc>
        <w:tc>
          <w:tcPr>
            <w:tcW w:w="759" w:type="pct"/>
            <w:tcBorders>
              <w:top w:val="nil"/>
              <w:left w:val="nil"/>
              <w:bottom w:val="single" w:color="auto" w:sz="4" w:space="0"/>
              <w:right w:val="single" w:color="auto" w:sz="4" w:space="0"/>
            </w:tcBorders>
            <w:shd w:val="clear" w:color="auto" w:fill="auto"/>
            <w:noWrap/>
            <w:vAlign w:val="center"/>
          </w:tcPr>
          <w:p w14:paraId="142ED66E">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 xml:space="preserve">51.34 </w:t>
            </w:r>
          </w:p>
        </w:tc>
        <w:tc>
          <w:tcPr>
            <w:tcW w:w="785" w:type="pct"/>
            <w:tcBorders>
              <w:top w:val="nil"/>
              <w:left w:val="nil"/>
              <w:bottom w:val="single" w:color="auto" w:sz="4" w:space="0"/>
              <w:right w:val="single" w:color="auto" w:sz="4" w:space="0"/>
            </w:tcBorders>
            <w:shd w:val="clear" w:color="auto" w:fill="auto"/>
            <w:noWrap/>
            <w:vAlign w:val="center"/>
          </w:tcPr>
          <w:p w14:paraId="50A36A85">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6.84</w:t>
            </w:r>
          </w:p>
        </w:tc>
        <w:tc>
          <w:tcPr>
            <w:tcW w:w="547" w:type="pct"/>
            <w:tcBorders>
              <w:top w:val="nil"/>
              <w:left w:val="nil"/>
              <w:bottom w:val="single" w:color="auto" w:sz="4" w:space="0"/>
              <w:right w:val="single" w:color="auto" w:sz="4" w:space="0"/>
            </w:tcBorders>
            <w:shd w:val="clear" w:color="auto" w:fill="auto"/>
            <w:vAlign w:val="center"/>
          </w:tcPr>
          <w:p w14:paraId="73B6AFE1">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3</w:t>
            </w:r>
          </w:p>
        </w:tc>
        <w:tc>
          <w:tcPr>
            <w:tcW w:w="609" w:type="pct"/>
            <w:tcBorders>
              <w:top w:val="nil"/>
              <w:left w:val="nil"/>
              <w:bottom w:val="single" w:color="auto" w:sz="4" w:space="0"/>
              <w:right w:val="single" w:color="auto" w:sz="4" w:space="0"/>
            </w:tcBorders>
            <w:shd w:val="clear" w:color="auto" w:fill="auto"/>
            <w:vAlign w:val="center"/>
          </w:tcPr>
          <w:p w14:paraId="1D87210E">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3.82</w:t>
            </w:r>
          </w:p>
        </w:tc>
        <w:tc>
          <w:tcPr>
            <w:tcW w:w="574" w:type="pct"/>
            <w:tcBorders>
              <w:top w:val="nil"/>
              <w:left w:val="nil"/>
              <w:bottom w:val="single" w:color="auto" w:sz="4" w:space="0"/>
              <w:right w:val="single" w:color="auto" w:sz="4" w:space="0"/>
            </w:tcBorders>
            <w:shd w:val="clear" w:color="auto" w:fill="auto"/>
            <w:vAlign w:val="center"/>
          </w:tcPr>
          <w:p w14:paraId="1C569521">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6.60</w:t>
            </w:r>
          </w:p>
        </w:tc>
      </w:tr>
      <w:tr w14:paraId="761659E3">
        <w:tblPrEx>
          <w:tblCellMar>
            <w:top w:w="0" w:type="dxa"/>
            <w:left w:w="108" w:type="dxa"/>
            <w:bottom w:w="0" w:type="dxa"/>
            <w:right w:w="108" w:type="dxa"/>
          </w:tblCellMar>
        </w:tblPrEx>
        <w:trPr>
          <w:trHeight w:val="300" w:hRule="atLeast"/>
        </w:trPr>
        <w:tc>
          <w:tcPr>
            <w:tcW w:w="918" w:type="pct"/>
            <w:tcBorders>
              <w:top w:val="nil"/>
              <w:left w:val="single" w:color="auto" w:sz="4" w:space="0"/>
              <w:bottom w:val="single" w:color="auto" w:sz="4" w:space="0"/>
              <w:right w:val="single" w:color="auto" w:sz="4" w:space="0"/>
            </w:tcBorders>
            <w:shd w:val="clear" w:color="auto" w:fill="auto"/>
            <w:noWrap/>
            <w:vAlign w:val="center"/>
          </w:tcPr>
          <w:p w14:paraId="654451C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灌草丛植被</w:t>
            </w:r>
          </w:p>
        </w:tc>
        <w:tc>
          <w:tcPr>
            <w:tcW w:w="804" w:type="pct"/>
            <w:tcBorders>
              <w:top w:val="nil"/>
              <w:left w:val="nil"/>
              <w:bottom w:val="single" w:color="auto" w:sz="4" w:space="0"/>
              <w:right w:val="single" w:color="auto" w:sz="4" w:space="0"/>
            </w:tcBorders>
            <w:shd w:val="clear" w:color="auto" w:fill="auto"/>
            <w:noWrap/>
            <w:vAlign w:val="center"/>
          </w:tcPr>
          <w:p w14:paraId="27D06AF1">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29</w:t>
            </w:r>
          </w:p>
        </w:tc>
        <w:tc>
          <w:tcPr>
            <w:tcW w:w="759" w:type="pct"/>
            <w:tcBorders>
              <w:top w:val="nil"/>
              <w:left w:val="nil"/>
              <w:bottom w:val="single" w:color="auto" w:sz="4" w:space="0"/>
              <w:right w:val="single" w:color="auto" w:sz="4" w:space="0"/>
            </w:tcBorders>
            <w:shd w:val="clear" w:color="auto" w:fill="auto"/>
            <w:noWrap/>
            <w:vAlign w:val="center"/>
          </w:tcPr>
          <w:p w14:paraId="286983D7">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371.99</w:t>
            </w:r>
          </w:p>
        </w:tc>
        <w:tc>
          <w:tcPr>
            <w:tcW w:w="785" w:type="pct"/>
            <w:tcBorders>
              <w:top w:val="nil"/>
              <w:left w:val="nil"/>
              <w:bottom w:val="single" w:color="auto" w:sz="4" w:space="0"/>
              <w:right w:val="single" w:color="auto" w:sz="4" w:space="0"/>
            </w:tcBorders>
            <w:shd w:val="clear" w:color="auto" w:fill="auto"/>
            <w:noWrap/>
            <w:vAlign w:val="center"/>
          </w:tcPr>
          <w:p w14:paraId="6A986C85">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49.56</w:t>
            </w:r>
          </w:p>
        </w:tc>
        <w:tc>
          <w:tcPr>
            <w:tcW w:w="547" w:type="pct"/>
            <w:tcBorders>
              <w:top w:val="nil"/>
              <w:left w:val="nil"/>
              <w:bottom w:val="single" w:color="auto" w:sz="4" w:space="0"/>
              <w:right w:val="single" w:color="auto" w:sz="4" w:space="0"/>
            </w:tcBorders>
            <w:shd w:val="clear" w:color="auto" w:fill="auto"/>
            <w:vAlign w:val="center"/>
          </w:tcPr>
          <w:p w14:paraId="43A9C186">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8</w:t>
            </w:r>
          </w:p>
        </w:tc>
        <w:tc>
          <w:tcPr>
            <w:tcW w:w="609" w:type="pct"/>
            <w:tcBorders>
              <w:top w:val="nil"/>
              <w:left w:val="nil"/>
              <w:bottom w:val="single" w:color="auto" w:sz="4" w:space="0"/>
              <w:right w:val="single" w:color="auto" w:sz="4" w:space="0"/>
            </w:tcBorders>
            <w:shd w:val="clear" w:color="auto" w:fill="auto"/>
            <w:vAlign w:val="center"/>
          </w:tcPr>
          <w:p w14:paraId="37F75D4C">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16.82</w:t>
            </w:r>
          </w:p>
        </w:tc>
        <w:tc>
          <w:tcPr>
            <w:tcW w:w="574" w:type="pct"/>
            <w:tcBorders>
              <w:top w:val="nil"/>
              <w:left w:val="nil"/>
              <w:bottom w:val="single" w:color="auto" w:sz="4" w:space="0"/>
              <w:right w:val="single" w:color="auto" w:sz="4" w:space="0"/>
            </w:tcBorders>
            <w:shd w:val="clear" w:color="auto" w:fill="auto"/>
            <w:vAlign w:val="center"/>
          </w:tcPr>
          <w:p w14:paraId="15EB85AA">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29.08</w:t>
            </w:r>
          </w:p>
        </w:tc>
      </w:tr>
      <w:tr w14:paraId="5CC90469">
        <w:tblPrEx>
          <w:tblCellMar>
            <w:top w:w="0" w:type="dxa"/>
            <w:left w:w="108" w:type="dxa"/>
            <w:bottom w:w="0" w:type="dxa"/>
            <w:right w:w="108" w:type="dxa"/>
          </w:tblCellMar>
        </w:tblPrEx>
        <w:trPr>
          <w:trHeight w:val="312" w:hRule="atLeast"/>
        </w:trPr>
        <w:tc>
          <w:tcPr>
            <w:tcW w:w="918" w:type="pct"/>
            <w:tcBorders>
              <w:top w:val="nil"/>
              <w:left w:val="single" w:color="auto" w:sz="4" w:space="0"/>
              <w:bottom w:val="single" w:color="auto" w:sz="4" w:space="0"/>
              <w:right w:val="single" w:color="auto" w:sz="4" w:space="0"/>
            </w:tcBorders>
            <w:shd w:val="clear" w:color="auto" w:fill="auto"/>
            <w:noWrap/>
            <w:vAlign w:val="center"/>
          </w:tcPr>
          <w:p w14:paraId="0EE67A6D">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农田栽培植被</w:t>
            </w:r>
          </w:p>
        </w:tc>
        <w:tc>
          <w:tcPr>
            <w:tcW w:w="804" w:type="pct"/>
            <w:tcBorders>
              <w:top w:val="nil"/>
              <w:left w:val="nil"/>
              <w:bottom w:val="single" w:color="auto" w:sz="4" w:space="0"/>
              <w:right w:val="single" w:color="auto" w:sz="4" w:space="0"/>
            </w:tcBorders>
            <w:shd w:val="clear" w:color="auto" w:fill="auto"/>
            <w:noWrap/>
            <w:vAlign w:val="center"/>
          </w:tcPr>
          <w:p w14:paraId="2C1AE297">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9</w:t>
            </w:r>
          </w:p>
        </w:tc>
        <w:tc>
          <w:tcPr>
            <w:tcW w:w="759" w:type="pct"/>
            <w:tcBorders>
              <w:top w:val="nil"/>
              <w:left w:val="nil"/>
              <w:bottom w:val="single" w:color="auto" w:sz="4" w:space="0"/>
              <w:right w:val="single" w:color="auto" w:sz="4" w:space="0"/>
            </w:tcBorders>
            <w:shd w:val="clear" w:color="auto" w:fill="auto"/>
            <w:noWrap/>
            <w:vAlign w:val="center"/>
          </w:tcPr>
          <w:p w14:paraId="5E1AB67B">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 xml:space="preserve">84.59 </w:t>
            </w:r>
          </w:p>
        </w:tc>
        <w:tc>
          <w:tcPr>
            <w:tcW w:w="785" w:type="pct"/>
            <w:tcBorders>
              <w:top w:val="nil"/>
              <w:left w:val="nil"/>
              <w:bottom w:val="single" w:color="auto" w:sz="4" w:space="0"/>
              <w:right w:val="single" w:color="auto" w:sz="4" w:space="0"/>
            </w:tcBorders>
            <w:shd w:val="clear" w:color="auto" w:fill="auto"/>
            <w:noWrap/>
            <w:vAlign w:val="center"/>
          </w:tcPr>
          <w:p w14:paraId="6B312684">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11.27</w:t>
            </w:r>
          </w:p>
        </w:tc>
        <w:tc>
          <w:tcPr>
            <w:tcW w:w="547" w:type="pct"/>
            <w:tcBorders>
              <w:top w:val="nil"/>
              <w:left w:val="nil"/>
              <w:bottom w:val="single" w:color="auto" w:sz="4" w:space="0"/>
              <w:right w:val="single" w:color="auto" w:sz="4" w:space="0"/>
            </w:tcBorders>
            <w:shd w:val="clear" w:color="auto" w:fill="auto"/>
            <w:vAlign w:val="center"/>
          </w:tcPr>
          <w:p w14:paraId="0C8F35B4">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5</w:t>
            </w:r>
          </w:p>
        </w:tc>
        <w:tc>
          <w:tcPr>
            <w:tcW w:w="609" w:type="pct"/>
            <w:tcBorders>
              <w:top w:val="nil"/>
              <w:left w:val="nil"/>
              <w:bottom w:val="single" w:color="auto" w:sz="4" w:space="0"/>
              <w:right w:val="single" w:color="auto" w:sz="4" w:space="0"/>
            </w:tcBorders>
            <w:shd w:val="clear" w:color="auto" w:fill="auto"/>
            <w:vAlign w:val="center"/>
          </w:tcPr>
          <w:p w14:paraId="6A0ADCD4">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4.41</w:t>
            </w:r>
          </w:p>
        </w:tc>
        <w:tc>
          <w:tcPr>
            <w:tcW w:w="574" w:type="pct"/>
            <w:tcBorders>
              <w:top w:val="nil"/>
              <w:left w:val="nil"/>
              <w:bottom w:val="single" w:color="auto" w:sz="4" w:space="0"/>
              <w:right w:val="single" w:color="auto" w:sz="4" w:space="0"/>
            </w:tcBorders>
            <w:shd w:val="clear" w:color="auto" w:fill="auto"/>
            <w:vAlign w:val="center"/>
          </w:tcPr>
          <w:p w14:paraId="687D3CFC">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7.61</w:t>
            </w:r>
          </w:p>
        </w:tc>
      </w:tr>
      <w:tr w14:paraId="6123810A">
        <w:tblPrEx>
          <w:tblCellMar>
            <w:top w:w="0" w:type="dxa"/>
            <w:left w:w="108" w:type="dxa"/>
            <w:bottom w:w="0" w:type="dxa"/>
            <w:right w:w="108" w:type="dxa"/>
          </w:tblCellMar>
        </w:tblPrEx>
        <w:trPr>
          <w:trHeight w:val="342" w:hRule="atLeast"/>
        </w:trPr>
        <w:tc>
          <w:tcPr>
            <w:tcW w:w="918" w:type="pct"/>
            <w:tcBorders>
              <w:top w:val="nil"/>
              <w:left w:val="single" w:color="auto" w:sz="4" w:space="0"/>
              <w:bottom w:val="single" w:color="auto" w:sz="4" w:space="0"/>
              <w:right w:val="single" w:color="auto" w:sz="4" w:space="0"/>
            </w:tcBorders>
            <w:shd w:val="clear" w:color="auto" w:fill="auto"/>
            <w:noWrap/>
            <w:vAlign w:val="center"/>
          </w:tcPr>
          <w:p w14:paraId="1156ACC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w:t>
            </w:r>
          </w:p>
        </w:tc>
        <w:tc>
          <w:tcPr>
            <w:tcW w:w="804" w:type="pct"/>
            <w:tcBorders>
              <w:top w:val="nil"/>
              <w:left w:val="nil"/>
              <w:bottom w:val="single" w:color="auto" w:sz="4" w:space="0"/>
              <w:right w:val="single" w:color="auto" w:sz="4" w:space="0"/>
            </w:tcBorders>
            <w:shd w:val="clear" w:color="auto" w:fill="auto"/>
            <w:noWrap/>
            <w:vAlign w:val="center"/>
          </w:tcPr>
          <w:p w14:paraId="6318F369">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67</w:t>
            </w:r>
          </w:p>
        </w:tc>
        <w:tc>
          <w:tcPr>
            <w:tcW w:w="759" w:type="pct"/>
            <w:tcBorders>
              <w:top w:val="nil"/>
              <w:left w:val="nil"/>
              <w:bottom w:val="single" w:color="auto" w:sz="4" w:space="0"/>
              <w:right w:val="single" w:color="auto" w:sz="4" w:space="0"/>
            </w:tcBorders>
            <w:shd w:val="clear" w:color="auto" w:fill="auto"/>
            <w:noWrap/>
            <w:vAlign w:val="center"/>
          </w:tcPr>
          <w:p w14:paraId="5F41DB27">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242.68</w:t>
            </w:r>
          </w:p>
        </w:tc>
        <w:tc>
          <w:tcPr>
            <w:tcW w:w="785" w:type="pct"/>
            <w:tcBorders>
              <w:top w:val="nil"/>
              <w:left w:val="nil"/>
              <w:bottom w:val="single" w:color="auto" w:sz="4" w:space="0"/>
              <w:right w:val="single" w:color="auto" w:sz="4" w:space="0"/>
            </w:tcBorders>
            <w:shd w:val="clear" w:color="auto" w:fill="auto"/>
            <w:noWrap/>
            <w:vAlign w:val="center"/>
          </w:tcPr>
          <w:p w14:paraId="68470374">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32.33</w:t>
            </w:r>
          </w:p>
        </w:tc>
        <w:tc>
          <w:tcPr>
            <w:tcW w:w="547" w:type="pct"/>
            <w:tcBorders>
              <w:top w:val="nil"/>
              <w:left w:val="nil"/>
              <w:bottom w:val="single" w:color="auto" w:sz="4" w:space="0"/>
              <w:right w:val="single" w:color="auto" w:sz="4" w:space="0"/>
            </w:tcBorders>
            <w:vAlign w:val="center"/>
          </w:tcPr>
          <w:p w14:paraId="07C04BE9">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24</w:t>
            </w:r>
          </w:p>
        </w:tc>
        <w:tc>
          <w:tcPr>
            <w:tcW w:w="1118" w:type="dxa"/>
            <w:tcBorders>
              <w:top w:val="nil"/>
              <w:left w:val="nil"/>
              <w:bottom w:val="single" w:color="auto" w:sz="4" w:space="0"/>
              <w:right w:val="single" w:color="auto" w:sz="4" w:space="0"/>
            </w:tcBorders>
            <w:vAlign w:val="center"/>
          </w:tcPr>
          <w:p w14:paraId="7790D702">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32.53</w:t>
            </w:r>
          </w:p>
        </w:tc>
        <w:tc>
          <w:tcPr>
            <w:tcW w:w="1057" w:type="dxa"/>
            <w:tcBorders>
              <w:top w:val="nil"/>
              <w:left w:val="nil"/>
              <w:bottom w:val="single" w:color="auto" w:sz="4" w:space="0"/>
              <w:right w:val="single" w:color="auto" w:sz="4" w:space="0"/>
            </w:tcBorders>
            <w:vAlign w:val="center"/>
          </w:tcPr>
          <w:p w14:paraId="7592342A">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56.71</w:t>
            </w:r>
          </w:p>
        </w:tc>
      </w:tr>
      <w:tr w14:paraId="205AC4E2">
        <w:tblPrEx>
          <w:tblCellMar>
            <w:top w:w="0" w:type="dxa"/>
            <w:left w:w="108" w:type="dxa"/>
            <w:bottom w:w="0" w:type="dxa"/>
            <w:right w:w="108" w:type="dxa"/>
          </w:tblCellMar>
        </w:tblPrEx>
        <w:trPr>
          <w:trHeight w:val="342" w:hRule="atLeast"/>
        </w:trPr>
        <w:tc>
          <w:tcPr>
            <w:tcW w:w="918" w:type="pct"/>
            <w:tcBorders>
              <w:top w:val="nil"/>
              <w:left w:val="single" w:color="auto" w:sz="4" w:space="0"/>
              <w:bottom w:val="single" w:color="auto" w:sz="4" w:space="0"/>
              <w:right w:val="single" w:color="auto" w:sz="4" w:space="0"/>
            </w:tcBorders>
            <w:shd w:val="clear" w:color="auto" w:fill="auto"/>
            <w:noWrap/>
            <w:vAlign w:val="center"/>
          </w:tcPr>
          <w:p w14:paraId="2AD5D74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合计</w:t>
            </w:r>
          </w:p>
        </w:tc>
        <w:tc>
          <w:tcPr>
            <w:tcW w:w="804" w:type="pct"/>
            <w:tcBorders>
              <w:top w:val="nil"/>
              <w:left w:val="nil"/>
              <w:bottom w:val="single" w:color="auto" w:sz="4" w:space="0"/>
              <w:right w:val="single" w:color="auto" w:sz="4" w:space="0"/>
            </w:tcBorders>
            <w:shd w:val="clear" w:color="auto" w:fill="auto"/>
            <w:noWrap/>
            <w:vAlign w:val="center"/>
          </w:tcPr>
          <w:p w14:paraId="0FE3B7E1">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112</w:t>
            </w:r>
          </w:p>
        </w:tc>
        <w:tc>
          <w:tcPr>
            <w:tcW w:w="759" w:type="pct"/>
            <w:tcBorders>
              <w:top w:val="nil"/>
              <w:left w:val="nil"/>
              <w:bottom w:val="single" w:color="auto" w:sz="4" w:space="0"/>
              <w:right w:val="single" w:color="auto" w:sz="4" w:space="0"/>
            </w:tcBorders>
            <w:shd w:val="clear" w:color="auto" w:fill="auto"/>
            <w:noWrap/>
            <w:vAlign w:val="center"/>
          </w:tcPr>
          <w:p w14:paraId="0BA9CCAD">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750.6</w:t>
            </w:r>
          </w:p>
        </w:tc>
        <w:tc>
          <w:tcPr>
            <w:tcW w:w="785" w:type="pct"/>
            <w:tcBorders>
              <w:top w:val="nil"/>
              <w:left w:val="nil"/>
              <w:bottom w:val="single" w:color="auto" w:sz="4" w:space="0"/>
              <w:right w:val="single" w:color="auto" w:sz="4" w:space="0"/>
            </w:tcBorders>
            <w:shd w:val="clear" w:color="auto" w:fill="auto"/>
            <w:noWrap/>
            <w:vAlign w:val="center"/>
          </w:tcPr>
          <w:p w14:paraId="3A2C6603">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100.00</w:t>
            </w:r>
          </w:p>
        </w:tc>
        <w:tc>
          <w:tcPr>
            <w:tcW w:w="547" w:type="pct"/>
            <w:tcBorders>
              <w:top w:val="nil"/>
              <w:left w:val="nil"/>
              <w:bottom w:val="single" w:color="auto" w:sz="4" w:space="0"/>
              <w:right w:val="single" w:color="auto" w:sz="4" w:space="0"/>
            </w:tcBorders>
            <w:shd w:val="clear" w:color="auto" w:fill="auto"/>
            <w:vAlign w:val="center"/>
          </w:tcPr>
          <w:p w14:paraId="74B7267A">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40</w:t>
            </w:r>
          </w:p>
        </w:tc>
        <w:tc>
          <w:tcPr>
            <w:tcW w:w="609" w:type="pct"/>
            <w:tcBorders>
              <w:top w:val="nil"/>
              <w:left w:val="nil"/>
              <w:bottom w:val="single" w:color="auto" w:sz="4" w:space="0"/>
              <w:right w:val="single" w:color="auto" w:sz="4" w:space="0"/>
            </w:tcBorders>
            <w:shd w:val="clear" w:color="auto" w:fill="auto"/>
            <w:vAlign w:val="center"/>
          </w:tcPr>
          <w:p w14:paraId="6993EF44">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57.58</w:t>
            </w:r>
          </w:p>
        </w:tc>
        <w:tc>
          <w:tcPr>
            <w:tcW w:w="574" w:type="pct"/>
            <w:tcBorders>
              <w:top w:val="nil"/>
              <w:left w:val="nil"/>
              <w:bottom w:val="single" w:color="auto" w:sz="4" w:space="0"/>
              <w:right w:val="single" w:color="auto" w:sz="4" w:space="0"/>
            </w:tcBorders>
            <w:shd w:val="clear" w:color="auto" w:fill="auto"/>
            <w:vAlign w:val="center"/>
          </w:tcPr>
          <w:p w14:paraId="3B400969">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100.00</w:t>
            </w:r>
          </w:p>
        </w:tc>
      </w:tr>
    </w:tbl>
    <w:p w14:paraId="37A9A344">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植物现状调查与评价</w:t>
      </w:r>
    </w:p>
    <w:p w14:paraId="2A9197A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（1）评价区植被分区</w:t>
      </w:r>
    </w:p>
    <w:p w14:paraId="744ED1B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西藏植被》的划分，项目区属于藏南山地灌丛草原区，地带性植被为温性中生灌丛草原。雅鲁藏布江自西而东横贯小区中部，是一个东西长而南北窄的河谷区。该区气候温暖，植被的突出特点是干暖河谷灌丛草原和亚高山灌丛草原最为发育。根据山体垂直高度变化分为：</w:t>
      </w:r>
    </w:p>
    <w:p w14:paraId="0FC4A99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高山寒漠植被，主要分布在南部海拔3700米山区，上连雪线，下连高山草甸，植被种类稀少，常见的有锦头风毛菊、雪莲花等。</w:t>
      </w:r>
    </w:p>
    <w:p w14:paraId="1860A0E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高山草甸植被，主要分布在海拔3200—3600米之间的山区。植被种类稀少，优势种中，草本有高山蒿草、线叶蒿草、短蒿草、圆蕙蓼、垫状点地梅等。另有少量龙胆、报春花等。灌木呈片状零星分布，有高山矮杜鹃、锦鸡儿和西基忍冬等。</w:t>
      </w:r>
    </w:p>
    <w:p w14:paraId="0CE375F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亚高山灌丛草甸植被，主要分布在北部海拔3100—3400米的山坡和西南海拔3100-3500米之间的山地，植被种类较多，有相当一部分一年生植物，双子叶植物也明显增多。在优势种中，草本有矮蒿草、线叶蒿草、罗氏蒿草等。灌木有高山柳、小叶杜鹃、大叶杜鹃、蔷薇、季柏、锦鸡儿等。此外，阳坡可见残存的大国圆柏疏林，阴坡有个别地段分布有经反复破坏的桦木林。</w:t>
      </w:r>
    </w:p>
    <w:p w14:paraId="246FE8B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山地草原植被，主要分布在南部3000-3400米之间的中部，上接高山草甸或灌丛草甸，向下过渡到灌丛草原。构成山地草原的优势植物有藏百蒿、沙蒿、三刺草等，草甸向草原过渡地带还有植物垫状点地梅、苔草，灌木有金腊梅、锦鸡儿、蒿属半灌木等。</w:t>
      </w:r>
    </w:p>
    <w:p w14:paraId="68CCFE0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灌木草原植被，主要分布在河流、溪沟两岸阶地及山麓洪积扇，海拔一般在3000米以下。主要植物成分，灌木有狼牙刺、野丁香，伴有二色锦鸡儿、蔷薇、小蘗，草本只有有三刺草、固沙草、囊苔草、二裂委陵菜等，伴有毛叶委陵菜、蒺藜、米口袋、直黄芪、毛瓣棘豆、麻黄、天南星等。</w:t>
      </w:r>
    </w:p>
    <w:p w14:paraId="41288BC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本植被区农业历史悠久，是西藏的重要粮食产区，主要的作物有小麦、青稞、豌豆、油菜等。小区内牧业比重较小，农区以役畜为主。在河谷绿洲、路旁宅院、林卡有人工栽植的柳、银白杨片林等。</w:t>
      </w:r>
    </w:p>
    <w:p w14:paraId="1574A8A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（2）植被类型</w:t>
      </w:r>
    </w:p>
    <w:p w14:paraId="787D29D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参考《中国植被》、《西藏植被》、《西藏植物志》，结合对评价区内现状植被中群落组成的建群种与优势种的外貌，以及群落的环境生态与地理分布特征等分析，将评价区自然植被划分为4个植被型，4个群系。</w:t>
      </w:r>
    </w:p>
    <w:p w14:paraId="41E0ED5B">
      <w:pPr>
        <w:pStyle w:val="666"/>
        <w:spacing w:line="360" w:lineRule="auto"/>
        <w:ind w:firstLine="0"/>
        <w:jc w:val="center"/>
        <w:rPr>
          <w:rFonts w:hint="default" w:ascii="Times New Roman" w:hAnsi="Times New Roman" w:eastAsia="黑体" w:cs="Times New Roman"/>
          <w:color w:val="auto"/>
          <w:kern w:val="0"/>
          <w:highlight w:val="none"/>
        </w:rPr>
      </w:pPr>
      <w:r>
        <w:rPr>
          <w:rFonts w:hint="default" w:ascii="Times New Roman" w:hAnsi="Times New Roman" w:eastAsia="黑体" w:cs="Times New Roman"/>
          <w:color w:val="auto"/>
          <w:kern w:val="0"/>
          <w:highlight w:val="none"/>
        </w:rPr>
        <w:t>表3.</w:t>
      </w:r>
      <w:r>
        <w:rPr>
          <w:rFonts w:hint="default" w:ascii="Times New Roman" w:hAnsi="Times New Roman" w:eastAsia="黑体" w:cs="Times New Roman"/>
          <w:color w:val="auto"/>
          <w:kern w:val="0"/>
          <w:highlight w:val="none"/>
          <w:lang w:val="en-US" w:eastAsia="zh-CN"/>
        </w:rPr>
        <w:t>4</w:t>
      </w:r>
      <w:r>
        <w:rPr>
          <w:rFonts w:hint="default" w:ascii="Times New Roman" w:hAnsi="Times New Roman" w:eastAsia="黑体" w:cs="Times New Roman"/>
          <w:color w:val="auto"/>
          <w:kern w:val="0"/>
          <w:highlight w:val="none"/>
        </w:rPr>
        <w:t>-</w:t>
      </w:r>
      <w:r>
        <w:rPr>
          <w:rFonts w:hint="default" w:ascii="Times New Roman" w:hAnsi="Times New Roman" w:eastAsia="黑体" w:cs="Times New Roman"/>
          <w:color w:val="auto"/>
          <w:kern w:val="0"/>
          <w:highlight w:val="none"/>
          <w:lang w:val="en-US" w:eastAsia="zh-CN"/>
        </w:rPr>
        <w:t>18</w:t>
      </w:r>
      <w:r>
        <w:rPr>
          <w:rFonts w:hint="default" w:ascii="Times New Roman" w:hAnsi="Times New Roman" w:eastAsia="黑体" w:cs="Times New Roman"/>
          <w:color w:val="auto"/>
          <w:kern w:val="0"/>
          <w:highlight w:val="none"/>
        </w:rPr>
        <w:t xml:space="preserve">   评价区植被类型</w:t>
      </w:r>
    </w:p>
    <w:tbl>
      <w:tblPr>
        <w:tblStyle w:val="5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88"/>
        <w:gridCol w:w="6486"/>
      </w:tblGrid>
      <w:tr w14:paraId="3FEEA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1465" w:type="pct"/>
            <w:tcBorders>
              <w:tl2br w:val="nil"/>
              <w:tr2bl w:val="nil"/>
            </w:tcBorders>
            <w:vAlign w:val="center"/>
          </w:tcPr>
          <w:p w14:paraId="5902876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植被型</w:t>
            </w:r>
          </w:p>
        </w:tc>
        <w:tc>
          <w:tcPr>
            <w:tcW w:w="3534" w:type="pct"/>
            <w:tcBorders>
              <w:tl2br w:val="nil"/>
              <w:tr2bl w:val="nil"/>
            </w:tcBorders>
            <w:vAlign w:val="center"/>
          </w:tcPr>
          <w:p w14:paraId="13A6A7E4">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群系</w:t>
            </w:r>
          </w:p>
        </w:tc>
      </w:tr>
      <w:tr w14:paraId="27C52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1465" w:type="pct"/>
            <w:tcBorders>
              <w:tl2br w:val="nil"/>
              <w:tr2bl w:val="nil"/>
            </w:tcBorders>
            <w:vAlign w:val="center"/>
          </w:tcPr>
          <w:p w14:paraId="1C89C1D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高寒草甸</w:t>
            </w:r>
          </w:p>
        </w:tc>
        <w:tc>
          <w:tcPr>
            <w:tcW w:w="3534" w:type="pct"/>
            <w:tcBorders>
              <w:tl2br w:val="nil"/>
              <w:tr2bl w:val="nil"/>
            </w:tcBorders>
            <w:vAlign w:val="center"/>
          </w:tcPr>
          <w:p w14:paraId="02B43840">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高山嵩草群落</w:t>
            </w:r>
          </w:p>
        </w:tc>
      </w:tr>
      <w:tr w14:paraId="77057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1465" w:type="pct"/>
            <w:tcBorders>
              <w:tl2br w:val="nil"/>
              <w:tr2bl w:val="nil"/>
            </w:tcBorders>
            <w:vAlign w:val="center"/>
          </w:tcPr>
          <w:p w14:paraId="4C92146D">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栽培植被</w:t>
            </w:r>
          </w:p>
        </w:tc>
        <w:tc>
          <w:tcPr>
            <w:tcW w:w="3534" w:type="pct"/>
            <w:tcBorders>
              <w:tl2br w:val="nil"/>
              <w:tr2bl w:val="nil"/>
            </w:tcBorders>
            <w:vAlign w:val="center"/>
          </w:tcPr>
          <w:p w14:paraId="25B4A69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青稞、豌豆、油菜</w:t>
            </w:r>
          </w:p>
        </w:tc>
      </w:tr>
      <w:tr w14:paraId="2827F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1465" w:type="pct"/>
            <w:tcBorders>
              <w:tl2br w:val="nil"/>
              <w:tr2bl w:val="nil"/>
            </w:tcBorders>
            <w:vAlign w:val="center"/>
          </w:tcPr>
          <w:p w14:paraId="0A201F9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落叶阔叶林</w:t>
            </w:r>
          </w:p>
        </w:tc>
        <w:tc>
          <w:tcPr>
            <w:tcW w:w="3534" w:type="pct"/>
            <w:tcBorders>
              <w:tl2br w:val="nil"/>
              <w:tr2bl w:val="nil"/>
            </w:tcBorders>
            <w:vAlign w:val="center"/>
          </w:tcPr>
          <w:p w14:paraId="18B0627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人工林群落</w:t>
            </w:r>
          </w:p>
        </w:tc>
      </w:tr>
    </w:tbl>
    <w:p w14:paraId="137AC39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（3）植物物种组成</w:t>
      </w:r>
    </w:p>
    <w:p w14:paraId="42AD075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区主要天然植被有天然牧草和天然灌木，主要包括高寒草甸、高寒草原、亚高山草甸、山地灌丛草原等。高寒草甸植物种类以草甸和低矮灌丛为主，常见的群种有高山嵩草、矮生嵩草、矮火绒草、矮陵菜、园穗蓼、毛茛、马光蒿、龙胆、垫状点地梅和报春花等苔藓植物，并在较潮湿的阴坡常分布杜鹃属，高山柳或香柏等灌木组成；高寒草原植物组成中，禾本科针茅属、三芒草属、羊芒草属、羊茅属、早熟禾属、菊科的蒿属、豆科的锦鸡儿属、棘豆属、黄芪属、蔷薇科的金露梅属、委陵菜属、蔷薇属、绣线菊属；亚高山草甸植物群落组成以矮生嵩草和苔草属为主，在阴坡有杜鹃，金露梅，藏匐柳等灌木种类生长；山地灌</w:t>
      </w:r>
      <w:r>
        <w:rPr>
          <w:rFonts w:hint="default" w:ascii="Times New Roman" w:hAnsi="Times New Roman" w:cs="Times New Roman"/>
          <w:color w:val="auto"/>
          <w:sz w:val="24"/>
          <w:highlight w:val="none"/>
          <w:lang w:val="en-US" w:eastAsia="zh-CN"/>
        </w:rPr>
        <w:t>草</w:t>
      </w:r>
      <w:r>
        <w:rPr>
          <w:rFonts w:hint="default" w:ascii="Times New Roman" w:hAnsi="Times New Roman" w:cs="Times New Roman"/>
          <w:color w:val="auto"/>
          <w:sz w:val="24"/>
          <w:highlight w:val="none"/>
        </w:rPr>
        <w:t>丛草原广泛发育着早生的砂生槐落叶灌丛草原植被，常见植物种有禾本科的三刺草、白草、长芒草、固沙草、麻黄等伴生种有委陵菜、西藏黄芪、棘豆、天南星</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砂生槐、锦鸡儿</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狼毒、西藏大戟等。人工植被主要有杨树、柳树、苹果、梨、桃、核桃等。</w:t>
      </w:r>
    </w:p>
    <w:p w14:paraId="1C7AFD0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通过实地调查和资料查询统计，评价范围内的维管束植物共</w:t>
      </w: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科，1</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属，</w:t>
      </w:r>
      <w:r>
        <w:rPr>
          <w:rFonts w:hint="default" w:ascii="Times New Roman" w:hAnsi="Times New Roman" w:cs="Times New Roman"/>
          <w:color w:val="auto"/>
          <w:sz w:val="24"/>
          <w:highlight w:val="none"/>
          <w:lang w:val="en-US" w:eastAsia="zh-CN"/>
        </w:rPr>
        <w:t>21</w:t>
      </w:r>
      <w:r>
        <w:rPr>
          <w:rFonts w:hint="default" w:ascii="Times New Roman" w:hAnsi="Times New Roman" w:cs="Times New Roman"/>
          <w:color w:val="auto"/>
          <w:sz w:val="24"/>
          <w:highlight w:val="none"/>
        </w:rPr>
        <w:t>种，其中禾本科4属5种，莎草科</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属</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种，杨柳科2属2种，榆科1属1种，豆科1属1种，茜草科1属1种，菊科</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属</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种</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kern w:val="0"/>
          <w:sz w:val="24"/>
          <w:szCs w:val="24"/>
          <w:highlight w:val="none"/>
        </w:rPr>
        <w:t>蓼科</w:t>
      </w:r>
      <w:r>
        <w:rPr>
          <w:rFonts w:hint="default" w:ascii="Times New Roman" w:hAnsi="Times New Roman" w:cs="Times New Roman"/>
          <w:color w:val="auto"/>
          <w:sz w:val="24"/>
          <w:highlight w:val="none"/>
        </w:rPr>
        <w:t>1属1种，蔷薇科2属2种。评价区内植被名录详见表3.</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19</w:t>
      </w:r>
      <w:r>
        <w:rPr>
          <w:rFonts w:hint="default" w:ascii="Times New Roman" w:hAnsi="Times New Roman" w:cs="Times New Roman"/>
          <w:color w:val="auto"/>
          <w:sz w:val="24"/>
          <w:highlight w:val="none"/>
        </w:rPr>
        <w:t>。</w:t>
      </w:r>
    </w:p>
    <w:p w14:paraId="3C738F84">
      <w:pPr>
        <w:pStyle w:val="666"/>
        <w:spacing w:line="360" w:lineRule="auto"/>
        <w:ind w:firstLine="0"/>
        <w:jc w:val="center"/>
        <w:rPr>
          <w:rFonts w:hint="default" w:ascii="Times New Roman" w:hAnsi="Times New Roman" w:eastAsia="黑体" w:cs="Times New Roman"/>
          <w:color w:val="auto"/>
          <w:kern w:val="0"/>
          <w:highlight w:val="none"/>
        </w:rPr>
      </w:pPr>
      <w:r>
        <w:rPr>
          <w:rFonts w:hint="default" w:ascii="Times New Roman" w:hAnsi="Times New Roman" w:eastAsia="黑体" w:cs="Times New Roman"/>
          <w:color w:val="auto"/>
          <w:kern w:val="0"/>
          <w:highlight w:val="none"/>
        </w:rPr>
        <w:t>表3.</w:t>
      </w:r>
      <w:r>
        <w:rPr>
          <w:rFonts w:hint="default" w:ascii="Times New Roman" w:hAnsi="Times New Roman" w:eastAsia="黑体" w:cs="Times New Roman"/>
          <w:color w:val="auto"/>
          <w:kern w:val="0"/>
          <w:highlight w:val="none"/>
          <w:lang w:val="en-US" w:eastAsia="zh-CN"/>
        </w:rPr>
        <w:t>4</w:t>
      </w:r>
      <w:r>
        <w:rPr>
          <w:rFonts w:hint="default" w:ascii="Times New Roman" w:hAnsi="Times New Roman" w:eastAsia="黑体" w:cs="Times New Roman"/>
          <w:color w:val="auto"/>
          <w:kern w:val="0"/>
          <w:highlight w:val="none"/>
        </w:rPr>
        <w:t>-</w:t>
      </w:r>
      <w:r>
        <w:rPr>
          <w:rFonts w:hint="default" w:ascii="Times New Roman" w:hAnsi="Times New Roman" w:eastAsia="黑体" w:cs="Times New Roman"/>
          <w:color w:val="auto"/>
          <w:kern w:val="0"/>
          <w:highlight w:val="none"/>
          <w:lang w:val="en-US" w:eastAsia="zh-CN"/>
        </w:rPr>
        <w:t>19</w:t>
      </w:r>
      <w:r>
        <w:rPr>
          <w:rFonts w:hint="default" w:ascii="Times New Roman" w:hAnsi="Times New Roman" w:eastAsia="黑体" w:cs="Times New Roman"/>
          <w:color w:val="auto"/>
          <w:kern w:val="0"/>
          <w:highlight w:val="none"/>
        </w:rPr>
        <w:t xml:space="preserve">   评价区内植被名录</w:t>
      </w:r>
    </w:p>
    <w:tbl>
      <w:tblPr>
        <w:tblStyle w:val="58"/>
        <w:tblW w:w="85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87"/>
        <w:gridCol w:w="1560"/>
        <w:gridCol w:w="1347"/>
        <w:gridCol w:w="2655"/>
        <w:gridCol w:w="1890"/>
      </w:tblGrid>
      <w:tr w14:paraId="246EB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4" w:hRule="exact"/>
          <w:tblHeader/>
          <w:jc w:val="center"/>
        </w:trPr>
        <w:tc>
          <w:tcPr>
            <w:tcW w:w="1087" w:type="dxa"/>
            <w:tcBorders>
              <w:tl2br w:val="nil"/>
              <w:tr2bl w:val="nil"/>
            </w:tcBorders>
            <w:vAlign w:val="center"/>
          </w:tcPr>
          <w:p w14:paraId="5C12B145">
            <w:pPr>
              <w:widowControl/>
              <w:adjustRightInd w:val="0"/>
              <w:snapToGri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科</w:t>
            </w:r>
          </w:p>
        </w:tc>
        <w:tc>
          <w:tcPr>
            <w:tcW w:w="1560" w:type="dxa"/>
            <w:tcBorders>
              <w:tl2br w:val="nil"/>
              <w:tr2bl w:val="nil"/>
            </w:tcBorders>
            <w:vAlign w:val="center"/>
          </w:tcPr>
          <w:p w14:paraId="2FD1AE25">
            <w:pPr>
              <w:widowControl/>
              <w:adjustRightInd w:val="0"/>
              <w:snapToGri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属</w:t>
            </w:r>
          </w:p>
        </w:tc>
        <w:tc>
          <w:tcPr>
            <w:tcW w:w="1347" w:type="dxa"/>
            <w:tcBorders>
              <w:tl2br w:val="nil"/>
              <w:tr2bl w:val="nil"/>
            </w:tcBorders>
            <w:vAlign w:val="center"/>
          </w:tcPr>
          <w:p w14:paraId="289E3D89">
            <w:pPr>
              <w:widowControl/>
              <w:adjustRightInd w:val="0"/>
              <w:snapToGri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种</w:t>
            </w:r>
          </w:p>
        </w:tc>
        <w:tc>
          <w:tcPr>
            <w:tcW w:w="2655" w:type="dxa"/>
            <w:tcBorders>
              <w:tl2br w:val="nil"/>
              <w:tr2bl w:val="nil"/>
            </w:tcBorders>
            <w:vAlign w:val="center"/>
          </w:tcPr>
          <w:p w14:paraId="27D3C494">
            <w:pPr>
              <w:widowControl/>
              <w:adjustRightInd w:val="0"/>
              <w:snapToGri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拉丁学名</w:t>
            </w:r>
          </w:p>
        </w:tc>
        <w:tc>
          <w:tcPr>
            <w:tcW w:w="1890" w:type="dxa"/>
            <w:tcBorders>
              <w:tl2br w:val="nil"/>
              <w:tr2bl w:val="nil"/>
            </w:tcBorders>
            <w:vAlign w:val="center"/>
          </w:tcPr>
          <w:p w14:paraId="353E7BB6">
            <w:pPr>
              <w:widowControl/>
              <w:adjustRightInd w:val="0"/>
              <w:snapToGri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生活型</w:t>
            </w:r>
          </w:p>
        </w:tc>
      </w:tr>
      <w:tr w14:paraId="3FE52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1087" w:type="dxa"/>
            <w:vMerge w:val="restart"/>
            <w:tcBorders>
              <w:tl2br w:val="nil"/>
              <w:tr2bl w:val="nil"/>
            </w:tcBorders>
            <w:vAlign w:val="center"/>
          </w:tcPr>
          <w:p w14:paraId="5AD95ED1">
            <w:pPr>
              <w:widowControl/>
              <w:adjustRightInd w:val="0"/>
              <w:snapToGrid w:val="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禾本科</w:t>
            </w:r>
          </w:p>
        </w:tc>
        <w:tc>
          <w:tcPr>
            <w:tcW w:w="1560" w:type="dxa"/>
            <w:tcBorders>
              <w:tl2br w:val="nil"/>
              <w:tr2bl w:val="nil"/>
            </w:tcBorders>
            <w:vAlign w:val="center"/>
          </w:tcPr>
          <w:p w14:paraId="0AF49F09">
            <w:pPr>
              <w:widowControl/>
              <w:adjustRightInd w:val="0"/>
              <w:snapToGrid w:val="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固沙草属</w:t>
            </w:r>
          </w:p>
        </w:tc>
        <w:tc>
          <w:tcPr>
            <w:tcW w:w="1347" w:type="dxa"/>
            <w:tcBorders>
              <w:tl2br w:val="nil"/>
              <w:tr2bl w:val="nil"/>
            </w:tcBorders>
            <w:vAlign w:val="center"/>
          </w:tcPr>
          <w:p w14:paraId="5DE67170">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固沙草</w:t>
            </w:r>
          </w:p>
        </w:tc>
        <w:tc>
          <w:tcPr>
            <w:tcW w:w="2655" w:type="dxa"/>
            <w:tcBorders>
              <w:tl2br w:val="nil"/>
              <w:tr2bl w:val="nil"/>
            </w:tcBorders>
            <w:vAlign w:val="center"/>
          </w:tcPr>
          <w:p w14:paraId="422B6606">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i/>
                <w:iCs/>
                <w:color w:val="auto"/>
                <w:kern w:val="0"/>
                <w:szCs w:val="21"/>
                <w:highlight w:val="none"/>
              </w:rPr>
              <w:t>Orinus thoroldii</w:t>
            </w:r>
          </w:p>
        </w:tc>
        <w:tc>
          <w:tcPr>
            <w:tcW w:w="1890" w:type="dxa"/>
            <w:tcBorders>
              <w:tl2br w:val="nil"/>
              <w:tr2bl w:val="nil"/>
            </w:tcBorders>
            <w:vAlign w:val="center"/>
          </w:tcPr>
          <w:p w14:paraId="4075A835">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5A6EC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1087" w:type="dxa"/>
            <w:vMerge w:val="continue"/>
            <w:tcBorders>
              <w:tl2br w:val="nil"/>
              <w:tr2bl w:val="nil"/>
            </w:tcBorders>
            <w:vAlign w:val="center"/>
          </w:tcPr>
          <w:p w14:paraId="48E8464F">
            <w:pPr>
              <w:widowControl/>
              <w:adjustRightInd w:val="0"/>
              <w:snapToGrid w:val="0"/>
              <w:jc w:val="center"/>
              <w:rPr>
                <w:rFonts w:hint="default" w:ascii="Times New Roman" w:hAnsi="Times New Roman" w:cs="Times New Roman"/>
                <w:bCs/>
                <w:color w:val="auto"/>
                <w:kern w:val="0"/>
                <w:szCs w:val="21"/>
                <w:highlight w:val="none"/>
              </w:rPr>
            </w:pPr>
          </w:p>
        </w:tc>
        <w:tc>
          <w:tcPr>
            <w:tcW w:w="1560" w:type="dxa"/>
            <w:vMerge w:val="restart"/>
            <w:tcBorders>
              <w:tl2br w:val="nil"/>
              <w:tr2bl w:val="nil"/>
            </w:tcBorders>
            <w:vAlign w:val="center"/>
          </w:tcPr>
          <w:p w14:paraId="6A7533FA">
            <w:pPr>
              <w:widowControl/>
              <w:adjustRightInd w:val="0"/>
              <w:snapToGrid w:val="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针茅属</w:t>
            </w:r>
          </w:p>
        </w:tc>
        <w:tc>
          <w:tcPr>
            <w:tcW w:w="1347" w:type="dxa"/>
            <w:tcBorders>
              <w:tl2br w:val="nil"/>
              <w:tr2bl w:val="nil"/>
            </w:tcBorders>
            <w:vAlign w:val="center"/>
          </w:tcPr>
          <w:p w14:paraId="07E36B49">
            <w:pPr>
              <w:widowControl/>
              <w:adjustRightInd w:val="0"/>
              <w:snapToGrid w:val="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长芒草</w:t>
            </w:r>
          </w:p>
        </w:tc>
        <w:tc>
          <w:tcPr>
            <w:tcW w:w="2655" w:type="dxa"/>
            <w:tcBorders>
              <w:tl2br w:val="nil"/>
              <w:tr2bl w:val="nil"/>
            </w:tcBorders>
            <w:vAlign w:val="center"/>
          </w:tcPr>
          <w:p w14:paraId="47412879">
            <w:pPr>
              <w:widowControl/>
              <w:jc w:val="center"/>
              <w:textAlignment w:val="top"/>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lang w:bidi="ar"/>
              </w:rPr>
              <w:t>Stipa bungeana</w:t>
            </w:r>
          </w:p>
        </w:tc>
        <w:tc>
          <w:tcPr>
            <w:tcW w:w="1890" w:type="dxa"/>
            <w:tcBorders>
              <w:tl2br w:val="nil"/>
              <w:tr2bl w:val="nil"/>
            </w:tcBorders>
            <w:vAlign w:val="center"/>
          </w:tcPr>
          <w:p w14:paraId="6772BBD4">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5D079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1087" w:type="dxa"/>
            <w:vMerge w:val="continue"/>
            <w:tcBorders>
              <w:tl2br w:val="nil"/>
              <w:tr2bl w:val="nil"/>
            </w:tcBorders>
            <w:vAlign w:val="center"/>
          </w:tcPr>
          <w:p w14:paraId="2C729111">
            <w:pPr>
              <w:widowControl/>
              <w:adjustRightInd w:val="0"/>
              <w:snapToGrid w:val="0"/>
              <w:jc w:val="center"/>
              <w:rPr>
                <w:rFonts w:hint="default" w:ascii="Times New Roman" w:hAnsi="Times New Roman" w:cs="Times New Roman"/>
                <w:bCs/>
                <w:color w:val="auto"/>
                <w:kern w:val="0"/>
                <w:szCs w:val="21"/>
                <w:highlight w:val="none"/>
              </w:rPr>
            </w:pPr>
          </w:p>
        </w:tc>
        <w:tc>
          <w:tcPr>
            <w:tcW w:w="1560" w:type="dxa"/>
            <w:vMerge w:val="continue"/>
            <w:tcBorders>
              <w:tl2br w:val="nil"/>
              <w:tr2bl w:val="nil"/>
            </w:tcBorders>
            <w:vAlign w:val="center"/>
          </w:tcPr>
          <w:p w14:paraId="1AA6920E">
            <w:pPr>
              <w:widowControl/>
              <w:adjustRightInd w:val="0"/>
              <w:snapToGrid w:val="0"/>
              <w:jc w:val="center"/>
              <w:rPr>
                <w:rFonts w:hint="default" w:ascii="Times New Roman" w:hAnsi="Times New Roman" w:cs="Times New Roman"/>
                <w:bCs/>
                <w:color w:val="auto"/>
                <w:kern w:val="0"/>
                <w:szCs w:val="21"/>
                <w:highlight w:val="none"/>
              </w:rPr>
            </w:pPr>
          </w:p>
        </w:tc>
        <w:tc>
          <w:tcPr>
            <w:tcW w:w="1347" w:type="dxa"/>
            <w:tcBorders>
              <w:tl2br w:val="nil"/>
              <w:tr2bl w:val="nil"/>
            </w:tcBorders>
            <w:vAlign w:val="center"/>
          </w:tcPr>
          <w:p w14:paraId="0FD2B1E9">
            <w:pPr>
              <w:widowControl/>
              <w:adjustRightInd w:val="0"/>
              <w:snapToGrid w:val="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紫花针茅</w:t>
            </w:r>
          </w:p>
        </w:tc>
        <w:tc>
          <w:tcPr>
            <w:tcW w:w="2655" w:type="dxa"/>
            <w:tcBorders>
              <w:tl2br w:val="nil"/>
              <w:tr2bl w:val="nil"/>
            </w:tcBorders>
            <w:vAlign w:val="center"/>
          </w:tcPr>
          <w:p w14:paraId="1C469AD2">
            <w:pPr>
              <w:widowControl/>
              <w:jc w:val="center"/>
              <w:textAlignment w:val="top"/>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lang w:bidi="ar"/>
              </w:rPr>
              <w:t>Stipa purpurea</w:t>
            </w:r>
          </w:p>
        </w:tc>
        <w:tc>
          <w:tcPr>
            <w:tcW w:w="1890" w:type="dxa"/>
            <w:tcBorders>
              <w:tl2br w:val="nil"/>
              <w:tr2bl w:val="nil"/>
            </w:tcBorders>
            <w:vAlign w:val="center"/>
          </w:tcPr>
          <w:p w14:paraId="3DFA9392">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5B0E5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1087" w:type="dxa"/>
            <w:vMerge w:val="continue"/>
            <w:tcBorders>
              <w:tl2br w:val="nil"/>
              <w:tr2bl w:val="nil"/>
            </w:tcBorders>
            <w:vAlign w:val="center"/>
          </w:tcPr>
          <w:p w14:paraId="7407F9FF">
            <w:pPr>
              <w:widowControl/>
              <w:adjustRightInd w:val="0"/>
              <w:snapToGrid w:val="0"/>
              <w:jc w:val="center"/>
              <w:rPr>
                <w:rFonts w:hint="default" w:ascii="Times New Roman" w:hAnsi="Times New Roman" w:cs="Times New Roman"/>
                <w:bCs/>
                <w:color w:val="auto"/>
                <w:kern w:val="0"/>
                <w:szCs w:val="21"/>
                <w:highlight w:val="none"/>
              </w:rPr>
            </w:pPr>
          </w:p>
        </w:tc>
        <w:tc>
          <w:tcPr>
            <w:tcW w:w="1560" w:type="dxa"/>
            <w:tcBorders>
              <w:tl2br w:val="nil"/>
              <w:tr2bl w:val="nil"/>
            </w:tcBorders>
            <w:vAlign w:val="center"/>
          </w:tcPr>
          <w:p w14:paraId="787BA70F">
            <w:pPr>
              <w:widowControl/>
              <w:adjustRightInd w:val="0"/>
              <w:snapToGrid w:val="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早熟禾属</w:t>
            </w:r>
          </w:p>
        </w:tc>
        <w:tc>
          <w:tcPr>
            <w:tcW w:w="1347" w:type="dxa"/>
            <w:tcBorders>
              <w:tl2br w:val="nil"/>
              <w:tr2bl w:val="nil"/>
            </w:tcBorders>
            <w:vAlign w:val="center"/>
          </w:tcPr>
          <w:p w14:paraId="14626688">
            <w:pPr>
              <w:widowControl/>
              <w:adjustRightInd w:val="0"/>
              <w:snapToGrid w:val="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早熟禾</w:t>
            </w:r>
          </w:p>
        </w:tc>
        <w:tc>
          <w:tcPr>
            <w:tcW w:w="2655" w:type="dxa"/>
            <w:tcBorders>
              <w:tl2br w:val="nil"/>
              <w:tr2bl w:val="nil"/>
            </w:tcBorders>
            <w:vAlign w:val="center"/>
          </w:tcPr>
          <w:p w14:paraId="2759743F">
            <w:pPr>
              <w:widowControl/>
              <w:jc w:val="center"/>
              <w:textAlignment w:val="top"/>
              <w:rPr>
                <w:rFonts w:hint="default" w:ascii="Times New Roman" w:hAnsi="Times New Roman" w:cs="Times New Roman"/>
                <w:i/>
                <w:iCs/>
                <w:color w:val="auto"/>
                <w:szCs w:val="21"/>
                <w:highlight w:val="none"/>
              </w:rPr>
            </w:pPr>
            <w:r>
              <w:rPr>
                <w:rFonts w:hint="default" w:ascii="Times New Roman" w:hAnsi="Times New Roman" w:cs="Times New Roman"/>
                <w:i/>
                <w:iCs/>
                <w:color w:val="auto"/>
                <w:kern w:val="0"/>
                <w:szCs w:val="21"/>
                <w:highlight w:val="none"/>
                <w:lang w:bidi="ar"/>
              </w:rPr>
              <w:t>Poa annua</w:t>
            </w:r>
          </w:p>
        </w:tc>
        <w:tc>
          <w:tcPr>
            <w:tcW w:w="1890" w:type="dxa"/>
            <w:tcBorders>
              <w:tl2br w:val="nil"/>
              <w:tr2bl w:val="nil"/>
            </w:tcBorders>
            <w:vAlign w:val="center"/>
          </w:tcPr>
          <w:p w14:paraId="1B451F95">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2610C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1087" w:type="dxa"/>
            <w:vMerge w:val="continue"/>
            <w:tcBorders>
              <w:tl2br w:val="nil"/>
              <w:tr2bl w:val="nil"/>
            </w:tcBorders>
            <w:vAlign w:val="center"/>
          </w:tcPr>
          <w:p w14:paraId="75B57FF3">
            <w:pPr>
              <w:widowControl/>
              <w:adjustRightInd w:val="0"/>
              <w:snapToGrid w:val="0"/>
              <w:jc w:val="center"/>
              <w:rPr>
                <w:rFonts w:hint="default" w:ascii="Times New Roman" w:hAnsi="Times New Roman" w:cs="Times New Roman"/>
                <w:bCs/>
                <w:color w:val="auto"/>
                <w:kern w:val="0"/>
                <w:szCs w:val="21"/>
                <w:highlight w:val="none"/>
              </w:rPr>
            </w:pPr>
          </w:p>
        </w:tc>
        <w:tc>
          <w:tcPr>
            <w:tcW w:w="1560" w:type="dxa"/>
            <w:tcBorders>
              <w:tl2br w:val="nil"/>
              <w:tr2bl w:val="nil"/>
            </w:tcBorders>
            <w:vAlign w:val="center"/>
          </w:tcPr>
          <w:p w14:paraId="203EC5B2">
            <w:pPr>
              <w:widowControl/>
              <w:adjustRightInd w:val="0"/>
              <w:snapToGrid w:val="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披碱草草</w:t>
            </w:r>
          </w:p>
        </w:tc>
        <w:tc>
          <w:tcPr>
            <w:tcW w:w="1347" w:type="dxa"/>
            <w:tcBorders>
              <w:tl2br w:val="nil"/>
              <w:tr2bl w:val="nil"/>
            </w:tcBorders>
            <w:vAlign w:val="center"/>
          </w:tcPr>
          <w:p w14:paraId="2DD450BD">
            <w:pPr>
              <w:widowControl/>
              <w:adjustRightInd w:val="0"/>
              <w:snapToGrid w:val="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披碱草</w:t>
            </w:r>
          </w:p>
        </w:tc>
        <w:tc>
          <w:tcPr>
            <w:tcW w:w="2655" w:type="dxa"/>
            <w:tcBorders>
              <w:tl2br w:val="nil"/>
              <w:tr2bl w:val="nil"/>
            </w:tcBorders>
            <w:vAlign w:val="center"/>
          </w:tcPr>
          <w:p w14:paraId="557F4777">
            <w:pPr>
              <w:widowControl/>
              <w:jc w:val="center"/>
              <w:textAlignment w:val="top"/>
              <w:rPr>
                <w:rFonts w:hint="default" w:ascii="Times New Roman" w:hAnsi="Times New Roman" w:cs="Times New Roman"/>
                <w:i/>
                <w:iCs/>
                <w:color w:val="auto"/>
                <w:kern w:val="0"/>
                <w:szCs w:val="21"/>
                <w:highlight w:val="none"/>
                <w:lang w:bidi="ar"/>
              </w:rPr>
            </w:pPr>
            <w:r>
              <w:rPr>
                <w:rFonts w:hint="default" w:ascii="Times New Roman" w:hAnsi="Times New Roman" w:cs="Times New Roman"/>
                <w:i/>
                <w:iCs/>
                <w:color w:val="auto"/>
                <w:kern w:val="0"/>
                <w:szCs w:val="21"/>
                <w:highlight w:val="none"/>
                <w:shd w:val="clear" w:color="auto" w:fill="FFFFFF"/>
              </w:rPr>
              <w:t>Elycus dahuricus</w:t>
            </w:r>
          </w:p>
        </w:tc>
        <w:tc>
          <w:tcPr>
            <w:tcW w:w="1890" w:type="dxa"/>
            <w:tcBorders>
              <w:tl2br w:val="nil"/>
              <w:tr2bl w:val="nil"/>
            </w:tcBorders>
            <w:vAlign w:val="center"/>
          </w:tcPr>
          <w:p w14:paraId="6DD4C50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29BDB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restart"/>
            <w:tcBorders>
              <w:tl2br w:val="nil"/>
              <w:tr2bl w:val="nil"/>
            </w:tcBorders>
            <w:vAlign w:val="center"/>
          </w:tcPr>
          <w:p w14:paraId="796BE158">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莎草科</w:t>
            </w:r>
          </w:p>
        </w:tc>
        <w:tc>
          <w:tcPr>
            <w:tcW w:w="1560" w:type="dxa"/>
            <w:vMerge w:val="restart"/>
            <w:tcBorders>
              <w:tl2br w:val="nil"/>
              <w:tr2bl w:val="nil"/>
            </w:tcBorders>
            <w:vAlign w:val="center"/>
          </w:tcPr>
          <w:p w14:paraId="24293911">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嵩草属</w:t>
            </w:r>
          </w:p>
        </w:tc>
        <w:tc>
          <w:tcPr>
            <w:tcW w:w="1347" w:type="dxa"/>
            <w:tcBorders>
              <w:tl2br w:val="nil"/>
              <w:tr2bl w:val="nil"/>
            </w:tcBorders>
            <w:vAlign w:val="center"/>
          </w:tcPr>
          <w:p w14:paraId="01D235B9">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矮生嵩草</w:t>
            </w:r>
          </w:p>
        </w:tc>
        <w:tc>
          <w:tcPr>
            <w:tcW w:w="2655" w:type="dxa"/>
            <w:tcBorders>
              <w:tl2br w:val="nil"/>
              <w:tr2bl w:val="nil"/>
            </w:tcBorders>
            <w:vAlign w:val="center"/>
          </w:tcPr>
          <w:p w14:paraId="533F25B3">
            <w:pPr>
              <w:widowControl/>
              <w:adjustRightInd w:val="0"/>
              <w:snapToGrid w:val="0"/>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Kobresiahucilis</w:t>
            </w:r>
          </w:p>
        </w:tc>
        <w:tc>
          <w:tcPr>
            <w:tcW w:w="1890" w:type="dxa"/>
            <w:tcBorders>
              <w:tl2br w:val="nil"/>
              <w:tr2bl w:val="nil"/>
            </w:tcBorders>
            <w:vAlign w:val="center"/>
          </w:tcPr>
          <w:p w14:paraId="28FB9DE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7E8BC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continue"/>
            <w:tcBorders>
              <w:tl2br w:val="nil"/>
              <w:tr2bl w:val="nil"/>
            </w:tcBorders>
            <w:vAlign w:val="center"/>
          </w:tcPr>
          <w:p w14:paraId="3C9CB473">
            <w:pPr>
              <w:widowControl/>
              <w:adjustRightInd w:val="0"/>
              <w:snapToGrid w:val="0"/>
              <w:jc w:val="center"/>
              <w:rPr>
                <w:rFonts w:hint="default" w:ascii="Times New Roman" w:hAnsi="Times New Roman" w:cs="Times New Roman"/>
                <w:color w:val="auto"/>
                <w:kern w:val="0"/>
                <w:szCs w:val="21"/>
                <w:highlight w:val="none"/>
              </w:rPr>
            </w:pPr>
          </w:p>
        </w:tc>
        <w:tc>
          <w:tcPr>
            <w:tcW w:w="1560" w:type="dxa"/>
            <w:vMerge w:val="continue"/>
            <w:tcBorders>
              <w:tl2br w:val="nil"/>
              <w:tr2bl w:val="nil"/>
            </w:tcBorders>
            <w:vAlign w:val="center"/>
          </w:tcPr>
          <w:p w14:paraId="1DD7000D">
            <w:pPr>
              <w:widowControl/>
              <w:adjustRightInd w:val="0"/>
              <w:snapToGrid w:val="0"/>
              <w:jc w:val="center"/>
              <w:rPr>
                <w:rFonts w:hint="default" w:ascii="Times New Roman" w:hAnsi="Times New Roman" w:cs="Times New Roman"/>
                <w:color w:val="auto"/>
                <w:kern w:val="0"/>
                <w:szCs w:val="21"/>
                <w:highlight w:val="none"/>
              </w:rPr>
            </w:pPr>
          </w:p>
        </w:tc>
        <w:tc>
          <w:tcPr>
            <w:tcW w:w="1347" w:type="dxa"/>
            <w:tcBorders>
              <w:tl2br w:val="nil"/>
              <w:tr2bl w:val="nil"/>
            </w:tcBorders>
            <w:vAlign w:val="center"/>
          </w:tcPr>
          <w:p w14:paraId="11E89761">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高山嵩草</w:t>
            </w:r>
          </w:p>
        </w:tc>
        <w:tc>
          <w:tcPr>
            <w:tcW w:w="2655" w:type="dxa"/>
            <w:tcBorders>
              <w:tl2br w:val="nil"/>
              <w:tr2bl w:val="nil"/>
            </w:tcBorders>
            <w:vAlign w:val="center"/>
          </w:tcPr>
          <w:p w14:paraId="03207022">
            <w:pPr>
              <w:widowControl/>
              <w:adjustRightInd w:val="0"/>
              <w:snapToGrid w:val="0"/>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CarexparvulaO.Yano</w:t>
            </w:r>
          </w:p>
        </w:tc>
        <w:tc>
          <w:tcPr>
            <w:tcW w:w="1890" w:type="dxa"/>
            <w:tcBorders>
              <w:tl2br w:val="nil"/>
              <w:tr2bl w:val="nil"/>
            </w:tcBorders>
            <w:vAlign w:val="center"/>
          </w:tcPr>
          <w:p w14:paraId="033ADF15">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20013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continue"/>
            <w:tcBorders>
              <w:tl2br w:val="nil"/>
              <w:tr2bl w:val="nil"/>
            </w:tcBorders>
            <w:vAlign w:val="center"/>
          </w:tcPr>
          <w:p w14:paraId="0CEDD176">
            <w:pPr>
              <w:widowControl/>
              <w:adjustRightInd w:val="0"/>
              <w:snapToGrid w:val="0"/>
              <w:jc w:val="center"/>
              <w:rPr>
                <w:rFonts w:hint="default" w:ascii="Times New Roman" w:hAnsi="Times New Roman" w:cs="Times New Roman"/>
                <w:color w:val="auto"/>
                <w:kern w:val="0"/>
                <w:szCs w:val="21"/>
                <w:highlight w:val="none"/>
              </w:rPr>
            </w:pPr>
          </w:p>
        </w:tc>
        <w:tc>
          <w:tcPr>
            <w:tcW w:w="1560" w:type="dxa"/>
            <w:tcBorders>
              <w:tl2br w:val="nil"/>
              <w:tr2bl w:val="nil"/>
            </w:tcBorders>
            <w:vAlign w:val="center"/>
          </w:tcPr>
          <w:p w14:paraId="2FF84909">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莎草属</w:t>
            </w:r>
          </w:p>
        </w:tc>
        <w:tc>
          <w:tcPr>
            <w:tcW w:w="1347" w:type="dxa"/>
            <w:tcBorders>
              <w:tl2br w:val="nil"/>
              <w:tr2bl w:val="nil"/>
            </w:tcBorders>
            <w:vAlign w:val="center"/>
          </w:tcPr>
          <w:p w14:paraId="1208C1F7">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香附子</w:t>
            </w:r>
          </w:p>
        </w:tc>
        <w:tc>
          <w:tcPr>
            <w:tcW w:w="2655" w:type="dxa"/>
            <w:tcBorders>
              <w:tl2br w:val="nil"/>
              <w:tr2bl w:val="nil"/>
            </w:tcBorders>
            <w:vAlign w:val="center"/>
          </w:tcPr>
          <w:p w14:paraId="45F93F26">
            <w:pPr>
              <w:widowControl/>
              <w:adjustRightInd w:val="0"/>
              <w:snapToGrid w:val="0"/>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Cyperus rotundus L.</w:t>
            </w:r>
          </w:p>
        </w:tc>
        <w:tc>
          <w:tcPr>
            <w:tcW w:w="1890" w:type="dxa"/>
            <w:tcBorders>
              <w:tl2br w:val="nil"/>
              <w:tr2bl w:val="nil"/>
            </w:tcBorders>
            <w:vAlign w:val="center"/>
          </w:tcPr>
          <w:p w14:paraId="485A7C36">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37336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restart"/>
            <w:tcBorders>
              <w:tl2br w:val="nil"/>
              <w:tr2bl w:val="nil"/>
            </w:tcBorders>
            <w:vAlign w:val="center"/>
          </w:tcPr>
          <w:p w14:paraId="44430025">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杨柳科</w:t>
            </w:r>
          </w:p>
        </w:tc>
        <w:tc>
          <w:tcPr>
            <w:tcW w:w="1560" w:type="dxa"/>
            <w:tcBorders>
              <w:tl2br w:val="nil"/>
              <w:tr2bl w:val="nil"/>
            </w:tcBorders>
            <w:vAlign w:val="center"/>
          </w:tcPr>
          <w:p w14:paraId="5051C478">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柳属</w:t>
            </w:r>
          </w:p>
        </w:tc>
        <w:tc>
          <w:tcPr>
            <w:tcW w:w="1347" w:type="dxa"/>
            <w:tcBorders>
              <w:tl2br w:val="nil"/>
              <w:tr2bl w:val="nil"/>
            </w:tcBorders>
            <w:vAlign w:val="center"/>
          </w:tcPr>
          <w:p w14:paraId="60ACCF39">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旱柳</w:t>
            </w:r>
          </w:p>
        </w:tc>
        <w:tc>
          <w:tcPr>
            <w:tcW w:w="2655" w:type="dxa"/>
            <w:tcBorders>
              <w:tl2br w:val="nil"/>
              <w:tr2bl w:val="nil"/>
            </w:tcBorders>
            <w:vAlign w:val="center"/>
          </w:tcPr>
          <w:p w14:paraId="16DC05CE">
            <w:pPr>
              <w:widowControl/>
              <w:adjustRightInd w:val="0"/>
              <w:snapToGrid w:val="0"/>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Salixcatsudana</w:t>
            </w:r>
          </w:p>
        </w:tc>
        <w:tc>
          <w:tcPr>
            <w:tcW w:w="1890" w:type="dxa"/>
            <w:tcBorders>
              <w:tl2br w:val="nil"/>
              <w:tr2bl w:val="nil"/>
            </w:tcBorders>
            <w:vAlign w:val="center"/>
          </w:tcPr>
          <w:p w14:paraId="2671A452">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落叶乔木</w:t>
            </w:r>
          </w:p>
        </w:tc>
      </w:tr>
      <w:tr w14:paraId="488E3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continue"/>
            <w:tcBorders>
              <w:tl2br w:val="nil"/>
              <w:tr2bl w:val="nil"/>
            </w:tcBorders>
            <w:vAlign w:val="center"/>
          </w:tcPr>
          <w:p w14:paraId="0E0CD68A">
            <w:pPr>
              <w:widowControl/>
              <w:adjustRightInd w:val="0"/>
              <w:snapToGrid w:val="0"/>
              <w:jc w:val="center"/>
              <w:rPr>
                <w:rFonts w:hint="default" w:ascii="Times New Roman" w:hAnsi="Times New Roman" w:cs="Times New Roman"/>
                <w:color w:val="auto"/>
                <w:kern w:val="0"/>
                <w:szCs w:val="21"/>
                <w:highlight w:val="none"/>
              </w:rPr>
            </w:pPr>
          </w:p>
        </w:tc>
        <w:tc>
          <w:tcPr>
            <w:tcW w:w="1560" w:type="dxa"/>
            <w:tcBorders>
              <w:tl2br w:val="nil"/>
              <w:tr2bl w:val="nil"/>
            </w:tcBorders>
            <w:vAlign w:val="center"/>
          </w:tcPr>
          <w:p w14:paraId="5FBB33DE">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杨属</w:t>
            </w:r>
          </w:p>
        </w:tc>
        <w:tc>
          <w:tcPr>
            <w:tcW w:w="1347" w:type="dxa"/>
            <w:tcBorders>
              <w:tl2br w:val="nil"/>
              <w:tr2bl w:val="nil"/>
            </w:tcBorders>
            <w:vAlign w:val="center"/>
          </w:tcPr>
          <w:p w14:paraId="590197A8">
            <w:pPr>
              <w:widowControl/>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藏青杨</w:t>
            </w:r>
          </w:p>
        </w:tc>
        <w:tc>
          <w:tcPr>
            <w:tcW w:w="2655" w:type="dxa"/>
            <w:tcBorders>
              <w:tl2br w:val="nil"/>
              <w:tr2bl w:val="nil"/>
            </w:tcBorders>
            <w:vAlign w:val="center"/>
          </w:tcPr>
          <w:p w14:paraId="0EE6FA60">
            <w:pPr>
              <w:widowControl/>
              <w:adjustRightInd w:val="0"/>
              <w:snapToGrid w:val="0"/>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Populus szechuanica</w:t>
            </w:r>
          </w:p>
        </w:tc>
        <w:tc>
          <w:tcPr>
            <w:tcW w:w="1890" w:type="dxa"/>
            <w:tcBorders>
              <w:tl2br w:val="nil"/>
              <w:tr2bl w:val="nil"/>
            </w:tcBorders>
            <w:vAlign w:val="center"/>
          </w:tcPr>
          <w:p w14:paraId="40637FB3">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落叶乔木</w:t>
            </w:r>
          </w:p>
        </w:tc>
      </w:tr>
      <w:tr w14:paraId="03C1C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tcBorders>
              <w:tl2br w:val="nil"/>
              <w:tr2bl w:val="nil"/>
            </w:tcBorders>
            <w:vAlign w:val="center"/>
          </w:tcPr>
          <w:p w14:paraId="57ED0D4A">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榆科</w:t>
            </w:r>
          </w:p>
        </w:tc>
        <w:tc>
          <w:tcPr>
            <w:tcW w:w="1560" w:type="dxa"/>
            <w:tcBorders>
              <w:tl2br w:val="nil"/>
              <w:tr2bl w:val="nil"/>
            </w:tcBorders>
            <w:vAlign w:val="center"/>
          </w:tcPr>
          <w:p w14:paraId="5A3B96F8">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榆属</w:t>
            </w:r>
          </w:p>
        </w:tc>
        <w:tc>
          <w:tcPr>
            <w:tcW w:w="1347" w:type="dxa"/>
            <w:tcBorders>
              <w:tl2br w:val="nil"/>
              <w:tr2bl w:val="nil"/>
            </w:tcBorders>
            <w:vAlign w:val="center"/>
          </w:tcPr>
          <w:p w14:paraId="0E70BBB6">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榆树</w:t>
            </w:r>
          </w:p>
        </w:tc>
        <w:tc>
          <w:tcPr>
            <w:tcW w:w="2655" w:type="dxa"/>
            <w:tcBorders>
              <w:tl2br w:val="nil"/>
              <w:tr2bl w:val="nil"/>
            </w:tcBorders>
            <w:vAlign w:val="center"/>
          </w:tcPr>
          <w:p w14:paraId="7B0E70A4">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Ulcus pucila</w:t>
            </w:r>
          </w:p>
        </w:tc>
        <w:tc>
          <w:tcPr>
            <w:tcW w:w="1890" w:type="dxa"/>
            <w:tcBorders>
              <w:tl2br w:val="nil"/>
              <w:tr2bl w:val="nil"/>
            </w:tcBorders>
            <w:vAlign w:val="center"/>
          </w:tcPr>
          <w:p w14:paraId="3B842D18">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落叶乔木</w:t>
            </w:r>
          </w:p>
        </w:tc>
      </w:tr>
      <w:tr w14:paraId="6934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tcBorders>
              <w:tl2br w:val="nil"/>
              <w:tr2bl w:val="nil"/>
            </w:tcBorders>
            <w:vAlign w:val="center"/>
          </w:tcPr>
          <w:p w14:paraId="33C66741">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豆科</w:t>
            </w:r>
          </w:p>
        </w:tc>
        <w:tc>
          <w:tcPr>
            <w:tcW w:w="1560" w:type="dxa"/>
            <w:tcBorders>
              <w:tl2br w:val="nil"/>
              <w:tr2bl w:val="nil"/>
            </w:tcBorders>
            <w:vAlign w:val="center"/>
          </w:tcPr>
          <w:p w14:paraId="146C891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槐属</w:t>
            </w:r>
          </w:p>
        </w:tc>
        <w:tc>
          <w:tcPr>
            <w:tcW w:w="1347" w:type="dxa"/>
            <w:tcBorders>
              <w:tl2br w:val="nil"/>
              <w:tr2bl w:val="nil"/>
            </w:tcBorders>
            <w:vAlign w:val="center"/>
          </w:tcPr>
          <w:p w14:paraId="0D81181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shd w:val="clear" w:color="auto" w:fill="FFFFFF"/>
              </w:rPr>
              <w:t>砂生槐</w:t>
            </w:r>
          </w:p>
        </w:tc>
        <w:tc>
          <w:tcPr>
            <w:tcW w:w="2655" w:type="dxa"/>
            <w:tcBorders>
              <w:tl2br w:val="nil"/>
              <w:tr2bl w:val="nil"/>
            </w:tcBorders>
            <w:vAlign w:val="center"/>
          </w:tcPr>
          <w:p w14:paraId="45476CB2">
            <w:pPr>
              <w:widowControl/>
              <w:adjustRightInd w:val="0"/>
              <w:snapToGrid w:val="0"/>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Sophoracoorcroftiana</w:t>
            </w:r>
          </w:p>
        </w:tc>
        <w:tc>
          <w:tcPr>
            <w:tcW w:w="1890" w:type="dxa"/>
            <w:tcBorders>
              <w:tl2br w:val="nil"/>
              <w:tr2bl w:val="nil"/>
            </w:tcBorders>
            <w:vAlign w:val="center"/>
          </w:tcPr>
          <w:p w14:paraId="261802DE">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落叶灌木</w:t>
            </w:r>
          </w:p>
        </w:tc>
      </w:tr>
      <w:tr w14:paraId="5E5A8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tcBorders>
              <w:tl2br w:val="nil"/>
              <w:tr2bl w:val="nil"/>
            </w:tcBorders>
            <w:vAlign w:val="center"/>
          </w:tcPr>
          <w:p w14:paraId="2328FCD7">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茜草科</w:t>
            </w:r>
          </w:p>
        </w:tc>
        <w:tc>
          <w:tcPr>
            <w:tcW w:w="1560" w:type="dxa"/>
            <w:tcBorders>
              <w:tl2br w:val="nil"/>
              <w:tr2bl w:val="nil"/>
            </w:tcBorders>
            <w:vAlign w:val="center"/>
          </w:tcPr>
          <w:p w14:paraId="691C8C4E">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野丁香属</w:t>
            </w:r>
          </w:p>
        </w:tc>
        <w:tc>
          <w:tcPr>
            <w:tcW w:w="1347" w:type="dxa"/>
            <w:tcBorders>
              <w:tl2br w:val="nil"/>
              <w:tr2bl w:val="nil"/>
            </w:tcBorders>
            <w:vAlign w:val="center"/>
          </w:tcPr>
          <w:p w14:paraId="78DF5804">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野丁香</w:t>
            </w:r>
          </w:p>
        </w:tc>
        <w:tc>
          <w:tcPr>
            <w:tcW w:w="2655" w:type="dxa"/>
            <w:tcBorders>
              <w:tl2br w:val="nil"/>
              <w:tr2bl w:val="nil"/>
            </w:tcBorders>
            <w:vAlign w:val="center"/>
          </w:tcPr>
          <w:p w14:paraId="7DC8800B">
            <w:pPr>
              <w:widowControl/>
              <w:adjustRightInd w:val="0"/>
              <w:snapToGrid w:val="0"/>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Leptodercis potanini</w:t>
            </w:r>
          </w:p>
        </w:tc>
        <w:tc>
          <w:tcPr>
            <w:tcW w:w="1890" w:type="dxa"/>
            <w:tcBorders>
              <w:tl2br w:val="nil"/>
              <w:tr2bl w:val="nil"/>
            </w:tcBorders>
            <w:vAlign w:val="center"/>
          </w:tcPr>
          <w:p w14:paraId="71B706F3">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落叶灌木</w:t>
            </w:r>
          </w:p>
        </w:tc>
      </w:tr>
      <w:tr w14:paraId="7A5BA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restart"/>
            <w:tcBorders>
              <w:tl2br w:val="nil"/>
              <w:tr2bl w:val="nil"/>
            </w:tcBorders>
            <w:vAlign w:val="center"/>
          </w:tcPr>
          <w:p w14:paraId="4F550A8B">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菊科</w:t>
            </w:r>
          </w:p>
        </w:tc>
        <w:tc>
          <w:tcPr>
            <w:tcW w:w="1560" w:type="dxa"/>
            <w:vMerge w:val="restart"/>
            <w:tcBorders>
              <w:tl2br w:val="nil"/>
              <w:tr2bl w:val="nil"/>
            </w:tcBorders>
            <w:vAlign w:val="center"/>
          </w:tcPr>
          <w:p w14:paraId="69E7BD48">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蒿属</w:t>
            </w:r>
          </w:p>
        </w:tc>
        <w:tc>
          <w:tcPr>
            <w:tcW w:w="1347" w:type="dxa"/>
            <w:tcBorders>
              <w:tl2br w:val="nil"/>
              <w:tr2bl w:val="nil"/>
            </w:tcBorders>
            <w:vAlign w:val="center"/>
          </w:tcPr>
          <w:p w14:paraId="67682D59">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藏沙蒿</w:t>
            </w:r>
          </w:p>
        </w:tc>
        <w:tc>
          <w:tcPr>
            <w:tcW w:w="2655" w:type="dxa"/>
            <w:tcBorders>
              <w:tl2br w:val="nil"/>
              <w:tr2bl w:val="nil"/>
            </w:tcBorders>
            <w:vAlign w:val="center"/>
          </w:tcPr>
          <w:p w14:paraId="647A08FB">
            <w:pPr>
              <w:widowControl/>
              <w:jc w:val="center"/>
              <w:textAlignment w:val="top"/>
              <w:rPr>
                <w:rFonts w:hint="default" w:ascii="Times New Roman" w:hAnsi="Times New Roman" w:cs="Times New Roman"/>
                <w:i/>
                <w:iCs/>
                <w:color w:val="auto"/>
                <w:szCs w:val="21"/>
                <w:highlight w:val="none"/>
              </w:rPr>
            </w:pPr>
            <w:r>
              <w:rPr>
                <w:rFonts w:hint="default" w:ascii="Times New Roman" w:hAnsi="Times New Roman" w:cs="Times New Roman"/>
                <w:i/>
                <w:iCs/>
                <w:color w:val="auto"/>
                <w:kern w:val="0"/>
                <w:szCs w:val="21"/>
                <w:highlight w:val="none"/>
                <w:lang w:bidi="ar"/>
              </w:rPr>
              <w:t>Artecisia wellbyi</w:t>
            </w:r>
          </w:p>
        </w:tc>
        <w:tc>
          <w:tcPr>
            <w:tcW w:w="1890" w:type="dxa"/>
            <w:tcBorders>
              <w:tl2br w:val="nil"/>
              <w:tr2bl w:val="nil"/>
            </w:tcBorders>
            <w:vAlign w:val="center"/>
          </w:tcPr>
          <w:p w14:paraId="26ACB33F">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604E8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continue"/>
            <w:tcBorders>
              <w:tl2br w:val="nil"/>
              <w:tr2bl w:val="nil"/>
            </w:tcBorders>
            <w:vAlign w:val="center"/>
          </w:tcPr>
          <w:p w14:paraId="4A59E41A">
            <w:pPr>
              <w:widowControl/>
              <w:adjustRightInd w:val="0"/>
              <w:snapToGrid w:val="0"/>
              <w:jc w:val="center"/>
              <w:rPr>
                <w:rFonts w:hint="default" w:ascii="Times New Roman" w:hAnsi="Times New Roman" w:cs="Times New Roman"/>
                <w:color w:val="auto"/>
                <w:kern w:val="0"/>
                <w:szCs w:val="21"/>
                <w:highlight w:val="none"/>
              </w:rPr>
            </w:pPr>
          </w:p>
        </w:tc>
        <w:tc>
          <w:tcPr>
            <w:tcW w:w="1560" w:type="dxa"/>
            <w:vMerge w:val="continue"/>
            <w:tcBorders>
              <w:tl2br w:val="nil"/>
              <w:tr2bl w:val="nil"/>
            </w:tcBorders>
            <w:vAlign w:val="center"/>
          </w:tcPr>
          <w:p w14:paraId="00BF6A7B">
            <w:pPr>
              <w:widowControl/>
              <w:adjustRightInd w:val="0"/>
              <w:snapToGrid w:val="0"/>
              <w:jc w:val="center"/>
              <w:rPr>
                <w:rFonts w:hint="default" w:ascii="Times New Roman" w:hAnsi="Times New Roman" w:cs="Times New Roman"/>
                <w:color w:val="auto"/>
                <w:kern w:val="0"/>
                <w:szCs w:val="21"/>
                <w:highlight w:val="none"/>
              </w:rPr>
            </w:pPr>
          </w:p>
        </w:tc>
        <w:tc>
          <w:tcPr>
            <w:tcW w:w="1347" w:type="dxa"/>
            <w:tcBorders>
              <w:tl2br w:val="nil"/>
              <w:tr2bl w:val="nil"/>
            </w:tcBorders>
            <w:vAlign w:val="center"/>
          </w:tcPr>
          <w:p w14:paraId="5DD3E7B2">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茵陈蒿</w:t>
            </w:r>
          </w:p>
        </w:tc>
        <w:tc>
          <w:tcPr>
            <w:tcW w:w="2655" w:type="dxa"/>
            <w:tcBorders>
              <w:tl2br w:val="nil"/>
              <w:tr2bl w:val="nil"/>
            </w:tcBorders>
            <w:vAlign w:val="center"/>
          </w:tcPr>
          <w:p w14:paraId="39EAB16F">
            <w:pPr>
              <w:widowControl/>
              <w:jc w:val="center"/>
              <w:textAlignment w:val="top"/>
              <w:rPr>
                <w:rFonts w:hint="default" w:ascii="Times New Roman" w:hAnsi="Times New Roman" w:cs="Times New Roman"/>
                <w:i/>
                <w:iCs/>
                <w:color w:val="auto"/>
                <w:kern w:val="0"/>
                <w:szCs w:val="21"/>
                <w:highlight w:val="none"/>
                <w:lang w:bidi="ar"/>
              </w:rPr>
            </w:pPr>
            <w:r>
              <w:rPr>
                <w:rFonts w:hint="default" w:ascii="Times New Roman" w:hAnsi="Times New Roman" w:cs="Times New Roman"/>
                <w:i/>
                <w:iCs/>
                <w:color w:val="auto"/>
                <w:kern w:val="0"/>
                <w:szCs w:val="21"/>
                <w:highlight w:val="none"/>
                <w:lang w:bidi="ar"/>
              </w:rPr>
              <w:t>Artemisia capillaris Thunb.</w:t>
            </w:r>
          </w:p>
        </w:tc>
        <w:tc>
          <w:tcPr>
            <w:tcW w:w="1890" w:type="dxa"/>
            <w:tcBorders>
              <w:tl2br w:val="nil"/>
              <w:tr2bl w:val="nil"/>
            </w:tcBorders>
            <w:vAlign w:val="center"/>
          </w:tcPr>
          <w:p w14:paraId="7AC5C6F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亚灌木状草本</w:t>
            </w:r>
          </w:p>
        </w:tc>
      </w:tr>
      <w:tr w14:paraId="18AC5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continue"/>
            <w:tcBorders>
              <w:tl2br w:val="nil"/>
              <w:tr2bl w:val="nil"/>
            </w:tcBorders>
            <w:vAlign w:val="center"/>
          </w:tcPr>
          <w:p w14:paraId="15CE57AF">
            <w:pPr>
              <w:widowControl/>
              <w:adjustRightInd w:val="0"/>
              <w:snapToGrid w:val="0"/>
              <w:jc w:val="center"/>
              <w:rPr>
                <w:rFonts w:hint="default" w:ascii="Times New Roman" w:hAnsi="Times New Roman" w:cs="Times New Roman"/>
                <w:color w:val="auto"/>
                <w:kern w:val="0"/>
                <w:szCs w:val="21"/>
                <w:highlight w:val="none"/>
              </w:rPr>
            </w:pPr>
          </w:p>
        </w:tc>
        <w:tc>
          <w:tcPr>
            <w:tcW w:w="1560" w:type="dxa"/>
            <w:tcBorders>
              <w:tl2br w:val="nil"/>
              <w:tr2bl w:val="nil"/>
            </w:tcBorders>
            <w:vAlign w:val="center"/>
          </w:tcPr>
          <w:p w14:paraId="5DCC30FD">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石胡荽属</w:t>
            </w:r>
          </w:p>
        </w:tc>
        <w:tc>
          <w:tcPr>
            <w:tcW w:w="1347" w:type="dxa"/>
            <w:tcBorders>
              <w:tl2br w:val="nil"/>
              <w:tr2bl w:val="nil"/>
            </w:tcBorders>
            <w:vAlign w:val="center"/>
          </w:tcPr>
          <w:p w14:paraId="27D21858">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石胡荽</w:t>
            </w:r>
          </w:p>
        </w:tc>
        <w:tc>
          <w:tcPr>
            <w:tcW w:w="2655" w:type="dxa"/>
            <w:tcBorders>
              <w:tl2br w:val="nil"/>
              <w:tr2bl w:val="nil"/>
            </w:tcBorders>
            <w:vAlign w:val="center"/>
          </w:tcPr>
          <w:p w14:paraId="7C8688EF">
            <w:pPr>
              <w:widowControl/>
              <w:jc w:val="center"/>
              <w:textAlignment w:val="top"/>
              <w:rPr>
                <w:rFonts w:hint="default" w:ascii="Times New Roman" w:hAnsi="Times New Roman" w:cs="Times New Roman"/>
                <w:i/>
                <w:iCs/>
                <w:color w:val="auto"/>
                <w:kern w:val="0"/>
                <w:szCs w:val="21"/>
                <w:highlight w:val="none"/>
                <w:lang w:bidi="ar"/>
              </w:rPr>
            </w:pPr>
            <w:r>
              <w:rPr>
                <w:rFonts w:hint="default" w:ascii="Times New Roman" w:hAnsi="Times New Roman" w:cs="Times New Roman"/>
                <w:i/>
                <w:iCs/>
                <w:color w:val="auto"/>
                <w:kern w:val="0"/>
                <w:szCs w:val="21"/>
                <w:highlight w:val="none"/>
                <w:lang w:bidi="ar"/>
              </w:rPr>
              <w:t>Centipeda minima</w:t>
            </w:r>
          </w:p>
        </w:tc>
        <w:tc>
          <w:tcPr>
            <w:tcW w:w="1890" w:type="dxa"/>
            <w:tcBorders>
              <w:tl2br w:val="nil"/>
              <w:tr2bl w:val="nil"/>
            </w:tcBorders>
            <w:vAlign w:val="center"/>
          </w:tcPr>
          <w:p w14:paraId="307681E4">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一年生草本</w:t>
            </w:r>
          </w:p>
        </w:tc>
      </w:tr>
      <w:tr w14:paraId="5F76F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continue"/>
            <w:tcBorders>
              <w:tl2br w:val="nil"/>
              <w:tr2bl w:val="nil"/>
            </w:tcBorders>
            <w:vAlign w:val="center"/>
          </w:tcPr>
          <w:p w14:paraId="662A1BF2">
            <w:pPr>
              <w:widowControl/>
              <w:adjustRightInd w:val="0"/>
              <w:snapToGrid w:val="0"/>
              <w:jc w:val="center"/>
              <w:rPr>
                <w:rFonts w:hint="default" w:ascii="Times New Roman" w:hAnsi="Times New Roman" w:cs="Times New Roman"/>
                <w:color w:val="auto"/>
                <w:kern w:val="0"/>
                <w:szCs w:val="21"/>
                <w:highlight w:val="none"/>
              </w:rPr>
            </w:pPr>
          </w:p>
        </w:tc>
        <w:tc>
          <w:tcPr>
            <w:tcW w:w="1560" w:type="dxa"/>
            <w:tcBorders>
              <w:tl2br w:val="nil"/>
              <w:tr2bl w:val="nil"/>
            </w:tcBorders>
            <w:vAlign w:val="center"/>
          </w:tcPr>
          <w:p w14:paraId="642C6D54">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野茼蒿属</w:t>
            </w:r>
          </w:p>
        </w:tc>
        <w:tc>
          <w:tcPr>
            <w:tcW w:w="1347" w:type="dxa"/>
            <w:tcBorders>
              <w:tl2br w:val="nil"/>
              <w:tr2bl w:val="nil"/>
            </w:tcBorders>
            <w:vAlign w:val="center"/>
          </w:tcPr>
          <w:p w14:paraId="2CD83885">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野茼蒿</w:t>
            </w:r>
          </w:p>
        </w:tc>
        <w:tc>
          <w:tcPr>
            <w:tcW w:w="2655" w:type="dxa"/>
            <w:tcBorders>
              <w:tl2br w:val="nil"/>
              <w:tr2bl w:val="nil"/>
            </w:tcBorders>
            <w:vAlign w:val="center"/>
          </w:tcPr>
          <w:p w14:paraId="4D39D305">
            <w:pPr>
              <w:widowControl/>
              <w:jc w:val="center"/>
              <w:textAlignment w:val="top"/>
              <w:rPr>
                <w:rFonts w:hint="default" w:ascii="Times New Roman" w:hAnsi="Times New Roman" w:cs="Times New Roman"/>
                <w:i/>
                <w:iCs/>
                <w:color w:val="auto"/>
                <w:kern w:val="0"/>
                <w:szCs w:val="21"/>
                <w:highlight w:val="none"/>
                <w:lang w:bidi="ar"/>
              </w:rPr>
            </w:pPr>
            <w:r>
              <w:rPr>
                <w:rFonts w:hint="default" w:ascii="Times New Roman" w:hAnsi="Times New Roman" w:cs="Times New Roman"/>
                <w:i/>
                <w:iCs/>
                <w:color w:val="auto"/>
                <w:kern w:val="0"/>
                <w:szCs w:val="21"/>
                <w:highlight w:val="none"/>
                <w:lang w:bidi="ar"/>
              </w:rPr>
              <w:t>Crassocephaluc crepidioides </w:t>
            </w:r>
          </w:p>
        </w:tc>
        <w:tc>
          <w:tcPr>
            <w:tcW w:w="1890" w:type="dxa"/>
            <w:tcBorders>
              <w:tl2br w:val="nil"/>
              <w:tr2bl w:val="nil"/>
            </w:tcBorders>
            <w:vAlign w:val="center"/>
          </w:tcPr>
          <w:p w14:paraId="771506AB">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693B9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tcBorders>
              <w:tl2br w:val="nil"/>
              <w:tr2bl w:val="nil"/>
            </w:tcBorders>
            <w:vAlign w:val="center"/>
          </w:tcPr>
          <w:p w14:paraId="4C3D416D">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蓼科</w:t>
            </w:r>
          </w:p>
        </w:tc>
        <w:tc>
          <w:tcPr>
            <w:tcW w:w="1560" w:type="dxa"/>
            <w:tcBorders>
              <w:tl2br w:val="nil"/>
              <w:tr2bl w:val="nil"/>
            </w:tcBorders>
            <w:vAlign w:val="center"/>
          </w:tcPr>
          <w:p w14:paraId="2C05C31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酸模属</w:t>
            </w:r>
          </w:p>
        </w:tc>
        <w:tc>
          <w:tcPr>
            <w:tcW w:w="1347" w:type="dxa"/>
            <w:tcBorders>
              <w:tl2br w:val="nil"/>
              <w:tr2bl w:val="nil"/>
            </w:tcBorders>
            <w:vAlign w:val="center"/>
          </w:tcPr>
          <w:p w14:paraId="5FEFB831">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皱叶酸模</w:t>
            </w:r>
          </w:p>
        </w:tc>
        <w:tc>
          <w:tcPr>
            <w:tcW w:w="2655" w:type="dxa"/>
            <w:tcBorders>
              <w:tl2br w:val="nil"/>
              <w:tr2bl w:val="nil"/>
            </w:tcBorders>
            <w:vAlign w:val="center"/>
          </w:tcPr>
          <w:p w14:paraId="49B7C9E6">
            <w:pPr>
              <w:widowControl/>
              <w:jc w:val="center"/>
              <w:textAlignment w:val="top"/>
              <w:rPr>
                <w:rFonts w:hint="default" w:ascii="Times New Roman" w:hAnsi="Times New Roman" w:cs="Times New Roman"/>
                <w:i/>
                <w:iCs/>
                <w:color w:val="auto"/>
                <w:kern w:val="0"/>
                <w:szCs w:val="21"/>
                <w:highlight w:val="none"/>
                <w:lang w:bidi="ar"/>
              </w:rPr>
            </w:pPr>
            <w:r>
              <w:rPr>
                <w:rFonts w:hint="default" w:ascii="Times New Roman" w:hAnsi="Times New Roman" w:cs="Times New Roman"/>
                <w:i/>
                <w:iCs/>
                <w:color w:val="auto"/>
                <w:kern w:val="0"/>
                <w:szCs w:val="21"/>
                <w:highlight w:val="none"/>
                <w:lang w:bidi="ar"/>
              </w:rPr>
              <w:t>Rumex crispus L.</w:t>
            </w:r>
          </w:p>
        </w:tc>
        <w:tc>
          <w:tcPr>
            <w:tcW w:w="1890" w:type="dxa"/>
            <w:tcBorders>
              <w:tl2br w:val="nil"/>
              <w:tr2bl w:val="nil"/>
            </w:tcBorders>
            <w:vAlign w:val="center"/>
          </w:tcPr>
          <w:p w14:paraId="64E92DC4">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r w14:paraId="09466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restart"/>
            <w:tcBorders>
              <w:tl2br w:val="nil"/>
              <w:tr2bl w:val="nil"/>
            </w:tcBorders>
            <w:vAlign w:val="center"/>
          </w:tcPr>
          <w:p w14:paraId="75335060">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蔷薇科</w:t>
            </w:r>
          </w:p>
        </w:tc>
        <w:tc>
          <w:tcPr>
            <w:tcW w:w="1560" w:type="dxa"/>
            <w:tcBorders>
              <w:tl2br w:val="nil"/>
              <w:tr2bl w:val="nil"/>
            </w:tcBorders>
            <w:vAlign w:val="center"/>
          </w:tcPr>
          <w:p w14:paraId="720C0DC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绣线菊属</w:t>
            </w:r>
          </w:p>
        </w:tc>
        <w:tc>
          <w:tcPr>
            <w:tcW w:w="1347" w:type="dxa"/>
            <w:tcBorders>
              <w:tl2br w:val="nil"/>
              <w:tr2bl w:val="nil"/>
            </w:tcBorders>
            <w:vAlign w:val="center"/>
          </w:tcPr>
          <w:p w14:paraId="50D93C36">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毛叶绣线菊</w:t>
            </w:r>
          </w:p>
        </w:tc>
        <w:tc>
          <w:tcPr>
            <w:tcW w:w="2655" w:type="dxa"/>
            <w:tcBorders>
              <w:tl2br w:val="nil"/>
              <w:tr2bl w:val="nil"/>
            </w:tcBorders>
            <w:vAlign w:val="center"/>
          </w:tcPr>
          <w:p w14:paraId="797BC706">
            <w:pPr>
              <w:widowControl/>
              <w:jc w:val="center"/>
              <w:textAlignment w:val="top"/>
              <w:rPr>
                <w:rFonts w:hint="default" w:ascii="Times New Roman" w:hAnsi="Times New Roman" w:cs="Times New Roman"/>
                <w:i/>
                <w:iCs/>
                <w:color w:val="auto"/>
                <w:szCs w:val="21"/>
                <w:highlight w:val="none"/>
              </w:rPr>
            </w:pPr>
            <w:r>
              <w:rPr>
                <w:rFonts w:hint="default" w:ascii="Times New Roman" w:hAnsi="Times New Roman" w:cs="Times New Roman"/>
                <w:i/>
                <w:iCs/>
                <w:color w:val="auto"/>
                <w:kern w:val="0"/>
                <w:szCs w:val="21"/>
                <w:highlight w:val="none"/>
                <w:lang w:bidi="ar"/>
              </w:rPr>
              <w:t>Spiraea collifolia</w:t>
            </w:r>
          </w:p>
        </w:tc>
        <w:tc>
          <w:tcPr>
            <w:tcW w:w="1890" w:type="dxa"/>
            <w:tcBorders>
              <w:tl2br w:val="nil"/>
              <w:tr2bl w:val="nil"/>
            </w:tcBorders>
            <w:vAlign w:val="center"/>
          </w:tcPr>
          <w:p w14:paraId="6C706C33">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落叶灌木</w:t>
            </w:r>
          </w:p>
        </w:tc>
      </w:tr>
      <w:tr w14:paraId="7A047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087" w:type="dxa"/>
            <w:vMerge w:val="continue"/>
            <w:tcBorders>
              <w:tl2br w:val="nil"/>
              <w:tr2bl w:val="nil"/>
            </w:tcBorders>
            <w:vAlign w:val="center"/>
          </w:tcPr>
          <w:p w14:paraId="0BF4F416">
            <w:pPr>
              <w:widowControl/>
              <w:adjustRightInd w:val="0"/>
              <w:snapToGrid w:val="0"/>
              <w:jc w:val="center"/>
              <w:rPr>
                <w:rFonts w:hint="default" w:ascii="Times New Roman" w:hAnsi="Times New Roman" w:cs="Times New Roman"/>
                <w:color w:val="auto"/>
                <w:kern w:val="0"/>
                <w:szCs w:val="21"/>
                <w:highlight w:val="none"/>
              </w:rPr>
            </w:pPr>
          </w:p>
        </w:tc>
        <w:tc>
          <w:tcPr>
            <w:tcW w:w="1560" w:type="dxa"/>
            <w:tcBorders>
              <w:tl2br w:val="nil"/>
              <w:tr2bl w:val="nil"/>
            </w:tcBorders>
            <w:vAlign w:val="center"/>
          </w:tcPr>
          <w:p w14:paraId="034FF6C2">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委陵菜属</w:t>
            </w:r>
          </w:p>
        </w:tc>
        <w:tc>
          <w:tcPr>
            <w:tcW w:w="1347" w:type="dxa"/>
            <w:tcBorders>
              <w:tl2br w:val="nil"/>
              <w:tr2bl w:val="nil"/>
            </w:tcBorders>
            <w:vAlign w:val="center"/>
          </w:tcPr>
          <w:p w14:paraId="34B3FB61">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委陵菜</w:t>
            </w:r>
          </w:p>
        </w:tc>
        <w:tc>
          <w:tcPr>
            <w:tcW w:w="2655" w:type="dxa"/>
            <w:tcBorders>
              <w:tl2br w:val="nil"/>
              <w:tr2bl w:val="nil"/>
            </w:tcBorders>
            <w:vAlign w:val="center"/>
          </w:tcPr>
          <w:p w14:paraId="66BE089D">
            <w:pPr>
              <w:widowControl/>
              <w:jc w:val="center"/>
              <w:textAlignment w:val="top"/>
              <w:rPr>
                <w:rFonts w:hint="default" w:ascii="Times New Roman" w:hAnsi="Times New Roman" w:cs="Times New Roman"/>
                <w:i/>
                <w:iCs/>
                <w:color w:val="auto"/>
                <w:kern w:val="0"/>
                <w:szCs w:val="21"/>
                <w:highlight w:val="none"/>
                <w:lang w:bidi="ar"/>
              </w:rPr>
            </w:pPr>
            <w:r>
              <w:rPr>
                <w:rFonts w:hint="default" w:ascii="Times New Roman" w:hAnsi="Times New Roman" w:cs="Times New Roman"/>
                <w:i/>
                <w:iCs/>
                <w:color w:val="auto"/>
                <w:kern w:val="0"/>
                <w:szCs w:val="21"/>
                <w:highlight w:val="none"/>
                <w:lang w:bidi="ar"/>
              </w:rPr>
              <w:t>Potentilla chinensis</w:t>
            </w:r>
          </w:p>
        </w:tc>
        <w:tc>
          <w:tcPr>
            <w:tcW w:w="1890" w:type="dxa"/>
            <w:tcBorders>
              <w:tl2br w:val="nil"/>
              <w:tr2bl w:val="nil"/>
            </w:tcBorders>
            <w:vAlign w:val="center"/>
          </w:tcPr>
          <w:p w14:paraId="2BAEE982">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多年生草本</w:t>
            </w:r>
          </w:p>
        </w:tc>
      </w:tr>
    </w:tbl>
    <w:p w14:paraId="2444845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由上表可知，评价区植被类型较简单，主要分布人工林、灌草本植物，因此本次评价采用样地调查的方式对植物群落调进行调查，调查植物种类、植被类型。</w:t>
      </w:r>
    </w:p>
    <w:p w14:paraId="550B998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（4）植物样方调查</w:t>
      </w:r>
    </w:p>
    <w:p w14:paraId="2AEF54E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1）样方设置</w:t>
      </w:r>
    </w:p>
    <w:p w14:paraId="419BF5B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植被调查取样的目的是要通过样地的研究准确地推测评价区域植被的群落特征，所选取的样地具有代表性，能通过尽可能少的抽样获得较为准确的有关总体的特征。</w:t>
      </w:r>
    </w:p>
    <w:p w14:paraId="140779B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在对调查区域的植被进行样地调查中，采取的原则是：</w:t>
      </w:r>
    </w:p>
    <w:p w14:paraId="50ED99E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①尽量在植被良好的区域设置样点，并考虑调査区域布点的均匀性。</w:t>
      </w:r>
    </w:p>
    <w:p w14:paraId="4461AEA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②所选取的样点植被为调査区域分布比较普遍的类型。</w:t>
      </w:r>
    </w:p>
    <w:p w14:paraId="10A2BE0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③样点的设置避免对同一种植被进行重复设点。</w:t>
      </w:r>
    </w:p>
    <w:p w14:paraId="361B443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④重点在拟建工程典型施工场地或者影响范围设点。</w:t>
      </w:r>
    </w:p>
    <w:p w14:paraId="1968E25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以上原则保证了样点的布置具有代表性，调査结果中的植被应包括调査区分布最普遍、最主要的植被类型。</w:t>
      </w:r>
    </w:p>
    <w:p w14:paraId="407E803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植被调查主要采取样线调查和样方调查相结合的方法。样线调查中，针对调查区域的地形、地势特点，沿着山坡垂直向上，直到调查区域的上限为一条完整的样线。样方调查方法：采取典型选样的方式设置样地。典型乔木样地设置为10m×10m、</w:t>
      </w:r>
      <w:r>
        <w:rPr>
          <w:rFonts w:hint="default" w:ascii="Times New Roman" w:hAnsi="Times New Roman" w:cs="Times New Roman"/>
          <w:color w:val="auto"/>
          <w:sz w:val="24"/>
          <w:highlight w:val="none"/>
          <w:lang w:val="en-US" w:eastAsia="zh-CN"/>
        </w:rPr>
        <w:t>草丛</w:t>
      </w:r>
      <w:r>
        <w:rPr>
          <w:rFonts w:hint="default" w:ascii="Times New Roman" w:hAnsi="Times New Roman" w:cs="Times New Roman"/>
          <w:color w:val="auto"/>
          <w:sz w:val="24"/>
          <w:highlight w:val="none"/>
        </w:rPr>
        <w:t>植被的样地为1m×1m。记录样地内的所有植物种类，并利用GPS确定样地位置。</w:t>
      </w:r>
    </w:p>
    <w:p w14:paraId="38FC844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经过现场踏勘及初步的资料收集，根据工程区的植被类型以及场地布置情况设置，在工程区设置了</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个样方。样方就是在有一定大小的面积上来量测个体数量，从而确定某一物种在群落中的密度或者组成。为方便起见一般利用正方形、矩形等容易计算面积的形状进行调查。样方具体设置情况见下表。</w:t>
      </w:r>
    </w:p>
    <w:p w14:paraId="427350E5">
      <w:pPr>
        <w:pStyle w:val="666"/>
        <w:spacing w:line="360" w:lineRule="auto"/>
        <w:ind w:firstLine="0"/>
        <w:jc w:val="center"/>
        <w:rPr>
          <w:rFonts w:hint="default" w:ascii="Times New Roman" w:hAnsi="Times New Roman" w:eastAsia="黑体" w:cs="Times New Roman"/>
          <w:color w:val="auto"/>
          <w:kern w:val="0"/>
          <w:highlight w:val="none"/>
          <w:lang w:val="en-US" w:eastAsia="zh-CN"/>
        </w:rPr>
      </w:pPr>
      <w:r>
        <w:rPr>
          <w:rFonts w:hint="default" w:ascii="Times New Roman" w:hAnsi="Times New Roman" w:eastAsia="黑体" w:cs="Times New Roman"/>
          <w:color w:val="auto"/>
          <w:kern w:val="0"/>
          <w:highlight w:val="none"/>
          <w:lang w:val="en-US" w:eastAsia="zh-CN"/>
        </w:rPr>
        <w:t>表3.4-20  项目植被样方设置情况一览表</w:t>
      </w:r>
    </w:p>
    <w:tbl>
      <w:tblPr>
        <w:tblStyle w:val="5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93"/>
        <w:gridCol w:w="2800"/>
        <w:gridCol w:w="1560"/>
        <w:gridCol w:w="3917"/>
      </w:tblGrid>
      <w:tr w14:paraId="2C3ED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7" w:type="pct"/>
            <w:tcBorders>
              <w:tl2br w:val="nil"/>
              <w:tr2bl w:val="nil"/>
            </w:tcBorders>
            <w:vAlign w:val="center"/>
          </w:tcPr>
          <w:p w14:paraId="5572F201">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样方号</w:t>
            </w:r>
          </w:p>
        </w:tc>
        <w:tc>
          <w:tcPr>
            <w:tcW w:w="1526" w:type="pct"/>
            <w:tcBorders>
              <w:tl2br w:val="nil"/>
              <w:tr2bl w:val="nil"/>
            </w:tcBorders>
            <w:vAlign w:val="center"/>
          </w:tcPr>
          <w:p w14:paraId="5A68CFE9">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经纬度坐标</w:t>
            </w:r>
          </w:p>
        </w:tc>
        <w:tc>
          <w:tcPr>
            <w:tcW w:w="850" w:type="pct"/>
            <w:tcBorders>
              <w:tl2br w:val="nil"/>
              <w:tr2bl w:val="nil"/>
            </w:tcBorders>
            <w:vAlign w:val="center"/>
          </w:tcPr>
          <w:p w14:paraId="4F6CC9B0">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主要植被类型</w:t>
            </w:r>
          </w:p>
        </w:tc>
        <w:tc>
          <w:tcPr>
            <w:tcW w:w="2135" w:type="pct"/>
            <w:tcBorders>
              <w:tl2br w:val="nil"/>
              <w:tr2bl w:val="nil"/>
            </w:tcBorders>
            <w:vAlign w:val="center"/>
          </w:tcPr>
          <w:p w14:paraId="65334201">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样方照片</w:t>
            </w:r>
          </w:p>
        </w:tc>
      </w:tr>
      <w:tr w14:paraId="27233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83" w:hRule="atLeast"/>
          <w:jc w:val="center"/>
        </w:trPr>
        <w:tc>
          <w:tcPr>
            <w:tcW w:w="487" w:type="pct"/>
            <w:tcBorders>
              <w:tl2br w:val="nil"/>
              <w:tr2bl w:val="nil"/>
            </w:tcBorders>
            <w:vAlign w:val="center"/>
          </w:tcPr>
          <w:p w14:paraId="1AB79134">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1526" w:type="pct"/>
            <w:tcBorders>
              <w:tl2br w:val="nil"/>
              <w:tr2bl w:val="nil"/>
            </w:tcBorders>
            <w:vAlign w:val="center"/>
          </w:tcPr>
          <w:p w14:paraId="1DC6B25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95.524025°E，29.889699°N</w:t>
            </w:r>
          </w:p>
        </w:tc>
        <w:tc>
          <w:tcPr>
            <w:tcW w:w="850" w:type="pct"/>
            <w:tcBorders>
              <w:tl2br w:val="nil"/>
              <w:tr2bl w:val="nil"/>
            </w:tcBorders>
            <w:vAlign w:val="center"/>
          </w:tcPr>
          <w:p w14:paraId="6922953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落叶阔叶林</w:t>
            </w:r>
          </w:p>
        </w:tc>
        <w:tc>
          <w:tcPr>
            <w:tcW w:w="2135" w:type="pct"/>
            <w:tcBorders>
              <w:tl2br w:val="nil"/>
              <w:tr2bl w:val="nil"/>
            </w:tcBorders>
            <w:vAlign w:val="center"/>
          </w:tcPr>
          <w:p w14:paraId="078C663D">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drawing>
                <wp:inline distT="0" distB="0" distL="114300" distR="114300">
                  <wp:extent cx="2223770" cy="1250950"/>
                  <wp:effectExtent l="0" t="0" r="1270" b="13970"/>
                  <wp:docPr id="24" name="图片 24" descr="825a986cd930130ee875000b907ab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25a986cd930130ee875000b907ab6fd"/>
                          <pic:cNvPicPr>
                            <a:picLocks noChangeAspect="1"/>
                          </pic:cNvPicPr>
                        </pic:nvPicPr>
                        <pic:blipFill>
                          <a:blip r:embed="rId48"/>
                          <a:stretch>
                            <a:fillRect/>
                          </a:stretch>
                        </pic:blipFill>
                        <pic:spPr>
                          <a:xfrm>
                            <a:off x="0" y="0"/>
                            <a:ext cx="2223770" cy="1250950"/>
                          </a:xfrm>
                          <a:prstGeom prst="rect">
                            <a:avLst/>
                          </a:prstGeom>
                        </pic:spPr>
                      </pic:pic>
                    </a:graphicData>
                  </a:graphic>
                </wp:inline>
              </w:drawing>
            </w:r>
          </w:p>
        </w:tc>
      </w:tr>
      <w:tr w14:paraId="26C59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1" w:hRule="atLeast"/>
          <w:jc w:val="center"/>
        </w:trPr>
        <w:tc>
          <w:tcPr>
            <w:tcW w:w="487" w:type="pct"/>
            <w:tcBorders>
              <w:tl2br w:val="nil"/>
              <w:tr2bl w:val="nil"/>
            </w:tcBorders>
            <w:vAlign w:val="center"/>
          </w:tcPr>
          <w:p w14:paraId="7C15C54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1526" w:type="pct"/>
            <w:tcBorders>
              <w:tl2br w:val="nil"/>
              <w:tr2bl w:val="nil"/>
            </w:tcBorders>
            <w:vAlign w:val="center"/>
          </w:tcPr>
          <w:p w14:paraId="1A7B5722">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95.550353°E，29.874518°N</w:t>
            </w:r>
          </w:p>
        </w:tc>
        <w:tc>
          <w:tcPr>
            <w:tcW w:w="850" w:type="pct"/>
            <w:tcBorders>
              <w:tl2br w:val="nil"/>
              <w:tr2bl w:val="nil"/>
            </w:tcBorders>
            <w:vAlign w:val="center"/>
          </w:tcPr>
          <w:p w14:paraId="4C1D66CF">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落叶阔叶林</w:t>
            </w:r>
          </w:p>
        </w:tc>
        <w:tc>
          <w:tcPr>
            <w:tcW w:w="2135" w:type="pct"/>
            <w:tcBorders>
              <w:tl2br w:val="nil"/>
              <w:tr2bl w:val="nil"/>
            </w:tcBorders>
            <w:vAlign w:val="center"/>
          </w:tcPr>
          <w:p w14:paraId="2D9AD85C">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drawing>
                <wp:inline distT="0" distB="0" distL="114300" distR="114300">
                  <wp:extent cx="2223770" cy="1250950"/>
                  <wp:effectExtent l="0" t="0" r="1270" b="13970"/>
                  <wp:docPr id="19" name="图片 19" descr="33924605caf3c1c14468d86fd7ea3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3924605caf3c1c14468d86fd7ea349b"/>
                          <pic:cNvPicPr>
                            <a:picLocks noChangeAspect="1"/>
                          </pic:cNvPicPr>
                        </pic:nvPicPr>
                        <pic:blipFill>
                          <a:blip r:embed="rId49"/>
                          <a:stretch>
                            <a:fillRect/>
                          </a:stretch>
                        </pic:blipFill>
                        <pic:spPr>
                          <a:xfrm>
                            <a:off x="0" y="0"/>
                            <a:ext cx="2223770" cy="1250950"/>
                          </a:xfrm>
                          <a:prstGeom prst="rect">
                            <a:avLst/>
                          </a:prstGeom>
                        </pic:spPr>
                      </pic:pic>
                    </a:graphicData>
                  </a:graphic>
                </wp:inline>
              </w:drawing>
            </w:r>
          </w:p>
        </w:tc>
      </w:tr>
      <w:tr w14:paraId="1B1E9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1" w:hRule="atLeast"/>
          <w:jc w:val="center"/>
        </w:trPr>
        <w:tc>
          <w:tcPr>
            <w:tcW w:w="487" w:type="pct"/>
            <w:tcBorders>
              <w:tl2br w:val="nil"/>
              <w:tr2bl w:val="nil"/>
            </w:tcBorders>
            <w:vAlign w:val="center"/>
          </w:tcPr>
          <w:p w14:paraId="02FF91DB">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w:t>
            </w:r>
          </w:p>
        </w:tc>
        <w:tc>
          <w:tcPr>
            <w:tcW w:w="1526" w:type="pct"/>
            <w:tcBorders>
              <w:tl2br w:val="nil"/>
              <w:tr2bl w:val="nil"/>
            </w:tcBorders>
            <w:shd w:val="clear" w:color="auto" w:fill="auto"/>
            <w:vAlign w:val="center"/>
          </w:tcPr>
          <w:p w14:paraId="20CC7771">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95.52602</w:t>
            </w:r>
            <w:r>
              <w:rPr>
                <w:rFonts w:hint="default" w:ascii="Times New Roman" w:hAnsi="Times New Roman"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°E，29.879700°N</w:t>
            </w:r>
          </w:p>
        </w:tc>
        <w:tc>
          <w:tcPr>
            <w:tcW w:w="850" w:type="pct"/>
            <w:tcBorders>
              <w:tl2br w:val="nil"/>
              <w:tr2bl w:val="nil"/>
            </w:tcBorders>
            <w:shd w:val="clear" w:color="auto" w:fill="auto"/>
            <w:vAlign w:val="center"/>
          </w:tcPr>
          <w:p w14:paraId="12FF758D">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落叶阔叶林</w:t>
            </w:r>
          </w:p>
        </w:tc>
        <w:tc>
          <w:tcPr>
            <w:tcW w:w="2135" w:type="pct"/>
            <w:tcBorders>
              <w:tl2br w:val="nil"/>
              <w:tr2bl w:val="nil"/>
            </w:tcBorders>
            <w:vAlign w:val="center"/>
          </w:tcPr>
          <w:p w14:paraId="2EF9FE55">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drawing>
                <wp:inline distT="0" distB="0" distL="114300" distR="114300">
                  <wp:extent cx="2223770" cy="1250950"/>
                  <wp:effectExtent l="0" t="0" r="1270" b="13970"/>
                  <wp:docPr id="20" name="图片 20" descr="e1317a6bcc585db5a0587e4aafd8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1317a6bcc585db5a0587e4aafd89878"/>
                          <pic:cNvPicPr>
                            <a:picLocks noChangeAspect="1"/>
                          </pic:cNvPicPr>
                        </pic:nvPicPr>
                        <pic:blipFill>
                          <a:blip r:embed="rId50"/>
                          <a:stretch>
                            <a:fillRect/>
                          </a:stretch>
                        </pic:blipFill>
                        <pic:spPr>
                          <a:xfrm>
                            <a:off x="0" y="0"/>
                            <a:ext cx="2223770" cy="1250950"/>
                          </a:xfrm>
                          <a:prstGeom prst="rect">
                            <a:avLst/>
                          </a:prstGeom>
                        </pic:spPr>
                      </pic:pic>
                    </a:graphicData>
                  </a:graphic>
                </wp:inline>
              </w:drawing>
            </w:r>
          </w:p>
        </w:tc>
      </w:tr>
      <w:tr w14:paraId="01C79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1" w:hRule="atLeast"/>
          <w:jc w:val="center"/>
        </w:trPr>
        <w:tc>
          <w:tcPr>
            <w:tcW w:w="487" w:type="pct"/>
            <w:tcBorders>
              <w:tl2br w:val="nil"/>
              <w:tr2bl w:val="nil"/>
            </w:tcBorders>
            <w:vAlign w:val="center"/>
          </w:tcPr>
          <w:p w14:paraId="663430F6">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w:t>
            </w:r>
          </w:p>
        </w:tc>
        <w:tc>
          <w:tcPr>
            <w:tcW w:w="1526" w:type="pct"/>
            <w:tcBorders>
              <w:tl2br w:val="nil"/>
              <w:tr2bl w:val="nil"/>
            </w:tcBorders>
            <w:shd w:val="clear" w:color="auto" w:fill="auto"/>
            <w:vAlign w:val="center"/>
          </w:tcPr>
          <w:p w14:paraId="3D855B69">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95.606165°E，29.882221°N</w:t>
            </w:r>
          </w:p>
        </w:tc>
        <w:tc>
          <w:tcPr>
            <w:tcW w:w="850" w:type="pct"/>
            <w:tcBorders>
              <w:tl2br w:val="nil"/>
              <w:tr2bl w:val="nil"/>
            </w:tcBorders>
            <w:shd w:val="clear" w:color="auto" w:fill="auto"/>
            <w:vAlign w:val="center"/>
          </w:tcPr>
          <w:p w14:paraId="652C1917">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落叶阔叶林</w:t>
            </w:r>
          </w:p>
        </w:tc>
        <w:tc>
          <w:tcPr>
            <w:tcW w:w="2135" w:type="pct"/>
            <w:tcBorders>
              <w:tl2br w:val="nil"/>
              <w:tr2bl w:val="nil"/>
            </w:tcBorders>
            <w:vAlign w:val="center"/>
          </w:tcPr>
          <w:p w14:paraId="0700ACC0">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drawing>
                <wp:inline distT="0" distB="0" distL="114300" distR="114300">
                  <wp:extent cx="2223770" cy="1250950"/>
                  <wp:effectExtent l="0" t="0" r="1270" b="13970"/>
                  <wp:docPr id="28" name="图片 28" descr="8a8045e7b20c2d97bf61c8d10715c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a8045e7b20c2d97bf61c8d10715ce96"/>
                          <pic:cNvPicPr>
                            <a:picLocks noChangeAspect="1"/>
                          </pic:cNvPicPr>
                        </pic:nvPicPr>
                        <pic:blipFill>
                          <a:blip r:embed="rId51"/>
                          <a:stretch>
                            <a:fillRect/>
                          </a:stretch>
                        </pic:blipFill>
                        <pic:spPr>
                          <a:xfrm>
                            <a:off x="0" y="0"/>
                            <a:ext cx="2223770" cy="1250950"/>
                          </a:xfrm>
                          <a:prstGeom prst="rect">
                            <a:avLst/>
                          </a:prstGeom>
                        </pic:spPr>
                      </pic:pic>
                    </a:graphicData>
                  </a:graphic>
                </wp:inline>
              </w:drawing>
            </w:r>
          </w:p>
        </w:tc>
      </w:tr>
      <w:tr w14:paraId="6581A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1" w:hRule="atLeast"/>
          <w:jc w:val="center"/>
        </w:trPr>
        <w:tc>
          <w:tcPr>
            <w:tcW w:w="487" w:type="pct"/>
            <w:tcBorders>
              <w:tl2br w:val="nil"/>
              <w:tr2bl w:val="nil"/>
            </w:tcBorders>
            <w:vAlign w:val="center"/>
          </w:tcPr>
          <w:p w14:paraId="119DE2A2">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5</w:t>
            </w:r>
          </w:p>
        </w:tc>
        <w:tc>
          <w:tcPr>
            <w:tcW w:w="1526" w:type="pct"/>
            <w:tcBorders>
              <w:tl2br w:val="nil"/>
              <w:tr2bl w:val="nil"/>
            </w:tcBorders>
            <w:shd w:val="clear" w:color="auto" w:fill="auto"/>
            <w:vAlign w:val="center"/>
          </w:tcPr>
          <w:p w14:paraId="13C11BE7">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95.648050°E，29.88861</w:t>
            </w:r>
            <w:r>
              <w:rPr>
                <w:rFonts w:hint="default" w:ascii="Times New Roman" w:hAnsi="Times New Roman" w:cs="Times New Roman"/>
                <w:color w:val="auto"/>
                <w:kern w:val="0"/>
                <w:szCs w:val="21"/>
                <w:highlight w:val="none"/>
                <w:lang w:val="en-US" w:eastAsia="zh-CN"/>
              </w:rPr>
              <w:t>6</w:t>
            </w:r>
            <w:r>
              <w:rPr>
                <w:rFonts w:hint="default" w:ascii="Times New Roman" w:hAnsi="Times New Roman" w:cs="Times New Roman"/>
                <w:color w:val="auto"/>
                <w:kern w:val="0"/>
                <w:szCs w:val="21"/>
                <w:highlight w:val="none"/>
              </w:rPr>
              <w:t>°N</w:t>
            </w:r>
          </w:p>
        </w:tc>
        <w:tc>
          <w:tcPr>
            <w:tcW w:w="850" w:type="pct"/>
            <w:tcBorders>
              <w:tl2br w:val="nil"/>
              <w:tr2bl w:val="nil"/>
            </w:tcBorders>
            <w:shd w:val="clear" w:color="auto" w:fill="auto"/>
            <w:vAlign w:val="center"/>
          </w:tcPr>
          <w:p w14:paraId="0CBEB537">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落叶阔叶林</w:t>
            </w:r>
          </w:p>
        </w:tc>
        <w:tc>
          <w:tcPr>
            <w:tcW w:w="2135" w:type="pct"/>
            <w:tcBorders>
              <w:tl2br w:val="nil"/>
              <w:tr2bl w:val="nil"/>
            </w:tcBorders>
            <w:vAlign w:val="center"/>
          </w:tcPr>
          <w:p w14:paraId="79D7839E">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drawing>
                <wp:inline distT="0" distB="0" distL="114300" distR="114300">
                  <wp:extent cx="2223770" cy="1250950"/>
                  <wp:effectExtent l="0" t="0" r="1270" b="13970"/>
                  <wp:docPr id="27" name="图片 27" descr="a384ef83c1d69ff423ddf13c4c0fc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384ef83c1d69ff423ddf13c4c0fc01b"/>
                          <pic:cNvPicPr>
                            <a:picLocks noChangeAspect="1"/>
                          </pic:cNvPicPr>
                        </pic:nvPicPr>
                        <pic:blipFill>
                          <a:blip r:embed="rId52"/>
                          <a:stretch>
                            <a:fillRect/>
                          </a:stretch>
                        </pic:blipFill>
                        <pic:spPr>
                          <a:xfrm>
                            <a:off x="0" y="0"/>
                            <a:ext cx="2223770" cy="1250950"/>
                          </a:xfrm>
                          <a:prstGeom prst="rect">
                            <a:avLst/>
                          </a:prstGeom>
                        </pic:spPr>
                      </pic:pic>
                    </a:graphicData>
                  </a:graphic>
                </wp:inline>
              </w:drawing>
            </w:r>
          </w:p>
        </w:tc>
      </w:tr>
      <w:tr w14:paraId="75617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8" w:hRule="atLeast"/>
          <w:jc w:val="center"/>
        </w:trPr>
        <w:tc>
          <w:tcPr>
            <w:tcW w:w="487" w:type="pct"/>
            <w:tcBorders>
              <w:tl2br w:val="nil"/>
              <w:tr2bl w:val="nil"/>
            </w:tcBorders>
            <w:vAlign w:val="center"/>
          </w:tcPr>
          <w:p w14:paraId="3D7AB970">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w:t>
            </w:r>
          </w:p>
        </w:tc>
        <w:tc>
          <w:tcPr>
            <w:tcW w:w="1526" w:type="pct"/>
            <w:tcBorders>
              <w:tl2br w:val="nil"/>
              <w:tr2bl w:val="nil"/>
            </w:tcBorders>
            <w:vAlign w:val="center"/>
          </w:tcPr>
          <w:p w14:paraId="2E991C74">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95.522523°E，29.892569°N</w:t>
            </w:r>
          </w:p>
        </w:tc>
        <w:tc>
          <w:tcPr>
            <w:tcW w:w="850" w:type="pct"/>
            <w:tcBorders>
              <w:tl2br w:val="nil"/>
              <w:tr2bl w:val="nil"/>
            </w:tcBorders>
            <w:vAlign w:val="center"/>
          </w:tcPr>
          <w:p w14:paraId="021D6B4D">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草丛</w:t>
            </w:r>
          </w:p>
        </w:tc>
        <w:tc>
          <w:tcPr>
            <w:tcW w:w="2135" w:type="pct"/>
            <w:tcBorders>
              <w:tl2br w:val="nil"/>
              <w:tr2bl w:val="nil"/>
            </w:tcBorders>
            <w:vAlign w:val="center"/>
          </w:tcPr>
          <w:p w14:paraId="1605B712">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drawing>
                <wp:inline distT="0" distB="0" distL="114300" distR="114300">
                  <wp:extent cx="2216150" cy="1661795"/>
                  <wp:effectExtent l="0" t="0" r="8890" b="14605"/>
                  <wp:docPr id="15" name="图片 15" descr="72057adb877d4e43f91c20b47ba0b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2057adb877d4e43f91c20b47ba0b790"/>
                          <pic:cNvPicPr>
                            <a:picLocks noChangeAspect="1"/>
                          </pic:cNvPicPr>
                        </pic:nvPicPr>
                        <pic:blipFill>
                          <a:blip r:embed="rId53"/>
                          <a:stretch>
                            <a:fillRect/>
                          </a:stretch>
                        </pic:blipFill>
                        <pic:spPr>
                          <a:xfrm>
                            <a:off x="0" y="0"/>
                            <a:ext cx="2216150" cy="1661795"/>
                          </a:xfrm>
                          <a:prstGeom prst="rect">
                            <a:avLst/>
                          </a:prstGeom>
                        </pic:spPr>
                      </pic:pic>
                    </a:graphicData>
                  </a:graphic>
                </wp:inline>
              </w:drawing>
            </w:r>
          </w:p>
        </w:tc>
      </w:tr>
      <w:tr w14:paraId="3D668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60" w:hRule="atLeast"/>
          <w:jc w:val="center"/>
        </w:trPr>
        <w:tc>
          <w:tcPr>
            <w:tcW w:w="487" w:type="pct"/>
            <w:tcBorders>
              <w:tl2br w:val="nil"/>
              <w:tr2bl w:val="nil"/>
            </w:tcBorders>
            <w:vAlign w:val="center"/>
          </w:tcPr>
          <w:p w14:paraId="193E1C7F">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7</w:t>
            </w:r>
          </w:p>
        </w:tc>
        <w:tc>
          <w:tcPr>
            <w:tcW w:w="1526" w:type="pct"/>
            <w:tcBorders>
              <w:tl2br w:val="nil"/>
              <w:tr2bl w:val="nil"/>
            </w:tcBorders>
            <w:vAlign w:val="center"/>
          </w:tcPr>
          <w:p w14:paraId="0E37EC37">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95.526224°E，29.882087°N</w:t>
            </w:r>
          </w:p>
        </w:tc>
        <w:tc>
          <w:tcPr>
            <w:tcW w:w="850" w:type="pct"/>
            <w:tcBorders>
              <w:tl2br w:val="nil"/>
              <w:tr2bl w:val="nil"/>
            </w:tcBorders>
            <w:vAlign w:val="center"/>
          </w:tcPr>
          <w:p w14:paraId="276AD26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草丛</w:t>
            </w:r>
          </w:p>
        </w:tc>
        <w:tc>
          <w:tcPr>
            <w:tcW w:w="2135" w:type="pct"/>
            <w:tcBorders>
              <w:tl2br w:val="nil"/>
              <w:tr2bl w:val="nil"/>
            </w:tcBorders>
            <w:vAlign w:val="center"/>
          </w:tcPr>
          <w:p w14:paraId="629907C3">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drawing>
                <wp:inline distT="0" distB="0" distL="114300" distR="114300">
                  <wp:extent cx="2223770" cy="2964815"/>
                  <wp:effectExtent l="0" t="0" r="1270" b="6985"/>
                  <wp:docPr id="16" name="图片 16" descr="36d1de6d86d7bd4c1eae7d6d19bdd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d1de6d86d7bd4c1eae7d6d19bdd2c2"/>
                          <pic:cNvPicPr>
                            <a:picLocks noChangeAspect="1"/>
                          </pic:cNvPicPr>
                        </pic:nvPicPr>
                        <pic:blipFill>
                          <a:blip r:embed="rId54"/>
                          <a:stretch>
                            <a:fillRect/>
                          </a:stretch>
                        </pic:blipFill>
                        <pic:spPr>
                          <a:xfrm>
                            <a:off x="0" y="0"/>
                            <a:ext cx="2223770" cy="2964815"/>
                          </a:xfrm>
                          <a:prstGeom prst="rect">
                            <a:avLst/>
                          </a:prstGeom>
                        </pic:spPr>
                      </pic:pic>
                    </a:graphicData>
                  </a:graphic>
                </wp:inline>
              </w:drawing>
            </w:r>
          </w:p>
        </w:tc>
      </w:tr>
      <w:tr w14:paraId="5B198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60" w:hRule="atLeast"/>
          <w:jc w:val="center"/>
        </w:trPr>
        <w:tc>
          <w:tcPr>
            <w:tcW w:w="487" w:type="pct"/>
            <w:tcBorders>
              <w:tl2br w:val="nil"/>
              <w:tr2bl w:val="nil"/>
            </w:tcBorders>
            <w:vAlign w:val="center"/>
          </w:tcPr>
          <w:p w14:paraId="3A3CD740">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8</w:t>
            </w:r>
          </w:p>
        </w:tc>
        <w:tc>
          <w:tcPr>
            <w:tcW w:w="1526" w:type="pct"/>
            <w:tcBorders>
              <w:tl2br w:val="nil"/>
              <w:tr2bl w:val="nil"/>
            </w:tcBorders>
            <w:vAlign w:val="center"/>
          </w:tcPr>
          <w:p w14:paraId="0360AD3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95.556501°E，29.879458°N</w:t>
            </w:r>
          </w:p>
        </w:tc>
        <w:tc>
          <w:tcPr>
            <w:tcW w:w="850" w:type="pct"/>
            <w:tcBorders>
              <w:tl2br w:val="nil"/>
              <w:tr2bl w:val="nil"/>
            </w:tcBorders>
            <w:vAlign w:val="center"/>
          </w:tcPr>
          <w:p w14:paraId="1FAC266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草丛</w:t>
            </w:r>
          </w:p>
        </w:tc>
        <w:tc>
          <w:tcPr>
            <w:tcW w:w="2135" w:type="pct"/>
            <w:tcBorders>
              <w:tl2br w:val="nil"/>
              <w:tr2bl w:val="nil"/>
            </w:tcBorders>
            <w:vAlign w:val="center"/>
          </w:tcPr>
          <w:p w14:paraId="5F9DCA8D">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drawing>
                <wp:inline distT="0" distB="0" distL="114300" distR="114300">
                  <wp:extent cx="2223770" cy="2964815"/>
                  <wp:effectExtent l="0" t="0" r="1270" b="6985"/>
                  <wp:docPr id="17" name="图片 17" descr="81791ce8b407485266ba16b1b095c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1791ce8b407485266ba16b1b095ce2f"/>
                          <pic:cNvPicPr>
                            <a:picLocks noChangeAspect="1"/>
                          </pic:cNvPicPr>
                        </pic:nvPicPr>
                        <pic:blipFill>
                          <a:blip r:embed="rId55"/>
                          <a:stretch>
                            <a:fillRect/>
                          </a:stretch>
                        </pic:blipFill>
                        <pic:spPr>
                          <a:xfrm>
                            <a:off x="0" y="0"/>
                            <a:ext cx="2223770" cy="2964815"/>
                          </a:xfrm>
                          <a:prstGeom prst="rect">
                            <a:avLst/>
                          </a:prstGeom>
                        </pic:spPr>
                      </pic:pic>
                    </a:graphicData>
                  </a:graphic>
                </wp:inline>
              </w:drawing>
            </w:r>
          </w:p>
        </w:tc>
      </w:tr>
      <w:tr w14:paraId="69399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60" w:hRule="atLeast"/>
          <w:jc w:val="center"/>
        </w:trPr>
        <w:tc>
          <w:tcPr>
            <w:tcW w:w="487" w:type="pct"/>
            <w:tcBorders>
              <w:tl2br w:val="nil"/>
              <w:tr2bl w:val="nil"/>
            </w:tcBorders>
            <w:vAlign w:val="center"/>
          </w:tcPr>
          <w:p w14:paraId="6F9D882A">
            <w:pPr>
              <w:adjustRightInd w:val="0"/>
              <w:snapToGrid w:val="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9</w:t>
            </w:r>
          </w:p>
        </w:tc>
        <w:tc>
          <w:tcPr>
            <w:tcW w:w="1526" w:type="pct"/>
            <w:tcBorders>
              <w:tl2br w:val="nil"/>
              <w:tr2bl w:val="nil"/>
            </w:tcBorders>
            <w:vAlign w:val="center"/>
          </w:tcPr>
          <w:p w14:paraId="7EAFE9BC">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95.613106°E，29.885123°N</w:t>
            </w:r>
          </w:p>
        </w:tc>
        <w:tc>
          <w:tcPr>
            <w:tcW w:w="850" w:type="pct"/>
            <w:tcBorders>
              <w:tl2br w:val="nil"/>
              <w:tr2bl w:val="nil"/>
            </w:tcBorders>
            <w:vAlign w:val="center"/>
          </w:tcPr>
          <w:p w14:paraId="523B832F">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草丛</w:t>
            </w:r>
          </w:p>
        </w:tc>
        <w:tc>
          <w:tcPr>
            <w:tcW w:w="2135" w:type="pct"/>
            <w:tcBorders>
              <w:tl2br w:val="nil"/>
              <w:tr2bl w:val="nil"/>
            </w:tcBorders>
            <w:vAlign w:val="center"/>
          </w:tcPr>
          <w:p w14:paraId="66629071">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drawing>
                <wp:inline distT="0" distB="0" distL="114300" distR="114300">
                  <wp:extent cx="2223770" cy="1250950"/>
                  <wp:effectExtent l="0" t="0" r="1270" b="13970"/>
                  <wp:docPr id="22" name="图片 22" descr="22576ffb9aeb0b535f821ca52f04a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2576ffb9aeb0b535f821ca52f04a349"/>
                          <pic:cNvPicPr>
                            <a:picLocks noChangeAspect="1"/>
                          </pic:cNvPicPr>
                        </pic:nvPicPr>
                        <pic:blipFill>
                          <a:blip r:embed="rId56"/>
                          <a:stretch>
                            <a:fillRect/>
                          </a:stretch>
                        </pic:blipFill>
                        <pic:spPr>
                          <a:xfrm>
                            <a:off x="0" y="0"/>
                            <a:ext cx="2223770" cy="1250950"/>
                          </a:xfrm>
                          <a:prstGeom prst="rect">
                            <a:avLst/>
                          </a:prstGeom>
                        </pic:spPr>
                      </pic:pic>
                    </a:graphicData>
                  </a:graphic>
                </wp:inline>
              </w:drawing>
            </w:r>
          </w:p>
        </w:tc>
      </w:tr>
      <w:tr w14:paraId="77090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60" w:hRule="atLeast"/>
          <w:jc w:val="center"/>
        </w:trPr>
        <w:tc>
          <w:tcPr>
            <w:tcW w:w="487" w:type="pct"/>
            <w:tcBorders>
              <w:tl2br w:val="nil"/>
              <w:tr2bl w:val="nil"/>
            </w:tcBorders>
            <w:vAlign w:val="center"/>
          </w:tcPr>
          <w:p w14:paraId="3CFDF020">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10</w:t>
            </w:r>
          </w:p>
        </w:tc>
        <w:tc>
          <w:tcPr>
            <w:tcW w:w="1526" w:type="pct"/>
            <w:tcBorders>
              <w:tl2br w:val="nil"/>
              <w:tr2bl w:val="nil"/>
            </w:tcBorders>
            <w:vAlign w:val="center"/>
          </w:tcPr>
          <w:p w14:paraId="73D64C9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95.640100°E，29.890552°N</w:t>
            </w:r>
          </w:p>
        </w:tc>
        <w:tc>
          <w:tcPr>
            <w:tcW w:w="850" w:type="pct"/>
            <w:tcBorders>
              <w:tl2br w:val="nil"/>
              <w:tr2bl w:val="nil"/>
            </w:tcBorders>
            <w:vAlign w:val="center"/>
          </w:tcPr>
          <w:p w14:paraId="20FC63DA">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草丛</w:t>
            </w:r>
          </w:p>
        </w:tc>
        <w:tc>
          <w:tcPr>
            <w:tcW w:w="2135" w:type="pct"/>
            <w:tcBorders>
              <w:tl2br w:val="nil"/>
              <w:tr2bl w:val="nil"/>
            </w:tcBorders>
            <w:vAlign w:val="center"/>
          </w:tcPr>
          <w:p w14:paraId="15D445B9">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drawing>
                <wp:inline distT="0" distB="0" distL="114300" distR="114300">
                  <wp:extent cx="2223770" cy="1250950"/>
                  <wp:effectExtent l="0" t="0" r="1270" b="13970"/>
                  <wp:docPr id="23" name="图片 23" descr="83528e10a453e0036c6a459e5efa7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3528e10a453e0036c6a459e5efa7fe5"/>
                          <pic:cNvPicPr>
                            <a:picLocks noChangeAspect="1"/>
                          </pic:cNvPicPr>
                        </pic:nvPicPr>
                        <pic:blipFill>
                          <a:blip r:embed="rId57"/>
                          <a:stretch>
                            <a:fillRect/>
                          </a:stretch>
                        </pic:blipFill>
                        <pic:spPr>
                          <a:xfrm>
                            <a:off x="0" y="0"/>
                            <a:ext cx="2223770" cy="1250950"/>
                          </a:xfrm>
                          <a:prstGeom prst="rect">
                            <a:avLst/>
                          </a:prstGeom>
                        </pic:spPr>
                      </pic:pic>
                    </a:graphicData>
                  </a:graphic>
                </wp:inline>
              </w:drawing>
            </w:r>
          </w:p>
        </w:tc>
      </w:tr>
    </w:tbl>
    <w:p w14:paraId="3D32BB0C">
      <w:pPr>
        <w:adjustRightInd w:val="0"/>
        <w:snapToGrid w:val="0"/>
        <w:spacing w:before="312" w:beforeLines="10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2）样方调查的内容</w:t>
      </w:r>
    </w:p>
    <w:p w14:paraId="30A711DC">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在样方调查中，主要调查样地植物种类、盖度、高度以及个体数。</w:t>
      </w:r>
    </w:p>
    <w:p w14:paraId="4FFC8DEC">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3）样方调查结果</w:t>
      </w:r>
    </w:p>
    <w:p w14:paraId="5602A416">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样方调查的成果如下：</w:t>
      </w:r>
    </w:p>
    <w:p w14:paraId="366DDDEB">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样方1：样方经纬度坐标95.524025°E，29.889699°N。区域植被主要为落叶阔叶林，群落高度在</w:t>
      </w:r>
      <w:r>
        <w:rPr>
          <w:rFonts w:hint="default" w:ascii="Times New Roman" w:hAnsi="Times New Roman" w:cs="Times New Roman"/>
          <w:color w:val="auto"/>
          <w:kern w:val="0"/>
          <w:sz w:val="24"/>
          <w:highlight w:val="none"/>
          <w:lang w:val="en-US" w:eastAsia="zh-CN"/>
        </w:rPr>
        <w:t>10</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0m左右，覆盖度约为</w:t>
      </w:r>
      <w:r>
        <w:rPr>
          <w:rFonts w:hint="default" w:ascii="Times New Roman" w:hAnsi="Times New Roman"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5%，主要分布有旱柳（</w:t>
      </w:r>
      <w:r>
        <w:rPr>
          <w:rFonts w:hint="default" w:ascii="Times New Roman" w:hAnsi="Times New Roman" w:cs="Times New Roman"/>
          <w:i/>
          <w:iCs/>
          <w:color w:val="auto"/>
          <w:kern w:val="0"/>
          <w:sz w:val="24"/>
          <w:highlight w:val="none"/>
        </w:rPr>
        <w:t>Salixcatsudana</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藏青杨</w:t>
      </w:r>
      <w:r>
        <w:rPr>
          <w:rFonts w:hint="default" w:ascii="Times New Roman" w:hAnsi="Times New Roman" w:cs="Times New Roman"/>
          <w:color w:val="auto"/>
          <w:kern w:val="0"/>
          <w:sz w:val="24"/>
          <w:highlight w:val="none"/>
        </w:rPr>
        <w:t>（Populus szechuanica）、榆树（</w:t>
      </w:r>
      <w:r>
        <w:rPr>
          <w:rFonts w:hint="default" w:ascii="Times New Roman" w:hAnsi="Times New Roman" w:cs="Times New Roman"/>
          <w:i/>
          <w:iCs/>
          <w:color w:val="auto"/>
          <w:kern w:val="0"/>
          <w:sz w:val="24"/>
          <w:highlight w:val="none"/>
        </w:rPr>
        <w:t>Ulcus pucila</w:t>
      </w:r>
      <w:r>
        <w:rPr>
          <w:rFonts w:hint="default" w:ascii="Times New Roman" w:hAnsi="Times New Roman" w:cs="Times New Roman"/>
          <w:color w:val="auto"/>
          <w:kern w:val="0"/>
          <w:sz w:val="24"/>
          <w:highlight w:val="none"/>
        </w:rPr>
        <w:t>）等植物。</w:t>
      </w:r>
    </w:p>
    <w:p w14:paraId="1EB9A7F4">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样方2：样方经纬度坐标：95.550353°E，29.874518°N。区域植被主要为落叶阔叶林，群落高度在</w:t>
      </w:r>
      <w:r>
        <w:rPr>
          <w:rFonts w:hint="default" w:ascii="Times New Roman" w:hAnsi="Times New Roman" w:cs="Times New Roman"/>
          <w:color w:val="auto"/>
          <w:kern w:val="0"/>
          <w:sz w:val="24"/>
          <w:highlight w:val="none"/>
          <w:lang w:val="en-US" w:eastAsia="zh-CN"/>
        </w:rPr>
        <w:t>10</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0m左右，覆盖度约为</w:t>
      </w:r>
      <w:r>
        <w:rPr>
          <w:rFonts w:hint="default" w:ascii="Times New Roman" w:hAnsi="Times New Roman" w:cs="Times New Roman"/>
          <w:color w:val="auto"/>
          <w:kern w:val="0"/>
          <w:sz w:val="24"/>
          <w:highlight w:val="none"/>
          <w:lang w:val="en-US" w:eastAsia="zh-CN"/>
        </w:rPr>
        <w:t>90</w:t>
      </w:r>
      <w:r>
        <w:rPr>
          <w:rFonts w:hint="default" w:ascii="Times New Roman" w:hAnsi="Times New Roman" w:cs="Times New Roman"/>
          <w:color w:val="auto"/>
          <w:kern w:val="0"/>
          <w:sz w:val="24"/>
          <w:highlight w:val="none"/>
        </w:rPr>
        <w:t>%，主要分布有旱柳（</w:t>
      </w:r>
      <w:r>
        <w:rPr>
          <w:rFonts w:hint="default" w:ascii="Times New Roman" w:hAnsi="Times New Roman" w:cs="Times New Roman"/>
          <w:i/>
          <w:iCs/>
          <w:color w:val="auto"/>
          <w:kern w:val="0"/>
          <w:sz w:val="24"/>
          <w:highlight w:val="none"/>
        </w:rPr>
        <w:t>Salixcatsudana</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藏青杨</w:t>
      </w:r>
      <w:r>
        <w:rPr>
          <w:rFonts w:hint="default" w:ascii="Times New Roman" w:hAnsi="Times New Roman" w:cs="Times New Roman"/>
          <w:color w:val="auto"/>
          <w:kern w:val="0"/>
          <w:sz w:val="24"/>
          <w:highlight w:val="none"/>
        </w:rPr>
        <w:t>（Populus szechuanica）、榆树（</w:t>
      </w:r>
      <w:r>
        <w:rPr>
          <w:rFonts w:hint="default" w:ascii="Times New Roman" w:hAnsi="Times New Roman" w:cs="Times New Roman"/>
          <w:i/>
          <w:iCs/>
          <w:color w:val="auto"/>
          <w:kern w:val="0"/>
          <w:sz w:val="24"/>
          <w:highlight w:val="none"/>
        </w:rPr>
        <w:t>Ulcus pucila</w:t>
      </w:r>
      <w:r>
        <w:rPr>
          <w:rFonts w:hint="default" w:ascii="Times New Roman" w:hAnsi="Times New Roman" w:cs="Times New Roman"/>
          <w:color w:val="auto"/>
          <w:kern w:val="0"/>
          <w:sz w:val="24"/>
          <w:highlight w:val="none"/>
        </w:rPr>
        <w:t>）等植物。</w:t>
      </w:r>
    </w:p>
    <w:p w14:paraId="574E2622">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样方3：经纬度坐标：95.526021°E，29.879700°N。区域植被主要为落叶阔叶林，群落高度在</w:t>
      </w:r>
      <w:r>
        <w:rPr>
          <w:rFonts w:hint="default" w:ascii="Times New Roman" w:hAnsi="Times New Roman" w:cs="Times New Roman"/>
          <w:color w:val="auto"/>
          <w:kern w:val="0"/>
          <w:sz w:val="24"/>
          <w:highlight w:val="none"/>
          <w:lang w:val="en-US" w:eastAsia="zh-CN"/>
        </w:rPr>
        <w:t>10</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35</w:t>
      </w:r>
      <w:r>
        <w:rPr>
          <w:rFonts w:hint="default" w:ascii="Times New Roman" w:hAnsi="Times New Roman" w:cs="Times New Roman"/>
          <w:color w:val="auto"/>
          <w:kern w:val="0"/>
          <w:sz w:val="24"/>
          <w:highlight w:val="none"/>
        </w:rPr>
        <w:t>m左右，覆盖度约为</w:t>
      </w:r>
      <w:r>
        <w:rPr>
          <w:rFonts w:hint="default" w:ascii="Times New Roman" w:hAnsi="Times New Roman" w:cs="Times New Roman"/>
          <w:color w:val="auto"/>
          <w:kern w:val="0"/>
          <w:sz w:val="24"/>
          <w:highlight w:val="none"/>
          <w:lang w:val="en-US" w:eastAsia="zh-CN"/>
        </w:rPr>
        <w:t>90</w:t>
      </w:r>
      <w:r>
        <w:rPr>
          <w:rFonts w:hint="default" w:ascii="Times New Roman" w:hAnsi="Times New Roman" w:cs="Times New Roman"/>
          <w:color w:val="auto"/>
          <w:kern w:val="0"/>
          <w:sz w:val="24"/>
          <w:highlight w:val="none"/>
        </w:rPr>
        <w:t>%，主要分布有旱柳（</w:t>
      </w:r>
      <w:r>
        <w:rPr>
          <w:rFonts w:hint="default" w:ascii="Times New Roman" w:hAnsi="Times New Roman" w:cs="Times New Roman"/>
          <w:i/>
          <w:iCs/>
          <w:color w:val="auto"/>
          <w:kern w:val="0"/>
          <w:sz w:val="24"/>
          <w:highlight w:val="none"/>
        </w:rPr>
        <w:t>Salixcatsudana</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藏青杨</w:t>
      </w:r>
      <w:r>
        <w:rPr>
          <w:rFonts w:hint="default" w:ascii="Times New Roman" w:hAnsi="Times New Roman" w:cs="Times New Roman"/>
          <w:color w:val="auto"/>
          <w:kern w:val="0"/>
          <w:sz w:val="24"/>
          <w:highlight w:val="none"/>
        </w:rPr>
        <w:t>（Populus szechuanica）、榆树（</w:t>
      </w:r>
      <w:r>
        <w:rPr>
          <w:rFonts w:hint="default" w:ascii="Times New Roman" w:hAnsi="Times New Roman" w:cs="Times New Roman"/>
          <w:i/>
          <w:iCs/>
          <w:color w:val="auto"/>
          <w:kern w:val="0"/>
          <w:sz w:val="24"/>
          <w:highlight w:val="none"/>
        </w:rPr>
        <w:t>Ulcus pucila</w:t>
      </w:r>
      <w:r>
        <w:rPr>
          <w:rFonts w:hint="default" w:ascii="Times New Roman" w:hAnsi="Times New Roman" w:cs="Times New Roman"/>
          <w:color w:val="auto"/>
          <w:kern w:val="0"/>
          <w:sz w:val="24"/>
          <w:highlight w:val="none"/>
        </w:rPr>
        <w:t>）等植物。</w:t>
      </w:r>
    </w:p>
    <w:p w14:paraId="6E7BCDCB">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样方4：经纬度坐标：95.606165°E，29.882221°N。区域植被主要为落叶阔叶林，群落高度在</w:t>
      </w:r>
      <w:r>
        <w:rPr>
          <w:rFonts w:hint="default" w:ascii="Times New Roman" w:hAnsi="Times New Roman" w:cs="Times New Roman"/>
          <w:color w:val="auto"/>
          <w:kern w:val="0"/>
          <w:sz w:val="24"/>
          <w:highlight w:val="none"/>
          <w:lang w:val="en-US" w:eastAsia="zh-CN"/>
        </w:rPr>
        <w:t>10</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25</w:t>
      </w:r>
      <w:r>
        <w:rPr>
          <w:rFonts w:hint="default" w:ascii="Times New Roman" w:hAnsi="Times New Roman" w:cs="Times New Roman"/>
          <w:color w:val="auto"/>
          <w:kern w:val="0"/>
          <w:sz w:val="24"/>
          <w:highlight w:val="none"/>
        </w:rPr>
        <w:t>m左右，覆盖度约为</w:t>
      </w:r>
      <w:r>
        <w:rPr>
          <w:rFonts w:hint="default" w:ascii="Times New Roman" w:hAnsi="Times New Roman" w:cs="Times New Roman"/>
          <w:color w:val="auto"/>
          <w:kern w:val="0"/>
          <w:sz w:val="24"/>
          <w:highlight w:val="none"/>
          <w:lang w:val="en-US" w:eastAsia="zh-CN"/>
        </w:rPr>
        <w:t>85</w:t>
      </w:r>
      <w:r>
        <w:rPr>
          <w:rFonts w:hint="default" w:ascii="Times New Roman" w:hAnsi="Times New Roman" w:cs="Times New Roman"/>
          <w:color w:val="auto"/>
          <w:kern w:val="0"/>
          <w:sz w:val="24"/>
          <w:highlight w:val="none"/>
        </w:rPr>
        <w:t>%，主要分布有旱柳（</w:t>
      </w:r>
      <w:r>
        <w:rPr>
          <w:rFonts w:hint="default" w:ascii="Times New Roman" w:hAnsi="Times New Roman" w:cs="Times New Roman"/>
          <w:i/>
          <w:iCs/>
          <w:color w:val="auto"/>
          <w:kern w:val="0"/>
          <w:sz w:val="24"/>
          <w:highlight w:val="none"/>
        </w:rPr>
        <w:t>Salixcatsudana</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藏青杨</w:t>
      </w:r>
      <w:r>
        <w:rPr>
          <w:rFonts w:hint="default" w:ascii="Times New Roman" w:hAnsi="Times New Roman" w:cs="Times New Roman"/>
          <w:color w:val="auto"/>
          <w:kern w:val="0"/>
          <w:sz w:val="24"/>
          <w:highlight w:val="none"/>
        </w:rPr>
        <w:t>（Populus szechuanica）、榆树（</w:t>
      </w:r>
      <w:r>
        <w:rPr>
          <w:rFonts w:hint="default" w:ascii="Times New Roman" w:hAnsi="Times New Roman" w:cs="Times New Roman"/>
          <w:i/>
          <w:iCs/>
          <w:color w:val="auto"/>
          <w:kern w:val="0"/>
          <w:sz w:val="24"/>
          <w:highlight w:val="none"/>
        </w:rPr>
        <w:t>Ulcus pucila</w:t>
      </w:r>
      <w:r>
        <w:rPr>
          <w:rFonts w:hint="default" w:ascii="Times New Roman" w:hAnsi="Times New Roman" w:cs="Times New Roman"/>
          <w:color w:val="auto"/>
          <w:kern w:val="0"/>
          <w:sz w:val="24"/>
          <w:highlight w:val="none"/>
        </w:rPr>
        <w:t>）等植物。</w:t>
      </w:r>
    </w:p>
    <w:p w14:paraId="7CE9B204">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样方5：经纬度坐标：95.648050°E，29.888616°N。区域植被主要为落叶阔叶林，群落高度在</w:t>
      </w:r>
      <w:r>
        <w:rPr>
          <w:rFonts w:hint="default" w:ascii="Times New Roman" w:hAnsi="Times New Roman" w:cs="Times New Roman"/>
          <w:color w:val="auto"/>
          <w:kern w:val="0"/>
          <w:sz w:val="24"/>
          <w:highlight w:val="none"/>
          <w:lang w:val="en-US" w:eastAsia="zh-CN"/>
        </w:rPr>
        <w:t>10</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30</w:t>
      </w:r>
      <w:r>
        <w:rPr>
          <w:rFonts w:hint="default" w:ascii="Times New Roman" w:hAnsi="Times New Roman" w:cs="Times New Roman"/>
          <w:color w:val="auto"/>
          <w:kern w:val="0"/>
          <w:sz w:val="24"/>
          <w:highlight w:val="none"/>
        </w:rPr>
        <w:t>m左右，覆盖度约为</w:t>
      </w:r>
      <w:r>
        <w:rPr>
          <w:rFonts w:hint="default" w:ascii="Times New Roman" w:hAnsi="Times New Roman" w:cs="Times New Roman"/>
          <w:color w:val="auto"/>
          <w:kern w:val="0"/>
          <w:sz w:val="24"/>
          <w:highlight w:val="none"/>
          <w:lang w:val="en-US" w:eastAsia="zh-CN"/>
        </w:rPr>
        <w:t>80</w:t>
      </w:r>
      <w:r>
        <w:rPr>
          <w:rFonts w:hint="default" w:ascii="Times New Roman" w:hAnsi="Times New Roman" w:cs="Times New Roman"/>
          <w:color w:val="auto"/>
          <w:kern w:val="0"/>
          <w:sz w:val="24"/>
          <w:highlight w:val="none"/>
        </w:rPr>
        <w:t>%，主要分布有旱柳（</w:t>
      </w:r>
      <w:r>
        <w:rPr>
          <w:rFonts w:hint="default" w:ascii="Times New Roman" w:hAnsi="Times New Roman" w:cs="Times New Roman"/>
          <w:i/>
          <w:iCs/>
          <w:color w:val="auto"/>
          <w:kern w:val="0"/>
          <w:sz w:val="24"/>
          <w:highlight w:val="none"/>
        </w:rPr>
        <w:t>Salixcatsudana</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藏青杨</w:t>
      </w:r>
      <w:r>
        <w:rPr>
          <w:rFonts w:hint="default" w:ascii="Times New Roman" w:hAnsi="Times New Roman" w:cs="Times New Roman"/>
          <w:color w:val="auto"/>
          <w:kern w:val="0"/>
          <w:sz w:val="24"/>
          <w:highlight w:val="none"/>
        </w:rPr>
        <w:t>（Populus szechuanica）、榆树（</w:t>
      </w:r>
      <w:r>
        <w:rPr>
          <w:rFonts w:hint="default" w:ascii="Times New Roman" w:hAnsi="Times New Roman" w:cs="Times New Roman"/>
          <w:i/>
          <w:iCs/>
          <w:color w:val="auto"/>
          <w:kern w:val="0"/>
          <w:sz w:val="24"/>
          <w:highlight w:val="none"/>
        </w:rPr>
        <w:t>Ulcus pucila</w:t>
      </w:r>
      <w:r>
        <w:rPr>
          <w:rFonts w:hint="default" w:ascii="Times New Roman" w:hAnsi="Times New Roman" w:cs="Times New Roman"/>
          <w:color w:val="auto"/>
          <w:kern w:val="0"/>
          <w:sz w:val="24"/>
          <w:highlight w:val="none"/>
        </w:rPr>
        <w:t>）等植物。</w:t>
      </w:r>
    </w:p>
    <w:p w14:paraId="6DE73CA5">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样方6：经纬度坐标：95.522523°E，29.892569°N。区域植被主要为</w:t>
      </w:r>
      <w:r>
        <w:rPr>
          <w:rFonts w:hint="default" w:ascii="Times New Roman" w:hAnsi="Times New Roman" w:cs="Times New Roman"/>
          <w:color w:val="auto"/>
          <w:kern w:val="0"/>
          <w:sz w:val="24"/>
          <w:highlight w:val="none"/>
          <w:lang w:val="en-US" w:eastAsia="zh-CN"/>
        </w:rPr>
        <w:t>草丛</w:t>
      </w:r>
      <w:r>
        <w:rPr>
          <w:rFonts w:hint="default" w:ascii="Times New Roman" w:hAnsi="Times New Roman" w:cs="Times New Roman"/>
          <w:color w:val="auto"/>
          <w:kern w:val="0"/>
          <w:sz w:val="24"/>
          <w:highlight w:val="none"/>
        </w:rPr>
        <w:t>，群落高度在</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20</w:t>
      </w:r>
      <w:r>
        <w:rPr>
          <w:rFonts w:hint="default" w:ascii="Times New Roman" w:hAnsi="Times New Roman" w:cs="Times New Roman"/>
          <w:color w:val="auto"/>
          <w:kern w:val="0"/>
          <w:sz w:val="24"/>
          <w:highlight w:val="none"/>
        </w:rPr>
        <w:t>cm左右，草本覆盖度约为</w:t>
      </w:r>
      <w:r>
        <w:rPr>
          <w:rFonts w:hint="default" w:ascii="Times New Roman" w:hAnsi="Times New Roman" w:cs="Times New Roman"/>
          <w:color w:val="auto"/>
          <w:kern w:val="0"/>
          <w:sz w:val="24"/>
          <w:highlight w:val="none"/>
          <w:lang w:val="en-US" w:eastAsia="zh-CN"/>
        </w:rPr>
        <w:t>65</w:t>
      </w:r>
      <w:r>
        <w:rPr>
          <w:rFonts w:hint="default" w:ascii="Times New Roman" w:hAnsi="Times New Roman" w:cs="Times New Roman"/>
          <w:color w:val="auto"/>
          <w:kern w:val="0"/>
          <w:sz w:val="24"/>
          <w:highlight w:val="none"/>
        </w:rPr>
        <w:t>%，主要分布有石胡荽（</w:t>
      </w:r>
      <w:r>
        <w:rPr>
          <w:rFonts w:hint="default" w:ascii="Times New Roman" w:hAnsi="Times New Roman" w:cs="Times New Roman"/>
          <w:i/>
          <w:iCs/>
          <w:color w:val="auto"/>
          <w:kern w:val="0"/>
          <w:sz w:val="24"/>
          <w:highlight w:val="none"/>
        </w:rPr>
        <w:t>Centipeda minima</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矮生嵩草（</w:t>
      </w:r>
      <w:r>
        <w:rPr>
          <w:rFonts w:hint="default" w:ascii="Times New Roman" w:hAnsi="Times New Roman" w:cs="Times New Roman"/>
          <w:i/>
          <w:iCs/>
          <w:color w:val="auto"/>
          <w:kern w:val="0"/>
          <w:sz w:val="24"/>
          <w:highlight w:val="none"/>
        </w:rPr>
        <w:t>Kobresiahucilis</w:t>
      </w:r>
      <w:r>
        <w:rPr>
          <w:rFonts w:hint="default" w:ascii="Times New Roman" w:hAnsi="Times New Roman" w:cs="Times New Roman"/>
          <w:color w:val="auto"/>
          <w:kern w:val="0"/>
          <w:sz w:val="24"/>
          <w:highlight w:val="none"/>
        </w:rPr>
        <w:t>）、高山嵩草（</w:t>
      </w:r>
      <w:r>
        <w:rPr>
          <w:rFonts w:hint="default" w:ascii="Times New Roman" w:hAnsi="Times New Roman" w:cs="Times New Roman"/>
          <w:i/>
          <w:iCs/>
          <w:color w:val="auto"/>
          <w:kern w:val="0"/>
          <w:sz w:val="24"/>
          <w:highlight w:val="none"/>
        </w:rPr>
        <w:t>CarexparvulaO.Yano</w:t>
      </w:r>
      <w:r>
        <w:rPr>
          <w:rFonts w:hint="default" w:ascii="Times New Roman" w:hAnsi="Times New Roman" w:cs="Times New Roman"/>
          <w:color w:val="auto"/>
          <w:kern w:val="0"/>
          <w:sz w:val="24"/>
          <w:highlight w:val="none"/>
        </w:rPr>
        <w:t>）、藏沙蒿（</w:t>
      </w:r>
      <w:r>
        <w:rPr>
          <w:rFonts w:hint="default" w:ascii="Times New Roman" w:hAnsi="Times New Roman" w:cs="Times New Roman"/>
          <w:i/>
          <w:iCs/>
          <w:color w:val="auto"/>
          <w:kern w:val="0"/>
          <w:sz w:val="24"/>
          <w:highlight w:val="none"/>
        </w:rPr>
        <w:t>Artecisia wellbyi</w:t>
      </w:r>
      <w:r>
        <w:rPr>
          <w:rFonts w:hint="default" w:ascii="Times New Roman" w:hAnsi="Times New Roman" w:cs="Times New Roman"/>
          <w:color w:val="auto"/>
          <w:kern w:val="0"/>
          <w:sz w:val="24"/>
          <w:highlight w:val="none"/>
        </w:rPr>
        <w:t>）、野茼蒿（</w:t>
      </w:r>
      <w:r>
        <w:rPr>
          <w:rFonts w:hint="default" w:ascii="Times New Roman" w:hAnsi="Times New Roman" w:cs="Times New Roman"/>
          <w:i/>
          <w:iCs/>
          <w:color w:val="auto"/>
          <w:kern w:val="0"/>
          <w:sz w:val="24"/>
          <w:highlight w:val="none"/>
        </w:rPr>
        <w:t>Crassocephaluc crepidioides）</w:t>
      </w:r>
      <w:r>
        <w:rPr>
          <w:rFonts w:hint="default" w:ascii="Times New Roman" w:hAnsi="Times New Roman" w:cs="Times New Roman"/>
          <w:color w:val="auto"/>
          <w:kern w:val="0"/>
          <w:sz w:val="24"/>
          <w:highlight w:val="none"/>
        </w:rPr>
        <w:t>等植物。</w:t>
      </w:r>
    </w:p>
    <w:p w14:paraId="61AA332B">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样方</w:t>
      </w:r>
      <w:r>
        <w:rPr>
          <w:rFonts w:hint="default" w:ascii="Times New Roman" w:hAnsi="Times New Roman" w:cs="Times New Roman"/>
          <w:color w:val="auto"/>
          <w:kern w:val="0"/>
          <w:sz w:val="24"/>
          <w:highlight w:val="none"/>
          <w:lang w:val="en-US" w:eastAsia="zh-CN"/>
        </w:rPr>
        <w:t>7</w:t>
      </w:r>
      <w:r>
        <w:rPr>
          <w:rFonts w:hint="default" w:ascii="Times New Roman" w:hAnsi="Times New Roman" w:cs="Times New Roman"/>
          <w:color w:val="auto"/>
          <w:kern w:val="0"/>
          <w:sz w:val="24"/>
          <w:highlight w:val="none"/>
        </w:rPr>
        <w:t>：经纬度坐标：95.526224°E，29.882087°N。区域植被主要为</w:t>
      </w:r>
      <w:r>
        <w:rPr>
          <w:rFonts w:hint="default" w:ascii="Times New Roman" w:hAnsi="Times New Roman" w:cs="Times New Roman"/>
          <w:color w:val="auto"/>
          <w:kern w:val="0"/>
          <w:sz w:val="24"/>
          <w:highlight w:val="none"/>
          <w:lang w:val="en-US" w:eastAsia="zh-CN"/>
        </w:rPr>
        <w:t>草丛</w:t>
      </w:r>
      <w:r>
        <w:rPr>
          <w:rFonts w:hint="default" w:ascii="Times New Roman" w:hAnsi="Times New Roman" w:cs="Times New Roman"/>
          <w:color w:val="auto"/>
          <w:kern w:val="0"/>
          <w:sz w:val="24"/>
          <w:highlight w:val="none"/>
        </w:rPr>
        <w:t>，群落高度在</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50</w:t>
      </w:r>
      <w:r>
        <w:rPr>
          <w:rFonts w:hint="default" w:ascii="Times New Roman" w:hAnsi="Times New Roman" w:cs="Times New Roman"/>
          <w:color w:val="auto"/>
          <w:kern w:val="0"/>
          <w:sz w:val="24"/>
          <w:highlight w:val="none"/>
        </w:rPr>
        <w:t>cm左右，草本覆盖度约为</w:t>
      </w:r>
      <w:r>
        <w:rPr>
          <w:rFonts w:hint="default" w:ascii="Times New Roman" w:hAnsi="Times New Roman" w:cs="Times New Roman"/>
          <w:color w:val="auto"/>
          <w:kern w:val="0"/>
          <w:sz w:val="24"/>
          <w:highlight w:val="none"/>
          <w:lang w:val="en-US" w:eastAsia="zh-CN"/>
        </w:rPr>
        <w:t>60</w:t>
      </w:r>
      <w:r>
        <w:rPr>
          <w:rFonts w:hint="default" w:ascii="Times New Roman" w:hAnsi="Times New Roman" w:cs="Times New Roman"/>
          <w:color w:val="auto"/>
          <w:kern w:val="0"/>
          <w:sz w:val="24"/>
          <w:highlight w:val="none"/>
        </w:rPr>
        <w:t>%，主要分布有皱叶酸模</w:t>
      </w:r>
      <w:r>
        <w:rPr>
          <w:rFonts w:hint="default" w:ascii="Times New Roman" w:hAnsi="Times New Roman" w:cs="Times New Roman"/>
          <w:color w:val="auto"/>
          <w:kern w:val="0"/>
          <w:sz w:val="24"/>
          <w:highlight w:val="none"/>
          <w:lang w:eastAsia="zh-CN"/>
        </w:rPr>
        <w:t>（Rumex crispus L.）、</w:t>
      </w:r>
      <w:r>
        <w:rPr>
          <w:rFonts w:hint="default" w:ascii="Times New Roman" w:hAnsi="Times New Roman" w:cs="Times New Roman"/>
          <w:color w:val="auto"/>
          <w:kern w:val="0"/>
          <w:sz w:val="24"/>
          <w:highlight w:val="none"/>
        </w:rPr>
        <w:t>矮生嵩草（</w:t>
      </w:r>
      <w:r>
        <w:rPr>
          <w:rFonts w:hint="default" w:ascii="Times New Roman" w:hAnsi="Times New Roman" w:cs="Times New Roman"/>
          <w:i/>
          <w:iCs/>
          <w:color w:val="auto"/>
          <w:kern w:val="0"/>
          <w:sz w:val="24"/>
          <w:highlight w:val="none"/>
        </w:rPr>
        <w:t>Kobresiahucilis</w:t>
      </w:r>
      <w:r>
        <w:rPr>
          <w:rFonts w:hint="default" w:ascii="Times New Roman" w:hAnsi="Times New Roman" w:cs="Times New Roman"/>
          <w:color w:val="auto"/>
          <w:kern w:val="0"/>
          <w:sz w:val="24"/>
          <w:highlight w:val="none"/>
        </w:rPr>
        <w:t>）、高山嵩草（</w:t>
      </w:r>
      <w:r>
        <w:rPr>
          <w:rFonts w:hint="default" w:ascii="Times New Roman" w:hAnsi="Times New Roman" w:cs="Times New Roman"/>
          <w:i/>
          <w:iCs/>
          <w:color w:val="auto"/>
          <w:kern w:val="0"/>
          <w:sz w:val="24"/>
          <w:highlight w:val="none"/>
        </w:rPr>
        <w:t>CarexparvulaO.Yano</w:t>
      </w:r>
      <w:r>
        <w:rPr>
          <w:rFonts w:hint="default" w:ascii="Times New Roman" w:hAnsi="Times New Roman" w:cs="Times New Roman"/>
          <w:color w:val="auto"/>
          <w:kern w:val="0"/>
          <w:sz w:val="24"/>
          <w:highlight w:val="none"/>
        </w:rPr>
        <w:t>）、固沙草（</w:t>
      </w:r>
      <w:r>
        <w:rPr>
          <w:rFonts w:hint="default" w:ascii="Times New Roman" w:hAnsi="Times New Roman" w:cs="Times New Roman"/>
          <w:i/>
          <w:iCs/>
          <w:color w:val="auto"/>
          <w:kern w:val="0"/>
          <w:sz w:val="24"/>
          <w:highlight w:val="none"/>
        </w:rPr>
        <w:t>Orinus thoroldii</w:t>
      </w:r>
      <w:r>
        <w:rPr>
          <w:rFonts w:hint="default" w:ascii="Times New Roman" w:hAnsi="Times New Roman" w:cs="Times New Roman"/>
          <w:color w:val="auto"/>
          <w:kern w:val="0"/>
          <w:sz w:val="24"/>
          <w:highlight w:val="none"/>
        </w:rPr>
        <w:t>）、长芒草</w:t>
      </w:r>
      <w:r>
        <w:rPr>
          <w:rFonts w:hint="default" w:ascii="Times New Roman" w:hAnsi="Times New Roman" w:cs="Times New Roman"/>
          <w:i/>
          <w:iCs/>
          <w:color w:val="auto"/>
          <w:kern w:val="0"/>
          <w:sz w:val="24"/>
          <w:highlight w:val="none"/>
        </w:rPr>
        <w:t>（Stipa bungeana）</w:t>
      </w:r>
      <w:r>
        <w:rPr>
          <w:rFonts w:hint="default" w:ascii="Times New Roman" w:hAnsi="Times New Roman" w:cs="Times New Roman"/>
          <w:color w:val="auto"/>
          <w:kern w:val="0"/>
          <w:sz w:val="24"/>
          <w:highlight w:val="none"/>
        </w:rPr>
        <w:t>、披碱草（</w:t>
      </w:r>
      <w:r>
        <w:rPr>
          <w:rFonts w:hint="default" w:ascii="Times New Roman" w:hAnsi="Times New Roman" w:cs="Times New Roman"/>
          <w:i/>
          <w:iCs/>
          <w:color w:val="auto"/>
          <w:kern w:val="0"/>
          <w:sz w:val="24"/>
          <w:highlight w:val="none"/>
        </w:rPr>
        <w:t>Elycus dahuricus</w:t>
      </w:r>
      <w:r>
        <w:rPr>
          <w:rFonts w:hint="default" w:ascii="Times New Roman" w:hAnsi="Times New Roman" w:cs="Times New Roman"/>
          <w:color w:val="auto"/>
          <w:kern w:val="0"/>
          <w:sz w:val="24"/>
          <w:highlight w:val="none"/>
        </w:rPr>
        <w:t>）等植物。</w:t>
      </w:r>
    </w:p>
    <w:p w14:paraId="2A2832AE">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样方</w:t>
      </w:r>
      <w:r>
        <w:rPr>
          <w:rFonts w:hint="default" w:ascii="Times New Roman" w:hAnsi="Times New Roman"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：经纬度坐标：95.556501°E，29.879458°N。区域植被主要为</w:t>
      </w:r>
      <w:r>
        <w:rPr>
          <w:rFonts w:hint="default" w:ascii="Times New Roman" w:hAnsi="Times New Roman" w:cs="Times New Roman"/>
          <w:color w:val="auto"/>
          <w:kern w:val="0"/>
          <w:sz w:val="24"/>
          <w:highlight w:val="none"/>
          <w:lang w:val="en-US" w:eastAsia="zh-CN"/>
        </w:rPr>
        <w:t>草丛</w:t>
      </w:r>
      <w:r>
        <w:rPr>
          <w:rFonts w:hint="default" w:ascii="Times New Roman" w:hAnsi="Times New Roman" w:cs="Times New Roman"/>
          <w:color w:val="auto"/>
          <w:kern w:val="0"/>
          <w:sz w:val="24"/>
          <w:highlight w:val="none"/>
        </w:rPr>
        <w:t>，群落高度在</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50</w:t>
      </w:r>
      <w:r>
        <w:rPr>
          <w:rFonts w:hint="default" w:ascii="Times New Roman" w:hAnsi="Times New Roman" w:cs="Times New Roman"/>
          <w:color w:val="auto"/>
          <w:kern w:val="0"/>
          <w:sz w:val="24"/>
          <w:highlight w:val="none"/>
        </w:rPr>
        <w:t>cm左右，草本覆盖度约为</w:t>
      </w:r>
      <w:r>
        <w:rPr>
          <w:rFonts w:hint="default" w:ascii="Times New Roman" w:hAnsi="Times New Roman" w:cs="Times New Roman"/>
          <w:color w:val="auto"/>
          <w:kern w:val="0"/>
          <w:sz w:val="24"/>
          <w:highlight w:val="none"/>
          <w:lang w:val="en-US" w:eastAsia="zh-CN"/>
        </w:rPr>
        <w:t>60</w:t>
      </w:r>
      <w:r>
        <w:rPr>
          <w:rFonts w:hint="default" w:ascii="Times New Roman" w:hAnsi="Times New Roman" w:cs="Times New Roman"/>
          <w:color w:val="auto"/>
          <w:kern w:val="0"/>
          <w:sz w:val="24"/>
          <w:highlight w:val="none"/>
        </w:rPr>
        <w:t>%，主要分布有藏沙蒿（</w:t>
      </w:r>
      <w:r>
        <w:rPr>
          <w:rFonts w:hint="default" w:ascii="Times New Roman" w:hAnsi="Times New Roman" w:cs="Times New Roman"/>
          <w:i/>
          <w:iCs/>
          <w:color w:val="auto"/>
          <w:kern w:val="0"/>
          <w:sz w:val="24"/>
          <w:highlight w:val="none"/>
        </w:rPr>
        <w:t>Artecisia wellbyi</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、茵陈蒿（</w:t>
      </w:r>
      <w:r>
        <w:rPr>
          <w:rFonts w:hint="default" w:ascii="Times New Roman" w:hAnsi="Times New Roman" w:cs="Times New Roman"/>
          <w:i/>
          <w:iCs/>
          <w:color w:val="auto"/>
          <w:kern w:val="0"/>
          <w:sz w:val="24"/>
          <w:highlight w:val="none"/>
          <w:lang w:eastAsia="zh-CN"/>
        </w:rPr>
        <w:t>Artemisia capillaris Thunb.</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、野茼蒿（</w:t>
      </w:r>
      <w:r>
        <w:rPr>
          <w:rFonts w:hint="default" w:ascii="Times New Roman" w:hAnsi="Times New Roman" w:cs="Times New Roman"/>
          <w:i/>
          <w:iCs/>
          <w:color w:val="auto"/>
          <w:kern w:val="0"/>
          <w:sz w:val="24"/>
          <w:highlight w:val="none"/>
        </w:rPr>
        <w:t>Crassocephaluc crepidioides）</w:t>
      </w:r>
      <w:r>
        <w:rPr>
          <w:rFonts w:hint="default" w:ascii="Times New Roman" w:hAnsi="Times New Roman" w:cs="Times New Roman"/>
          <w:i/>
          <w:iCs/>
          <w:color w:val="auto"/>
          <w:kern w:val="0"/>
          <w:sz w:val="24"/>
          <w:highlight w:val="none"/>
          <w:lang w:eastAsia="zh-CN"/>
        </w:rPr>
        <w:t>、</w:t>
      </w:r>
      <w:r>
        <w:rPr>
          <w:rFonts w:hint="default" w:ascii="Times New Roman" w:hAnsi="Times New Roman" w:cs="Times New Roman"/>
          <w:color w:val="auto"/>
          <w:kern w:val="0"/>
          <w:sz w:val="24"/>
          <w:highlight w:val="none"/>
        </w:rPr>
        <w:t>紫花针茅</w:t>
      </w:r>
      <w:r>
        <w:rPr>
          <w:rFonts w:hint="default" w:ascii="Times New Roman" w:hAnsi="Times New Roman" w:cs="Times New Roman"/>
          <w:i/>
          <w:iCs/>
          <w:color w:val="auto"/>
          <w:kern w:val="0"/>
          <w:sz w:val="24"/>
          <w:highlight w:val="none"/>
        </w:rPr>
        <w:t>（Stipa purpurea）</w:t>
      </w:r>
      <w:r>
        <w:rPr>
          <w:rFonts w:hint="default" w:ascii="Times New Roman" w:hAnsi="Times New Roman" w:cs="Times New Roman"/>
          <w:color w:val="auto"/>
          <w:kern w:val="0"/>
          <w:sz w:val="24"/>
          <w:highlight w:val="none"/>
        </w:rPr>
        <w:t>等植物。</w:t>
      </w:r>
    </w:p>
    <w:p w14:paraId="24BFB8E4">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样方</w:t>
      </w:r>
      <w:r>
        <w:rPr>
          <w:rFonts w:hint="default" w:ascii="Times New Roman" w:hAnsi="Times New Roman" w:cs="Times New Roman"/>
          <w:color w:val="auto"/>
          <w:kern w:val="0"/>
          <w:sz w:val="24"/>
          <w:highlight w:val="none"/>
          <w:lang w:val="en-US" w:eastAsia="zh-CN"/>
        </w:rPr>
        <w:t>9</w:t>
      </w:r>
      <w:r>
        <w:rPr>
          <w:rFonts w:hint="default" w:ascii="Times New Roman" w:hAnsi="Times New Roman" w:cs="Times New Roman"/>
          <w:color w:val="auto"/>
          <w:kern w:val="0"/>
          <w:sz w:val="24"/>
          <w:highlight w:val="none"/>
        </w:rPr>
        <w:t>：经纬度坐标</w:t>
      </w:r>
      <w:r>
        <w:rPr>
          <w:rFonts w:hint="default" w:ascii="Times New Roman" w:hAnsi="Times New Roman" w:cs="Times New Roman"/>
          <w:color w:val="auto"/>
          <w:kern w:val="0"/>
          <w:sz w:val="24"/>
          <w:highlight w:val="none"/>
          <w:lang w:eastAsia="zh-CN"/>
        </w:rPr>
        <w:t>：95.613106°E，29.885123°N</w:t>
      </w:r>
      <w:r>
        <w:rPr>
          <w:rFonts w:hint="default" w:ascii="Times New Roman" w:hAnsi="Times New Roman" w:cs="Times New Roman"/>
          <w:color w:val="auto"/>
          <w:kern w:val="0"/>
          <w:sz w:val="24"/>
          <w:highlight w:val="none"/>
        </w:rPr>
        <w:t>。区域植被主要为</w:t>
      </w:r>
      <w:r>
        <w:rPr>
          <w:rFonts w:hint="default" w:ascii="Times New Roman" w:hAnsi="Times New Roman" w:cs="Times New Roman"/>
          <w:color w:val="auto"/>
          <w:kern w:val="0"/>
          <w:sz w:val="24"/>
          <w:highlight w:val="none"/>
          <w:lang w:val="en-US" w:eastAsia="zh-CN"/>
        </w:rPr>
        <w:t>草丛</w:t>
      </w:r>
      <w:r>
        <w:rPr>
          <w:rFonts w:hint="default" w:ascii="Times New Roman" w:hAnsi="Times New Roman" w:cs="Times New Roman"/>
          <w:color w:val="auto"/>
          <w:kern w:val="0"/>
          <w:sz w:val="24"/>
          <w:highlight w:val="none"/>
        </w:rPr>
        <w:t>，群落高度在</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40</w:t>
      </w:r>
      <w:r>
        <w:rPr>
          <w:rFonts w:hint="default" w:ascii="Times New Roman" w:hAnsi="Times New Roman" w:cs="Times New Roman"/>
          <w:color w:val="auto"/>
          <w:kern w:val="0"/>
          <w:sz w:val="24"/>
          <w:highlight w:val="none"/>
        </w:rPr>
        <w:t>cm左右，草本覆盖度约为</w:t>
      </w:r>
      <w:r>
        <w:rPr>
          <w:rFonts w:hint="default" w:ascii="Times New Roman" w:hAnsi="Times New Roman" w:cs="Times New Roman"/>
          <w:color w:val="auto"/>
          <w:kern w:val="0"/>
          <w:sz w:val="24"/>
          <w:highlight w:val="none"/>
          <w:lang w:val="en-US" w:eastAsia="zh-CN"/>
        </w:rPr>
        <w:t>45</w:t>
      </w:r>
      <w:r>
        <w:rPr>
          <w:rFonts w:hint="default" w:ascii="Times New Roman" w:hAnsi="Times New Roman" w:cs="Times New Roman"/>
          <w:color w:val="auto"/>
          <w:kern w:val="0"/>
          <w:sz w:val="24"/>
          <w:highlight w:val="none"/>
        </w:rPr>
        <w:t>%，主要分布有香附子（</w:t>
      </w:r>
      <w:r>
        <w:rPr>
          <w:rFonts w:hint="default" w:ascii="Times New Roman" w:hAnsi="Times New Roman" w:cs="Times New Roman"/>
          <w:i/>
          <w:iCs/>
          <w:color w:val="auto"/>
          <w:kern w:val="0"/>
          <w:sz w:val="24"/>
          <w:highlight w:val="none"/>
        </w:rPr>
        <w:t>Cyperus rotundus L.</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矮生嵩草（</w:t>
      </w:r>
      <w:r>
        <w:rPr>
          <w:rFonts w:hint="default" w:ascii="Times New Roman" w:hAnsi="Times New Roman" w:cs="Times New Roman"/>
          <w:i/>
          <w:iCs/>
          <w:color w:val="auto"/>
          <w:kern w:val="0"/>
          <w:sz w:val="24"/>
          <w:highlight w:val="none"/>
        </w:rPr>
        <w:t>Kobresiahucilis</w:t>
      </w:r>
      <w:r>
        <w:rPr>
          <w:rFonts w:hint="default" w:ascii="Times New Roman" w:hAnsi="Times New Roman" w:cs="Times New Roman"/>
          <w:color w:val="auto"/>
          <w:kern w:val="0"/>
          <w:sz w:val="24"/>
          <w:highlight w:val="none"/>
        </w:rPr>
        <w:t>）、高山嵩草（</w:t>
      </w:r>
      <w:r>
        <w:rPr>
          <w:rFonts w:hint="default" w:ascii="Times New Roman" w:hAnsi="Times New Roman" w:cs="Times New Roman"/>
          <w:i/>
          <w:iCs/>
          <w:color w:val="auto"/>
          <w:kern w:val="0"/>
          <w:sz w:val="24"/>
          <w:highlight w:val="none"/>
        </w:rPr>
        <w:t>CarexparvulaO.Yano</w:t>
      </w:r>
      <w:r>
        <w:rPr>
          <w:rFonts w:hint="default" w:ascii="Times New Roman" w:hAnsi="Times New Roman" w:cs="Times New Roman"/>
          <w:color w:val="auto"/>
          <w:kern w:val="0"/>
          <w:sz w:val="24"/>
          <w:highlight w:val="none"/>
        </w:rPr>
        <w:t>）、藏沙蒿（</w:t>
      </w:r>
      <w:r>
        <w:rPr>
          <w:rFonts w:hint="default" w:ascii="Times New Roman" w:hAnsi="Times New Roman" w:cs="Times New Roman"/>
          <w:i/>
          <w:iCs/>
          <w:color w:val="auto"/>
          <w:kern w:val="0"/>
          <w:sz w:val="24"/>
          <w:highlight w:val="none"/>
        </w:rPr>
        <w:t>Artecisia wellbyi</w:t>
      </w:r>
      <w:r>
        <w:rPr>
          <w:rFonts w:hint="default" w:ascii="Times New Roman" w:hAnsi="Times New Roman" w:cs="Times New Roman"/>
          <w:color w:val="auto"/>
          <w:kern w:val="0"/>
          <w:sz w:val="24"/>
          <w:highlight w:val="none"/>
        </w:rPr>
        <w:t>）、野茼蒿（</w:t>
      </w:r>
      <w:r>
        <w:rPr>
          <w:rFonts w:hint="default" w:ascii="Times New Roman" w:hAnsi="Times New Roman" w:cs="Times New Roman"/>
          <w:i/>
          <w:iCs/>
          <w:color w:val="auto"/>
          <w:kern w:val="0"/>
          <w:sz w:val="24"/>
          <w:highlight w:val="none"/>
        </w:rPr>
        <w:t>Crassocephaluc crepidioides）</w:t>
      </w:r>
      <w:r>
        <w:rPr>
          <w:rFonts w:hint="default" w:ascii="Times New Roman" w:hAnsi="Times New Roman" w:cs="Times New Roman"/>
          <w:i/>
          <w:iCs/>
          <w:color w:val="auto"/>
          <w:kern w:val="0"/>
          <w:sz w:val="24"/>
          <w:highlight w:val="none"/>
          <w:lang w:eastAsia="zh-CN"/>
        </w:rPr>
        <w:t>、</w:t>
      </w:r>
      <w:r>
        <w:rPr>
          <w:rFonts w:hint="default" w:ascii="Times New Roman" w:hAnsi="Times New Roman" w:cs="Times New Roman"/>
          <w:color w:val="auto"/>
          <w:kern w:val="0"/>
          <w:sz w:val="24"/>
          <w:highlight w:val="none"/>
        </w:rPr>
        <w:t>固沙草（</w:t>
      </w:r>
      <w:r>
        <w:rPr>
          <w:rFonts w:hint="default" w:ascii="Times New Roman" w:hAnsi="Times New Roman" w:cs="Times New Roman"/>
          <w:i/>
          <w:iCs/>
          <w:color w:val="auto"/>
          <w:kern w:val="0"/>
          <w:sz w:val="24"/>
          <w:highlight w:val="none"/>
        </w:rPr>
        <w:t>Orinus thoroldii</w:t>
      </w:r>
      <w:r>
        <w:rPr>
          <w:rFonts w:hint="default" w:ascii="Times New Roman" w:hAnsi="Times New Roman" w:cs="Times New Roman"/>
          <w:color w:val="auto"/>
          <w:kern w:val="0"/>
          <w:sz w:val="24"/>
          <w:highlight w:val="none"/>
        </w:rPr>
        <w:t>）、长芒草</w:t>
      </w:r>
      <w:r>
        <w:rPr>
          <w:rFonts w:hint="default" w:ascii="Times New Roman" w:hAnsi="Times New Roman" w:cs="Times New Roman"/>
          <w:i/>
          <w:iCs/>
          <w:color w:val="auto"/>
          <w:kern w:val="0"/>
          <w:sz w:val="24"/>
          <w:highlight w:val="none"/>
        </w:rPr>
        <w:t>（Stipa bungeana）</w:t>
      </w:r>
      <w:r>
        <w:rPr>
          <w:rFonts w:hint="default" w:ascii="Times New Roman" w:hAnsi="Times New Roman" w:cs="Times New Roman"/>
          <w:color w:val="auto"/>
          <w:kern w:val="0"/>
          <w:sz w:val="24"/>
          <w:highlight w:val="none"/>
        </w:rPr>
        <w:t>、披碱草（</w:t>
      </w:r>
      <w:r>
        <w:rPr>
          <w:rFonts w:hint="default" w:ascii="Times New Roman" w:hAnsi="Times New Roman" w:cs="Times New Roman"/>
          <w:i/>
          <w:iCs/>
          <w:color w:val="auto"/>
          <w:kern w:val="0"/>
          <w:sz w:val="24"/>
          <w:highlight w:val="none"/>
        </w:rPr>
        <w:t>Elycus dahuricus</w:t>
      </w:r>
      <w:r>
        <w:rPr>
          <w:rFonts w:hint="default" w:ascii="Times New Roman" w:hAnsi="Times New Roman" w:cs="Times New Roman"/>
          <w:color w:val="auto"/>
          <w:kern w:val="0"/>
          <w:sz w:val="24"/>
          <w:highlight w:val="none"/>
        </w:rPr>
        <w:t>）等植物。</w:t>
      </w:r>
    </w:p>
    <w:p w14:paraId="3ECEB7A3">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样方</w:t>
      </w:r>
      <w:r>
        <w:rPr>
          <w:rFonts w:hint="default" w:ascii="Times New Roman" w:hAnsi="Times New Roman" w:cs="Times New Roman"/>
          <w:color w:val="auto"/>
          <w:kern w:val="0"/>
          <w:sz w:val="24"/>
          <w:highlight w:val="none"/>
          <w:lang w:val="en-US" w:eastAsia="zh-CN"/>
        </w:rPr>
        <w:t>10</w:t>
      </w:r>
      <w:r>
        <w:rPr>
          <w:rFonts w:hint="default" w:ascii="Times New Roman" w:hAnsi="Times New Roman" w:cs="Times New Roman"/>
          <w:color w:val="auto"/>
          <w:kern w:val="0"/>
          <w:sz w:val="24"/>
          <w:highlight w:val="none"/>
        </w:rPr>
        <w:t>：经纬度坐标：95.640100°E，29.890552°N。区域植被主要为</w:t>
      </w:r>
      <w:r>
        <w:rPr>
          <w:rFonts w:hint="default" w:ascii="Times New Roman" w:hAnsi="Times New Roman" w:cs="Times New Roman"/>
          <w:color w:val="auto"/>
          <w:kern w:val="0"/>
          <w:sz w:val="24"/>
          <w:highlight w:val="none"/>
          <w:lang w:val="en-US" w:eastAsia="zh-CN"/>
        </w:rPr>
        <w:t>草丛</w:t>
      </w:r>
      <w:r>
        <w:rPr>
          <w:rFonts w:hint="default" w:ascii="Times New Roman" w:hAnsi="Times New Roman" w:cs="Times New Roman"/>
          <w:color w:val="auto"/>
          <w:kern w:val="0"/>
          <w:sz w:val="24"/>
          <w:highlight w:val="none"/>
        </w:rPr>
        <w:t>，群落高度在</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50</w:t>
      </w:r>
      <w:r>
        <w:rPr>
          <w:rFonts w:hint="default" w:ascii="Times New Roman" w:hAnsi="Times New Roman" w:cs="Times New Roman"/>
          <w:color w:val="auto"/>
          <w:kern w:val="0"/>
          <w:sz w:val="24"/>
          <w:highlight w:val="none"/>
        </w:rPr>
        <w:t>cm左右，草本覆盖度约为</w:t>
      </w:r>
      <w:r>
        <w:rPr>
          <w:rFonts w:hint="default" w:ascii="Times New Roman" w:hAnsi="Times New Roman" w:cs="Times New Roman"/>
          <w:color w:val="auto"/>
          <w:kern w:val="0"/>
          <w:sz w:val="24"/>
          <w:highlight w:val="none"/>
          <w:lang w:val="en-US" w:eastAsia="zh-CN"/>
        </w:rPr>
        <w:t>60</w:t>
      </w:r>
      <w:r>
        <w:rPr>
          <w:rFonts w:hint="default" w:ascii="Times New Roman" w:hAnsi="Times New Roman" w:cs="Times New Roman"/>
          <w:color w:val="auto"/>
          <w:kern w:val="0"/>
          <w:sz w:val="24"/>
          <w:highlight w:val="none"/>
        </w:rPr>
        <w:t>%，主要分布有藏沙蒿（</w:t>
      </w:r>
      <w:r>
        <w:rPr>
          <w:rFonts w:hint="default" w:ascii="Times New Roman" w:hAnsi="Times New Roman" w:cs="Times New Roman"/>
          <w:i/>
          <w:iCs/>
          <w:color w:val="auto"/>
          <w:kern w:val="0"/>
          <w:sz w:val="24"/>
          <w:highlight w:val="none"/>
        </w:rPr>
        <w:t>Artecisia wellbyi</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、茵陈蒿（</w:t>
      </w:r>
      <w:r>
        <w:rPr>
          <w:rFonts w:hint="default" w:ascii="Times New Roman" w:hAnsi="Times New Roman" w:cs="Times New Roman"/>
          <w:i/>
          <w:iCs/>
          <w:color w:val="auto"/>
          <w:kern w:val="0"/>
          <w:sz w:val="24"/>
          <w:highlight w:val="none"/>
          <w:lang w:eastAsia="zh-CN"/>
        </w:rPr>
        <w:t>Artemisia capillaris Thunb.</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、野茼蒿（</w:t>
      </w:r>
      <w:r>
        <w:rPr>
          <w:rFonts w:hint="default" w:ascii="Times New Roman" w:hAnsi="Times New Roman" w:cs="Times New Roman"/>
          <w:i/>
          <w:iCs/>
          <w:color w:val="auto"/>
          <w:kern w:val="0"/>
          <w:sz w:val="24"/>
          <w:highlight w:val="none"/>
        </w:rPr>
        <w:t>Crassocephaluc crepidioides）</w:t>
      </w:r>
      <w:r>
        <w:rPr>
          <w:rFonts w:hint="default" w:ascii="Times New Roman" w:hAnsi="Times New Roman" w:cs="Times New Roman"/>
          <w:i/>
          <w:iCs/>
          <w:color w:val="auto"/>
          <w:kern w:val="0"/>
          <w:sz w:val="24"/>
          <w:highlight w:val="none"/>
          <w:lang w:eastAsia="zh-CN"/>
        </w:rPr>
        <w:t>、</w:t>
      </w:r>
      <w:r>
        <w:rPr>
          <w:rFonts w:hint="default" w:ascii="Times New Roman" w:hAnsi="Times New Roman" w:cs="Times New Roman"/>
          <w:color w:val="auto"/>
          <w:kern w:val="0"/>
          <w:sz w:val="24"/>
          <w:highlight w:val="none"/>
        </w:rPr>
        <w:t>紫花针茅</w:t>
      </w:r>
      <w:r>
        <w:rPr>
          <w:rFonts w:hint="default" w:ascii="Times New Roman" w:hAnsi="Times New Roman" w:cs="Times New Roman"/>
          <w:i/>
          <w:iCs/>
          <w:color w:val="auto"/>
          <w:kern w:val="0"/>
          <w:sz w:val="24"/>
          <w:highlight w:val="none"/>
        </w:rPr>
        <w:t>（Stipa purpurea）</w:t>
      </w:r>
      <w:r>
        <w:rPr>
          <w:rFonts w:hint="default" w:ascii="Times New Roman" w:hAnsi="Times New Roman" w:cs="Times New Roman"/>
          <w:i/>
          <w:iCs/>
          <w:color w:val="auto"/>
          <w:kern w:val="0"/>
          <w:sz w:val="24"/>
          <w:highlight w:val="none"/>
          <w:lang w:eastAsia="zh-CN"/>
        </w:rPr>
        <w:t>、</w:t>
      </w:r>
      <w:r>
        <w:rPr>
          <w:rFonts w:hint="default" w:ascii="Times New Roman" w:hAnsi="Times New Roman" w:cs="Times New Roman"/>
          <w:color w:val="auto"/>
          <w:kern w:val="0"/>
          <w:sz w:val="24"/>
          <w:highlight w:val="none"/>
        </w:rPr>
        <w:t>长芒草</w:t>
      </w:r>
      <w:r>
        <w:rPr>
          <w:rFonts w:hint="default" w:ascii="Times New Roman" w:hAnsi="Times New Roman" w:cs="Times New Roman"/>
          <w:i/>
          <w:iCs/>
          <w:color w:val="auto"/>
          <w:kern w:val="0"/>
          <w:sz w:val="24"/>
          <w:highlight w:val="none"/>
        </w:rPr>
        <w:t>（Stipa bungeana）</w:t>
      </w:r>
      <w:r>
        <w:rPr>
          <w:rFonts w:hint="default" w:ascii="Times New Roman" w:hAnsi="Times New Roman" w:cs="Times New Roman"/>
          <w:color w:val="auto"/>
          <w:kern w:val="0"/>
          <w:sz w:val="24"/>
          <w:highlight w:val="none"/>
        </w:rPr>
        <w:t>、披碱草（</w:t>
      </w:r>
      <w:r>
        <w:rPr>
          <w:rFonts w:hint="default" w:ascii="Times New Roman" w:hAnsi="Times New Roman" w:cs="Times New Roman"/>
          <w:i/>
          <w:iCs/>
          <w:color w:val="auto"/>
          <w:kern w:val="0"/>
          <w:sz w:val="24"/>
          <w:highlight w:val="none"/>
        </w:rPr>
        <w:t>Elycus dahuricus</w:t>
      </w:r>
      <w:r>
        <w:rPr>
          <w:rFonts w:hint="default" w:ascii="Times New Roman" w:hAnsi="Times New Roman" w:cs="Times New Roman"/>
          <w:color w:val="auto"/>
          <w:kern w:val="0"/>
          <w:sz w:val="24"/>
          <w:highlight w:val="none"/>
        </w:rPr>
        <w:t>）等植物。</w:t>
      </w:r>
    </w:p>
    <w:p w14:paraId="1B6816C2">
      <w:pPr>
        <w:keepNext/>
        <w:keepLines/>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（5）生物量</w:t>
      </w:r>
    </w:p>
    <w:p w14:paraId="3395CCFA">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1）乔木层</w:t>
      </w:r>
    </w:p>
    <w:p w14:paraId="0C2EB78C">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树类采用木材蓄积量计算法计算其样方生物量。由于对乔木层样方的树木只进行了调查，所以只能采用我国其它地区相同树种的回归方程，计算每个样方内各个树种的平均胸径和平均高度，分别代入相关公式中进行计算，得到每个树种的生物量，它们的和即为该样方乔木层的总生物量。样方内乔木的计算公式为：</w:t>
      </w:r>
    </w:p>
    <w:p w14:paraId="7DEB3980">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木材蓄积量V=（</w:t>
      </w:r>
      <w:r>
        <w:rPr>
          <w:rFonts w:hint="default" w:ascii="Times New Roman" w:hAnsi="Times New Roman" w:cs="Times New Roman"/>
          <w:color w:val="auto"/>
          <w:kern w:val="0"/>
          <w:sz w:val="24"/>
          <w:highlight w:val="none"/>
        </w:rPr>
        <w:object>
          <v:shape id="_x0000_i1032" o:spt="75" type="#_x0000_t75" style="height:21.2pt;width:27.2pt;" o:ole="t" filled="f" o:preferrelative="t" stroked="f" coordsize="21600,21600">
            <v:path/>
            <v:fill on="f" focussize="0,0"/>
            <v:stroke on="f" joinstyle="miter"/>
            <v:imagedata r:id="rId59" o:title=""/>
            <o:lock v:ext="edit" aspectratio="t"/>
            <w10:wrap type="none"/>
            <w10:anchorlock/>
          </v:shape>
          <o:OLEObject Type="Embed" ProgID="Equation.3" ShapeID="_x0000_i1032" DrawAspect="Content" ObjectID="_1468075732" r:id="rId58">
            <o:LockedField>false</o:LockedField>
          </o:OLEObject>
        </w:object>
      </w:r>
      <w:r>
        <w:rPr>
          <w:rFonts w:hint="default" w:ascii="Times New Roman" w:hAnsi="Times New Roman" w:cs="Times New Roman"/>
          <w:color w:val="auto"/>
          <w:kern w:val="0"/>
          <w:sz w:val="24"/>
          <w:highlight w:val="none"/>
        </w:rPr>
        <w:t>）×H×f</w:t>
      </w:r>
    </w:p>
    <w:p w14:paraId="7DFFCD9A">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式中：G——林分胸径断面积（</w:t>
      </w:r>
      <w:r>
        <w:rPr>
          <w:rFonts w:hint="default" w:ascii="Times New Roman" w:hAnsi="Times New Roman" w:cs="Times New Roman"/>
          <w:color w:val="auto"/>
          <w:kern w:val="0"/>
          <w:sz w:val="24"/>
          <w:highlight w:val="none"/>
          <w:lang w:val="en-US" w:eastAsia="zh-CN"/>
        </w:rPr>
        <w:t>m</w:t>
      </w:r>
      <w:r>
        <w:rPr>
          <w:rFonts w:hint="default" w:ascii="Times New Roman" w:hAnsi="Times New Roman" w:cs="Times New Roman"/>
          <w:color w:val="auto"/>
          <w:kern w:val="0"/>
          <w:sz w:val="24"/>
          <w:highlight w:val="none"/>
          <w:vertAlign w:val="superscript"/>
          <w:lang w:val="en-US" w:eastAsia="zh-CN"/>
        </w:rPr>
        <w:t>2</w:t>
      </w:r>
      <w:r>
        <w:rPr>
          <w:rFonts w:hint="default" w:ascii="Times New Roman" w:hAnsi="Times New Roman" w:cs="Times New Roman"/>
          <w:color w:val="auto"/>
          <w:kern w:val="0"/>
          <w:sz w:val="24"/>
          <w:highlight w:val="none"/>
        </w:rPr>
        <w:t>）；</w:t>
      </w:r>
    </w:p>
    <w:p w14:paraId="1955F6E6">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H——林分平均高（m）；</w:t>
      </w:r>
    </w:p>
    <w:p w14:paraId="0F591D4F">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f ——密度形数，一般乔木取0.40~0.44。本报告书f取0.44。</w:t>
      </w:r>
    </w:p>
    <w:p w14:paraId="46E95BE0">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生物量计算：对比相似森林类型，依照“计算我国森林生物量的基本参数”（方精云，我国森林植被的生物量和净生产量，1996）的计算式，计算乔木生物量B。</w:t>
      </w:r>
    </w:p>
    <w:p w14:paraId="060CFF74">
      <w:pPr>
        <w:spacing w:line="36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B=0.4754V+30.6034</w:t>
      </w:r>
    </w:p>
    <w:p w14:paraId="3DAC2299">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2）灌木层</w:t>
      </w:r>
    </w:p>
    <w:p w14:paraId="31E5CEDA">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采用类比方法，以每株灌木满1m高按1kg作为基本值推算，对丛生灌木，株数按一半计算。</w:t>
      </w:r>
    </w:p>
    <w:p w14:paraId="7D45EE67">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3）草本层</w:t>
      </w:r>
    </w:p>
    <w:p w14:paraId="73C4E9D3">
      <w:pPr>
        <w:spacing w:line="36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草本层生物量B（t/hm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w:t>
      </w:r>
    </w:p>
    <w:p w14:paraId="338AFC07">
      <w:pPr>
        <w:spacing w:line="360" w:lineRule="auto"/>
        <w:ind w:firstLine="2880" w:firstLineChars="1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B=11.28071(HC)1.471231</w:t>
      </w:r>
    </w:p>
    <w:p w14:paraId="585B5C48">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式中：H为草本的平均高度（m）；</w:t>
      </w:r>
    </w:p>
    <w:p w14:paraId="17C04ED5">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C为植被的盖度。</w:t>
      </w:r>
    </w:p>
    <w:p w14:paraId="72CA2B2C">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结合样地调查成果表，得出各样地生物量见下表。</w:t>
      </w:r>
    </w:p>
    <w:p w14:paraId="01653B2D">
      <w:pPr>
        <w:pStyle w:val="666"/>
        <w:spacing w:line="360" w:lineRule="auto"/>
        <w:ind w:firstLine="0"/>
        <w:jc w:val="center"/>
        <w:rPr>
          <w:rFonts w:hint="default" w:ascii="Times New Roman" w:hAnsi="Times New Roman" w:eastAsia="黑体" w:cs="Times New Roman"/>
          <w:color w:val="auto"/>
          <w:kern w:val="0"/>
          <w:highlight w:val="none"/>
          <w:lang w:val="en-US" w:eastAsia="zh-CN"/>
        </w:rPr>
      </w:pPr>
      <w:r>
        <w:rPr>
          <w:rFonts w:hint="default" w:ascii="Times New Roman" w:hAnsi="Times New Roman" w:eastAsia="黑体" w:cs="Times New Roman"/>
          <w:color w:val="auto"/>
          <w:kern w:val="0"/>
          <w:highlight w:val="none"/>
          <w:lang w:val="en-US" w:eastAsia="zh-CN"/>
        </w:rPr>
        <w:t>表3.4-21  生物量计算表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213"/>
        <w:gridCol w:w="2910"/>
        <w:gridCol w:w="2365"/>
      </w:tblGrid>
      <w:tr w14:paraId="526A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2705A4DF">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样地</w:t>
            </w:r>
          </w:p>
        </w:tc>
        <w:tc>
          <w:tcPr>
            <w:tcW w:w="1206" w:type="pct"/>
            <w:vAlign w:val="center"/>
          </w:tcPr>
          <w:p w14:paraId="489304A7">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乔木层（t/hm</w:t>
            </w:r>
            <w:r>
              <w:rPr>
                <w:rFonts w:hint="default" w:ascii="Times New Roman" w:hAnsi="Times New Roman" w:cs="Times New Roman"/>
                <w:b/>
                <w:bCs/>
                <w:color w:val="auto"/>
                <w:kern w:val="0"/>
                <w:szCs w:val="21"/>
                <w:highlight w:val="none"/>
                <w:vertAlign w:val="superscript"/>
              </w:rPr>
              <w:t>2</w:t>
            </w:r>
            <w:r>
              <w:rPr>
                <w:rFonts w:hint="default" w:ascii="Times New Roman" w:hAnsi="Times New Roman" w:cs="Times New Roman"/>
                <w:b/>
                <w:bCs/>
                <w:color w:val="auto"/>
                <w:kern w:val="0"/>
                <w:szCs w:val="21"/>
                <w:highlight w:val="none"/>
              </w:rPr>
              <w:t>）</w:t>
            </w:r>
          </w:p>
        </w:tc>
        <w:tc>
          <w:tcPr>
            <w:tcW w:w="1586" w:type="pct"/>
            <w:vAlign w:val="center"/>
          </w:tcPr>
          <w:p w14:paraId="30180FE7">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灌木层（kg/hm</w:t>
            </w:r>
            <w:r>
              <w:rPr>
                <w:rFonts w:hint="default" w:ascii="Times New Roman" w:hAnsi="Times New Roman" w:cs="Times New Roman"/>
                <w:b/>
                <w:bCs/>
                <w:color w:val="auto"/>
                <w:kern w:val="0"/>
                <w:szCs w:val="21"/>
                <w:highlight w:val="none"/>
                <w:vertAlign w:val="superscript"/>
              </w:rPr>
              <w:t>2</w:t>
            </w:r>
            <w:r>
              <w:rPr>
                <w:rFonts w:hint="default" w:ascii="Times New Roman" w:hAnsi="Times New Roman" w:cs="Times New Roman"/>
                <w:b/>
                <w:bCs/>
                <w:color w:val="auto"/>
                <w:kern w:val="0"/>
                <w:szCs w:val="21"/>
                <w:highlight w:val="none"/>
              </w:rPr>
              <w:t>）</w:t>
            </w:r>
          </w:p>
        </w:tc>
        <w:tc>
          <w:tcPr>
            <w:tcW w:w="1289" w:type="pct"/>
            <w:vAlign w:val="center"/>
          </w:tcPr>
          <w:p w14:paraId="39300B57">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草本层（kg/hm</w:t>
            </w:r>
            <w:r>
              <w:rPr>
                <w:rFonts w:hint="default" w:ascii="Times New Roman" w:hAnsi="Times New Roman" w:cs="Times New Roman"/>
                <w:b/>
                <w:bCs/>
                <w:color w:val="auto"/>
                <w:kern w:val="0"/>
                <w:szCs w:val="21"/>
                <w:highlight w:val="none"/>
                <w:vertAlign w:val="superscript"/>
              </w:rPr>
              <w:t>2</w:t>
            </w:r>
            <w:r>
              <w:rPr>
                <w:rFonts w:hint="default" w:ascii="Times New Roman" w:hAnsi="Times New Roman" w:cs="Times New Roman"/>
                <w:b/>
                <w:bCs/>
                <w:color w:val="auto"/>
                <w:kern w:val="0"/>
                <w:szCs w:val="21"/>
                <w:highlight w:val="none"/>
              </w:rPr>
              <w:t>）</w:t>
            </w:r>
          </w:p>
        </w:tc>
      </w:tr>
      <w:tr w14:paraId="5FB6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67BFF7A3">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1206" w:type="pct"/>
            <w:vAlign w:val="center"/>
          </w:tcPr>
          <w:p w14:paraId="5E356ECF">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205.3</w:t>
            </w:r>
          </w:p>
        </w:tc>
        <w:tc>
          <w:tcPr>
            <w:tcW w:w="1586" w:type="pct"/>
            <w:vAlign w:val="center"/>
          </w:tcPr>
          <w:p w14:paraId="52FC294D">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0.6</w:t>
            </w:r>
          </w:p>
        </w:tc>
        <w:tc>
          <w:tcPr>
            <w:tcW w:w="1289" w:type="pct"/>
            <w:vAlign w:val="center"/>
          </w:tcPr>
          <w:p w14:paraId="13C61915">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3.2</w:t>
            </w:r>
          </w:p>
        </w:tc>
      </w:tr>
      <w:tr w14:paraId="3FA9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65AE1B61">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1206" w:type="pct"/>
            <w:vAlign w:val="center"/>
          </w:tcPr>
          <w:p w14:paraId="1A82AFFC">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208.3</w:t>
            </w:r>
          </w:p>
        </w:tc>
        <w:tc>
          <w:tcPr>
            <w:tcW w:w="1586" w:type="pct"/>
            <w:vAlign w:val="center"/>
          </w:tcPr>
          <w:p w14:paraId="5FC1C741">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0.9</w:t>
            </w:r>
          </w:p>
        </w:tc>
        <w:tc>
          <w:tcPr>
            <w:tcW w:w="1289" w:type="pct"/>
            <w:vAlign w:val="center"/>
          </w:tcPr>
          <w:p w14:paraId="47FFEDE9">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3.1</w:t>
            </w:r>
          </w:p>
        </w:tc>
      </w:tr>
      <w:tr w14:paraId="24E3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3F0A7036">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w:t>
            </w:r>
          </w:p>
        </w:tc>
        <w:tc>
          <w:tcPr>
            <w:tcW w:w="1206" w:type="pct"/>
            <w:vAlign w:val="center"/>
          </w:tcPr>
          <w:p w14:paraId="0F969674">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195.8</w:t>
            </w:r>
          </w:p>
        </w:tc>
        <w:tc>
          <w:tcPr>
            <w:tcW w:w="1586" w:type="pct"/>
            <w:vAlign w:val="center"/>
          </w:tcPr>
          <w:p w14:paraId="36DD678C">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1.7</w:t>
            </w:r>
          </w:p>
        </w:tc>
        <w:tc>
          <w:tcPr>
            <w:tcW w:w="1289" w:type="pct"/>
            <w:vAlign w:val="center"/>
          </w:tcPr>
          <w:p w14:paraId="7C156F1C">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1.1</w:t>
            </w:r>
          </w:p>
        </w:tc>
      </w:tr>
      <w:tr w14:paraId="3C29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0CAE7002">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w:t>
            </w:r>
          </w:p>
        </w:tc>
        <w:tc>
          <w:tcPr>
            <w:tcW w:w="1206" w:type="pct"/>
            <w:vAlign w:val="center"/>
          </w:tcPr>
          <w:p w14:paraId="70C7621C">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198.4</w:t>
            </w:r>
          </w:p>
        </w:tc>
        <w:tc>
          <w:tcPr>
            <w:tcW w:w="1586" w:type="pct"/>
            <w:vAlign w:val="center"/>
          </w:tcPr>
          <w:p w14:paraId="5FC41DE6">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1.1</w:t>
            </w:r>
          </w:p>
        </w:tc>
        <w:tc>
          <w:tcPr>
            <w:tcW w:w="1289" w:type="pct"/>
            <w:vAlign w:val="center"/>
          </w:tcPr>
          <w:p w14:paraId="41AA7AF4">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1.6</w:t>
            </w:r>
          </w:p>
        </w:tc>
      </w:tr>
      <w:tr w14:paraId="01D4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61D5A1C5">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5</w:t>
            </w:r>
          </w:p>
        </w:tc>
        <w:tc>
          <w:tcPr>
            <w:tcW w:w="1206" w:type="pct"/>
            <w:vAlign w:val="center"/>
          </w:tcPr>
          <w:p w14:paraId="2D268E56">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191.2</w:t>
            </w:r>
          </w:p>
        </w:tc>
        <w:tc>
          <w:tcPr>
            <w:tcW w:w="1586" w:type="pct"/>
            <w:vAlign w:val="center"/>
          </w:tcPr>
          <w:p w14:paraId="4BBE21A7">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3.6</w:t>
            </w:r>
          </w:p>
        </w:tc>
        <w:tc>
          <w:tcPr>
            <w:tcW w:w="1289" w:type="pct"/>
            <w:vAlign w:val="center"/>
          </w:tcPr>
          <w:p w14:paraId="37B714D2">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4.9</w:t>
            </w:r>
          </w:p>
        </w:tc>
      </w:tr>
      <w:tr w14:paraId="0F50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4C10F6FB">
            <w:pP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6</w:t>
            </w:r>
          </w:p>
        </w:tc>
        <w:tc>
          <w:tcPr>
            <w:tcW w:w="1206" w:type="pct"/>
            <w:vAlign w:val="center"/>
          </w:tcPr>
          <w:p w14:paraId="66899C56">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1586" w:type="pct"/>
            <w:vAlign w:val="center"/>
          </w:tcPr>
          <w:p w14:paraId="1493B85C">
            <w:pP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0</w:t>
            </w:r>
          </w:p>
        </w:tc>
        <w:tc>
          <w:tcPr>
            <w:tcW w:w="1289" w:type="pct"/>
            <w:vAlign w:val="center"/>
          </w:tcPr>
          <w:p w14:paraId="2B33C0B8">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6.3</w:t>
            </w:r>
          </w:p>
        </w:tc>
      </w:tr>
      <w:tr w14:paraId="7C25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6523D957">
            <w:pP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7</w:t>
            </w:r>
          </w:p>
        </w:tc>
        <w:tc>
          <w:tcPr>
            <w:tcW w:w="1206" w:type="pct"/>
            <w:vAlign w:val="center"/>
          </w:tcPr>
          <w:p w14:paraId="10EDD893">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1586" w:type="pct"/>
            <w:vAlign w:val="center"/>
          </w:tcPr>
          <w:p w14:paraId="3AC76DA0">
            <w:pP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0</w:t>
            </w:r>
          </w:p>
        </w:tc>
        <w:tc>
          <w:tcPr>
            <w:tcW w:w="1289" w:type="pct"/>
            <w:vAlign w:val="center"/>
          </w:tcPr>
          <w:p w14:paraId="3E70D5BF">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59.5</w:t>
            </w:r>
          </w:p>
        </w:tc>
      </w:tr>
      <w:tr w14:paraId="06DC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120C9E61">
            <w:pP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8</w:t>
            </w:r>
          </w:p>
        </w:tc>
        <w:tc>
          <w:tcPr>
            <w:tcW w:w="1206" w:type="pct"/>
            <w:vAlign w:val="center"/>
          </w:tcPr>
          <w:p w14:paraId="4E600D0B">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1586" w:type="pct"/>
            <w:vAlign w:val="center"/>
          </w:tcPr>
          <w:p w14:paraId="4B17B4A9">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1289" w:type="pct"/>
            <w:vAlign w:val="center"/>
          </w:tcPr>
          <w:p w14:paraId="3ED53FF4">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63.4</w:t>
            </w:r>
          </w:p>
        </w:tc>
      </w:tr>
      <w:tr w14:paraId="09D0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4323E40B">
            <w:pP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9</w:t>
            </w:r>
          </w:p>
        </w:tc>
        <w:tc>
          <w:tcPr>
            <w:tcW w:w="1206" w:type="pct"/>
            <w:vAlign w:val="center"/>
          </w:tcPr>
          <w:p w14:paraId="12DF8C61">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1586" w:type="pct"/>
            <w:vAlign w:val="center"/>
          </w:tcPr>
          <w:p w14:paraId="5E314BCF">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w:t>
            </w:r>
          </w:p>
        </w:tc>
        <w:tc>
          <w:tcPr>
            <w:tcW w:w="1289" w:type="pct"/>
            <w:vAlign w:val="center"/>
          </w:tcPr>
          <w:p w14:paraId="14578AB0">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79.5</w:t>
            </w:r>
          </w:p>
        </w:tc>
      </w:tr>
      <w:tr w14:paraId="6D38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pct"/>
            <w:vAlign w:val="center"/>
          </w:tcPr>
          <w:p w14:paraId="435BBAED">
            <w:pPr>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10</w:t>
            </w:r>
          </w:p>
        </w:tc>
        <w:tc>
          <w:tcPr>
            <w:tcW w:w="1206" w:type="pct"/>
            <w:vAlign w:val="center"/>
          </w:tcPr>
          <w:p w14:paraId="626D7CC8">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w:t>
            </w:r>
          </w:p>
        </w:tc>
        <w:tc>
          <w:tcPr>
            <w:tcW w:w="1586" w:type="pct"/>
            <w:vAlign w:val="center"/>
          </w:tcPr>
          <w:p w14:paraId="158D8F44">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w:t>
            </w:r>
          </w:p>
        </w:tc>
        <w:tc>
          <w:tcPr>
            <w:tcW w:w="1289" w:type="pct"/>
            <w:vAlign w:val="center"/>
          </w:tcPr>
          <w:p w14:paraId="620AAB6C">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48.3</w:t>
            </w:r>
          </w:p>
        </w:tc>
      </w:tr>
    </w:tbl>
    <w:p w14:paraId="27A1A90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动物资源现状</w:t>
      </w:r>
    </w:p>
    <w:p w14:paraId="4D593E0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评价区域范围</w:t>
      </w:r>
      <w:r>
        <w:rPr>
          <w:rFonts w:hint="default" w:ascii="Times New Roman" w:hAnsi="Times New Roman" w:cs="Times New Roman"/>
          <w:color w:val="auto"/>
          <w:kern w:val="0"/>
          <w:sz w:val="24"/>
          <w:highlight w:val="none"/>
          <w:lang w:val="en-US" w:eastAsia="zh-CN"/>
        </w:rPr>
        <w:t>涉及雅鲁藏布大峡谷国家级自然保护区、西藏嘎朗国家湿地公园、生态保护红线，动物种类繁多</w:t>
      </w:r>
      <w:r>
        <w:rPr>
          <w:rFonts w:hint="default" w:ascii="Times New Roman" w:hAnsi="Times New Roman" w:cs="Times New Roman"/>
          <w:color w:val="auto"/>
          <w:kern w:val="0"/>
          <w:sz w:val="24"/>
          <w:highlight w:val="none"/>
        </w:rPr>
        <w:t>。</w:t>
      </w:r>
    </w:p>
    <w:p w14:paraId="5DBC1897">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本次规划评价动物调查主要采用样线法，辅以样方法、查阅资料法、访问调查法进行。本次共设置4条样线，查阅调查范围内的有关科学研究和野外调查资料，同时收集该区及相邻近地区相关资料，并比照相应的地理位置和海拔，结果表明：</w:t>
      </w:r>
      <w:r>
        <w:rPr>
          <w:rFonts w:hint="default" w:ascii="Times New Roman" w:hAnsi="Times New Roman" w:cs="Times New Roman"/>
          <w:color w:val="auto"/>
          <w:kern w:val="0"/>
          <w:sz w:val="24"/>
          <w:highlight w:val="none"/>
        </w:rPr>
        <w:t>项目影响区内陆生脊椎动物以鸟类和小型兽类为主。</w:t>
      </w:r>
    </w:p>
    <w:p w14:paraId="5CF7946A">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（1）两栖类</w:t>
      </w:r>
    </w:p>
    <w:p w14:paraId="3B9E1802">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调查期间，未发现两栖类分布。</w:t>
      </w:r>
    </w:p>
    <w:p w14:paraId="7A93DA6C">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（2）爬行类</w:t>
      </w:r>
    </w:p>
    <w:p w14:paraId="665D14A6">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根据实地调查及查阅相关资料，评价区爬行纲有1目1科1种。区系分析：上述1种爬行类动物仅分布于青藏区，分布狭窄。生境分布：在河谷石块碎石间活动。</w:t>
      </w:r>
    </w:p>
    <w:p w14:paraId="3C9BEE15">
      <w:pPr>
        <w:pStyle w:val="666"/>
        <w:spacing w:line="360" w:lineRule="auto"/>
        <w:ind w:firstLine="0"/>
        <w:jc w:val="center"/>
        <w:rPr>
          <w:rFonts w:hint="default" w:ascii="Times New Roman" w:hAnsi="Times New Roman" w:eastAsia="黑体" w:cs="Times New Roman"/>
          <w:color w:val="auto"/>
          <w:kern w:val="0"/>
          <w:highlight w:val="none"/>
          <w:lang w:val="en-US" w:eastAsia="zh-CN"/>
        </w:rPr>
      </w:pPr>
      <w:r>
        <w:rPr>
          <w:rFonts w:hint="default" w:ascii="Times New Roman" w:hAnsi="Times New Roman" w:eastAsia="黑体" w:cs="Times New Roman"/>
          <w:color w:val="auto"/>
          <w:kern w:val="0"/>
          <w:highlight w:val="none"/>
          <w:lang w:val="en-US" w:eastAsia="zh-CN"/>
        </w:rPr>
        <w:t>表3.4-22  评价区爬行类名录</w:t>
      </w:r>
    </w:p>
    <w:tbl>
      <w:tblPr>
        <w:tblStyle w:val="58"/>
        <w:tblW w:w="8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2670"/>
        <w:gridCol w:w="3030"/>
        <w:gridCol w:w="1125"/>
      </w:tblGrid>
      <w:tr w14:paraId="0C7B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blHeader/>
          <w:jc w:val="center"/>
        </w:trPr>
        <w:tc>
          <w:tcPr>
            <w:tcW w:w="1320" w:type="dxa"/>
            <w:tcBorders>
              <w:tl2br w:val="nil"/>
              <w:tr2bl w:val="nil"/>
            </w:tcBorders>
            <w:vAlign w:val="bottom"/>
          </w:tcPr>
          <w:p w14:paraId="61169DD0">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中文名</w:t>
            </w:r>
          </w:p>
        </w:tc>
        <w:tc>
          <w:tcPr>
            <w:tcW w:w="2670" w:type="dxa"/>
            <w:tcBorders>
              <w:tl2br w:val="nil"/>
              <w:tr2bl w:val="nil"/>
            </w:tcBorders>
            <w:vAlign w:val="bottom"/>
          </w:tcPr>
          <w:p w14:paraId="521A6C71">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拉丁学名</w:t>
            </w:r>
          </w:p>
        </w:tc>
        <w:tc>
          <w:tcPr>
            <w:tcW w:w="3030" w:type="dxa"/>
            <w:tcBorders>
              <w:tl2br w:val="nil"/>
              <w:tr2bl w:val="nil"/>
            </w:tcBorders>
            <w:vAlign w:val="center"/>
          </w:tcPr>
          <w:p w14:paraId="637ACEE4">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生态分布</w:t>
            </w:r>
          </w:p>
        </w:tc>
        <w:tc>
          <w:tcPr>
            <w:tcW w:w="1125" w:type="dxa"/>
            <w:tcBorders>
              <w:tl2br w:val="nil"/>
              <w:tr2bl w:val="nil"/>
            </w:tcBorders>
            <w:vAlign w:val="center"/>
          </w:tcPr>
          <w:p w14:paraId="5F73567C">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区系分布</w:t>
            </w:r>
          </w:p>
        </w:tc>
      </w:tr>
      <w:tr w14:paraId="362C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20" w:type="dxa"/>
            <w:tcBorders>
              <w:tl2br w:val="nil"/>
              <w:tr2bl w:val="nil"/>
            </w:tcBorders>
            <w:vAlign w:val="bottom"/>
          </w:tcPr>
          <w:p w14:paraId="618E3638">
            <w:pP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有鳞目</w:t>
            </w:r>
          </w:p>
        </w:tc>
        <w:tc>
          <w:tcPr>
            <w:tcW w:w="2670" w:type="dxa"/>
            <w:tcBorders>
              <w:tl2br w:val="nil"/>
              <w:tr2bl w:val="nil"/>
            </w:tcBorders>
            <w:vAlign w:val="bottom"/>
          </w:tcPr>
          <w:p w14:paraId="07F0DDC3">
            <w:pPr>
              <w:rPr>
                <w:rFonts w:hint="default" w:ascii="Times New Roman" w:hAnsi="Times New Roman" w:cs="Times New Roman"/>
                <w:b/>
                <w:i/>
                <w:iCs/>
                <w:color w:val="auto"/>
                <w:kern w:val="0"/>
                <w:szCs w:val="21"/>
                <w:highlight w:val="none"/>
              </w:rPr>
            </w:pPr>
            <w:r>
              <w:rPr>
                <w:rFonts w:hint="default" w:ascii="Times New Roman" w:hAnsi="Times New Roman" w:cs="Times New Roman"/>
                <w:b/>
                <w:i/>
                <w:iCs/>
                <w:color w:val="auto"/>
                <w:kern w:val="0"/>
                <w:szCs w:val="21"/>
                <w:highlight w:val="none"/>
              </w:rPr>
              <w:t>SQUACATA</w:t>
            </w:r>
          </w:p>
        </w:tc>
        <w:tc>
          <w:tcPr>
            <w:tcW w:w="3030" w:type="dxa"/>
            <w:tcBorders>
              <w:tl2br w:val="nil"/>
              <w:tr2bl w:val="nil"/>
            </w:tcBorders>
            <w:vAlign w:val="center"/>
          </w:tcPr>
          <w:p w14:paraId="7D6E117D">
            <w:pPr>
              <w:rPr>
                <w:rFonts w:hint="default" w:ascii="Times New Roman" w:hAnsi="Times New Roman" w:cs="Times New Roman"/>
                <w:b/>
                <w:color w:val="auto"/>
                <w:kern w:val="0"/>
                <w:szCs w:val="21"/>
                <w:highlight w:val="none"/>
              </w:rPr>
            </w:pPr>
          </w:p>
        </w:tc>
        <w:tc>
          <w:tcPr>
            <w:tcW w:w="1125" w:type="dxa"/>
            <w:tcBorders>
              <w:tl2br w:val="nil"/>
              <w:tr2bl w:val="nil"/>
            </w:tcBorders>
            <w:vAlign w:val="center"/>
          </w:tcPr>
          <w:p w14:paraId="463363B9">
            <w:pPr>
              <w:rPr>
                <w:rFonts w:hint="default" w:ascii="Times New Roman" w:hAnsi="Times New Roman" w:cs="Times New Roman"/>
                <w:b/>
                <w:color w:val="auto"/>
                <w:kern w:val="0"/>
                <w:szCs w:val="21"/>
                <w:highlight w:val="none"/>
              </w:rPr>
            </w:pPr>
          </w:p>
        </w:tc>
      </w:tr>
      <w:tr w14:paraId="648D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20" w:type="dxa"/>
            <w:tcBorders>
              <w:tl2br w:val="nil"/>
              <w:tr2bl w:val="nil"/>
            </w:tcBorders>
            <w:vAlign w:val="bottom"/>
          </w:tcPr>
          <w:p w14:paraId="6E750AC9">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鬣蜥科</w:t>
            </w:r>
          </w:p>
        </w:tc>
        <w:tc>
          <w:tcPr>
            <w:tcW w:w="2670" w:type="dxa"/>
            <w:tcBorders>
              <w:tl2br w:val="nil"/>
              <w:tr2bl w:val="nil"/>
            </w:tcBorders>
            <w:vAlign w:val="bottom"/>
          </w:tcPr>
          <w:p w14:paraId="4466CF56">
            <w:pPr>
              <w:jc w:val="center"/>
              <w:rPr>
                <w:rFonts w:hint="default" w:ascii="Times New Roman" w:hAnsi="Times New Roman" w:cs="Times New Roman"/>
                <w:bCs/>
                <w:i/>
                <w:iCs/>
                <w:color w:val="auto"/>
                <w:kern w:val="0"/>
                <w:szCs w:val="21"/>
                <w:highlight w:val="none"/>
              </w:rPr>
            </w:pPr>
            <w:r>
              <w:rPr>
                <w:rFonts w:hint="default" w:ascii="Times New Roman" w:hAnsi="Times New Roman" w:cs="Times New Roman"/>
                <w:bCs/>
                <w:i/>
                <w:iCs/>
                <w:color w:val="auto"/>
                <w:kern w:val="0"/>
                <w:szCs w:val="21"/>
                <w:highlight w:val="none"/>
              </w:rPr>
              <w:t>Agacidae</w:t>
            </w:r>
          </w:p>
        </w:tc>
        <w:tc>
          <w:tcPr>
            <w:tcW w:w="3030" w:type="dxa"/>
            <w:tcBorders>
              <w:tl2br w:val="nil"/>
              <w:tr2bl w:val="nil"/>
            </w:tcBorders>
            <w:vAlign w:val="center"/>
          </w:tcPr>
          <w:p w14:paraId="0F221D4C">
            <w:pPr>
              <w:rPr>
                <w:rFonts w:hint="default" w:ascii="Times New Roman" w:hAnsi="Times New Roman" w:cs="Times New Roman"/>
                <w:b/>
                <w:color w:val="auto"/>
                <w:kern w:val="0"/>
                <w:szCs w:val="21"/>
                <w:highlight w:val="none"/>
              </w:rPr>
            </w:pPr>
          </w:p>
        </w:tc>
        <w:tc>
          <w:tcPr>
            <w:tcW w:w="1125" w:type="dxa"/>
            <w:tcBorders>
              <w:tl2br w:val="nil"/>
              <w:tr2bl w:val="nil"/>
            </w:tcBorders>
            <w:vAlign w:val="center"/>
          </w:tcPr>
          <w:p w14:paraId="4CB32EA4">
            <w:pPr>
              <w:rPr>
                <w:rFonts w:hint="default" w:ascii="Times New Roman" w:hAnsi="Times New Roman" w:cs="Times New Roman"/>
                <w:b/>
                <w:color w:val="auto"/>
                <w:kern w:val="0"/>
                <w:szCs w:val="21"/>
                <w:highlight w:val="none"/>
              </w:rPr>
            </w:pPr>
          </w:p>
        </w:tc>
      </w:tr>
      <w:tr w14:paraId="1A26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20" w:type="dxa"/>
            <w:tcBorders>
              <w:tl2br w:val="nil"/>
              <w:tr2bl w:val="nil"/>
            </w:tcBorders>
            <w:vAlign w:val="bottom"/>
          </w:tcPr>
          <w:p w14:paraId="70DD7321">
            <w:pPr>
              <w:jc w:val="center"/>
              <w:rPr>
                <w:rFonts w:hint="default" w:ascii="Times New Roman" w:hAnsi="Times New Roman" w:cs="Times New Roman"/>
                <w:b/>
                <w:color w:val="auto"/>
                <w:kern w:val="0"/>
                <w:szCs w:val="21"/>
                <w:highlight w:val="none"/>
              </w:rPr>
            </w:pPr>
            <w:r>
              <w:rPr>
                <w:rFonts w:hint="default" w:ascii="Times New Roman" w:hAnsi="Times New Roman" w:cs="Times New Roman"/>
                <w:bCs/>
                <w:color w:val="auto"/>
                <w:kern w:val="0"/>
                <w:szCs w:val="21"/>
                <w:highlight w:val="none"/>
              </w:rPr>
              <w:t>西藏沙蜥</w:t>
            </w:r>
          </w:p>
        </w:tc>
        <w:tc>
          <w:tcPr>
            <w:tcW w:w="2670" w:type="dxa"/>
            <w:tcBorders>
              <w:tl2br w:val="nil"/>
              <w:tr2bl w:val="nil"/>
            </w:tcBorders>
            <w:vAlign w:val="bottom"/>
          </w:tcPr>
          <w:p w14:paraId="3C9C811C">
            <w:pPr>
              <w:jc w:val="center"/>
              <w:rPr>
                <w:rFonts w:hint="default" w:ascii="Times New Roman" w:hAnsi="Times New Roman" w:cs="Times New Roman"/>
                <w:bCs/>
                <w:i/>
                <w:iCs/>
                <w:color w:val="auto"/>
                <w:kern w:val="0"/>
                <w:szCs w:val="21"/>
                <w:highlight w:val="none"/>
              </w:rPr>
            </w:pPr>
            <w:r>
              <w:rPr>
                <w:rFonts w:hint="default" w:ascii="Times New Roman" w:hAnsi="Times New Roman" w:cs="Times New Roman"/>
                <w:bCs/>
                <w:i/>
                <w:iCs/>
                <w:color w:val="auto"/>
                <w:kern w:val="0"/>
                <w:szCs w:val="21"/>
                <w:highlight w:val="none"/>
              </w:rPr>
              <w:t>Phrynocephalus theobaldi</w:t>
            </w:r>
          </w:p>
        </w:tc>
        <w:tc>
          <w:tcPr>
            <w:tcW w:w="3030" w:type="dxa"/>
            <w:tcBorders>
              <w:tl2br w:val="nil"/>
              <w:tr2bl w:val="nil"/>
            </w:tcBorders>
            <w:vAlign w:val="center"/>
          </w:tcPr>
          <w:p w14:paraId="4D1A3D98">
            <w:pP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砂砾地带、丘陵缓坡、河湖沿岸</w:t>
            </w:r>
          </w:p>
        </w:tc>
        <w:tc>
          <w:tcPr>
            <w:tcW w:w="1125" w:type="dxa"/>
            <w:tcBorders>
              <w:tl2br w:val="nil"/>
              <w:tr2bl w:val="nil"/>
            </w:tcBorders>
            <w:vAlign w:val="center"/>
          </w:tcPr>
          <w:p w14:paraId="663AFD91">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青藏区</w:t>
            </w:r>
          </w:p>
        </w:tc>
      </w:tr>
    </w:tbl>
    <w:p w14:paraId="4C75D7A0">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区系分析：区内有分布的西藏沙蜥主要为青藏区。</w:t>
      </w:r>
    </w:p>
    <w:p w14:paraId="2BBFB111">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生态分布：根据该区域的环境特征和爬行类的生活特性，西藏沙蜥主要分布在砂砾地带、丘陵缓坡、河湖沿。</w:t>
      </w:r>
    </w:p>
    <w:p w14:paraId="7BB67DD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（3）鸟类</w:t>
      </w:r>
    </w:p>
    <w:p w14:paraId="174218B9">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根据实地调查及查阅相关资料，评价区鸟纲主要有4目4科5种。评价区鸟类名录详见表3.</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23</w:t>
      </w:r>
      <w:r>
        <w:rPr>
          <w:rFonts w:hint="default" w:ascii="Times New Roman" w:hAnsi="Times New Roman" w:cs="Times New Roman"/>
          <w:color w:val="auto"/>
          <w:kern w:val="0"/>
          <w:sz w:val="24"/>
          <w:highlight w:val="none"/>
        </w:rPr>
        <w:t>。</w:t>
      </w:r>
    </w:p>
    <w:p w14:paraId="4846D276">
      <w:pPr>
        <w:pStyle w:val="666"/>
        <w:spacing w:line="360" w:lineRule="auto"/>
        <w:ind w:firstLine="0"/>
        <w:jc w:val="center"/>
        <w:rPr>
          <w:rFonts w:hint="default" w:ascii="Times New Roman" w:hAnsi="Times New Roman" w:eastAsia="黑体" w:cs="Times New Roman"/>
          <w:color w:val="auto"/>
          <w:kern w:val="0"/>
          <w:highlight w:val="none"/>
          <w:lang w:val="en-US" w:eastAsia="zh-CN"/>
        </w:rPr>
      </w:pPr>
      <w:r>
        <w:rPr>
          <w:rFonts w:hint="default" w:ascii="Times New Roman" w:hAnsi="Times New Roman" w:eastAsia="黑体" w:cs="Times New Roman"/>
          <w:color w:val="auto"/>
          <w:kern w:val="0"/>
          <w:highlight w:val="none"/>
          <w:lang w:val="en-US" w:eastAsia="zh-CN"/>
        </w:rPr>
        <w:t>表3.4-23  评价区鸟类名录</w:t>
      </w:r>
    </w:p>
    <w:tbl>
      <w:tblPr>
        <w:tblStyle w:val="58"/>
        <w:tblW w:w="825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88"/>
        <w:gridCol w:w="2184"/>
        <w:gridCol w:w="2087"/>
        <w:gridCol w:w="1200"/>
      </w:tblGrid>
      <w:tr w14:paraId="4C465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2788" w:type="dxa"/>
            <w:tcBorders>
              <w:tl2br w:val="nil"/>
              <w:tr2bl w:val="nil"/>
            </w:tcBorders>
            <w:vAlign w:val="bottom"/>
          </w:tcPr>
          <w:p w14:paraId="0BB76447">
            <w:pPr>
              <w:widowControl/>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中文名</w:t>
            </w:r>
          </w:p>
        </w:tc>
        <w:tc>
          <w:tcPr>
            <w:tcW w:w="2184" w:type="dxa"/>
            <w:tcBorders>
              <w:tl2br w:val="nil"/>
              <w:tr2bl w:val="nil"/>
            </w:tcBorders>
            <w:vAlign w:val="bottom"/>
          </w:tcPr>
          <w:p w14:paraId="69D0EDB4">
            <w:pPr>
              <w:widowControl/>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拉丁学名</w:t>
            </w:r>
          </w:p>
        </w:tc>
        <w:tc>
          <w:tcPr>
            <w:tcW w:w="2087" w:type="dxa"/>
            <w:tcBorders>
              <w:tl2br w:val="nil"/>
              <w:tr2bl w:val="nil"/>
            </w:tcBorders>
            <w:vAlign w:val="center"/>
          </w:tcPr>
          <w:p w14:paraId="57E0C57A">
            <w:pPr>
              <w:widowControl/>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生态分布</w:t>
            </w:r>
          </w:p>
        </w:tc>
        <w:tc>
          <w:tcPr>
            <w:tcW w:w="1200" w:type="dxa"/>
            <w:tcBorders>
              <w:tl2br w:val="nil"/>
              <w:tr2bl w:val="nil"/>
            </w:tcBorders>
            <w:vAlign w:val="center"/>
          </w:tcPr>
          <w:p w14:paraId="309011C4">
            <w:pPr>
              <w:widowControl/>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区系分布</w:t>
            </w:r>
          </w:p>
        </w:tc>
      </w:tr>
      <w:tr w14:paraId="5F66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788" w:type="dxa"/>
            <w:tcBorders>
              <w:tl2br w:val="nil"/>
              <w:tr2bl w:val="nil"/>
            </w:tcBorders>
            <w:vAlign w:val="bottom"/>
          </w:tcPr>
          <w:p w14:paraId="189755D8">
            <w:pPr>
              <w:widowControl/>
              <w:jc w:val="left"/>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鸽形目</w:t>
            </w:r>
          </w:p>
        </w:tc>
        <w:tc>
          <w:tcPr>
            <w:tcW w:w="2184" w:type="dxa"/>
            <w:tcBorders>
              <w:tl2br w:val="nil"/>
              <w:tr2bl w:val="nil"/>
            </w:tcBorders>
            <w:vAlign w:val="bottom"/>
          </w:tcPr>
          <w:p w14:paraId="422FAF2C">
            <w:pPr>
              <w:widowControl/>
              <w:jc w:val="left"/>
              <w:rPr>
                <w:rFonts w:hint="default" w:ascii="Times New Roman" w:hAnsi="Times New Roman" w:cs="Times New Roman"/>
                <w:b/>
                <w:i/>
                <w:iCs/>
                <w:color w:val="auto"/>
                <w:kern w:val="0"/>
                <w:szCs w:val="21"/>
                <w:highlight w:val="none"/>
              </w:rPr>
            </w:pPr>
            <w:r>
              <w:rPr>
                <w:rFonts w:hint="default" w:ascii="Times New Roman" w:hAnsi="Times New Roman" w:cs="Times New Roman"/>
                <w:b/>
                <w:i/>
                <w:iCs/>
                <w:color w:val="auto"/>
                <w:kern w:val="0"/>
                <w:szCs w:val="21"/>
                <w:highlight w:val="none"/>
              </w:rPr>
              <w:t>Columbiformes</w:t>
            </w:r>
          </w:p>
        </w:tc>
        <w:tc>
          <w:tcPr>
            <w:tcW w:w="2087" w:type="dxa"/>
            <w:tcBorders>
              <w:tl2br w:val="nil"/>
              <w:tr2bl w:val="nil"/>
            </w:tcBorders>
            <w:vAlign w:val="center"/>
          </w:tcPr>
          <w:p w14:paraId="1D2A4F5E">
            <w:pPr>
              <w:widowControl/>
              <w:jc w:val="center"/>
              <w:rPr>
                <w:rFonts w:hint="default" w:ascii="Times New Roman" w:hAnsi="Times New Roman" w:cs="Times New Roman"/>
                <w:color w:val="auto"/>
                <w:kern w:val="0"/>
                <w:szCs w:val="21"/>
                <w:highlight w:val="none"/>
              </w:rPr>
            </w:pPr>
          </w:p>
        </w:tc>
        <w:tc>
          <w:tcPr>
            <w:tcW w:w="1200" w:type="dxa"/>
            <w:tcBorders>
              <w:tl2br w:val="nil"/>
              <w:tr2bl w:val="nil"/>
            </w:tcBorders>
            <w:vAlign w:val="center"/>
          </w:tcPr>
          <w:p w14:paraId="2BC694F8">
            <w:pPr>
              <w:widowControl/>
              <w:jc w:val="center"/>
              <w:rPr>
                <w:rFonts w:hint="default" w:ascii="Times New Roman" w:hAnsi="Times New Roman" w:cs="Times New Roman"/>
                <w:color w:val="auto"/>
                <w:kern w:val="0"/>
                <w:szCs w:val="21"/>
                <w:highlight w:val="none"/>
              </w:rPr>
            </w:pPr>
          </w:p>
        </w:tc>
      </w:tr>
      <w:tr w14:paraId="5CDE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788" w:type="dxa"/>
            <w:tcBorders>
              <w:tl2br w:val="nil"/>
              <w:tr2bl w:val="nil"/>
            </w:tcBorders>
            <w:vAlign w:val="bottom"/>
          </w:tcPr>
          <w:p w14:paraId="7777EB5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鸠鸽科</w:t>
            </w:r>
          </w:p>
        </w:tc>
        <w:tc>
          <w:tcPr>
            <w:tcW w:w="2184" w:type="dxa"/>
            <w:tcBorders>
              <w:tl2br w:val="nil"/>
              <w:tr2bl w:val="nil"/>
            </w:tcBorders>
            <w:vAlign w:val="bottom"/>
          </w:tcPr>
          <w:p w14:paraId="06B03348">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Pigeons</w:t>
            </w:r>
          </w:p>
        </w:tc>
        <w:tc>
          <w:tcPr>
            <w:tcW w:w="2087" w:type="dxa"/>
            <w:tcBorders>
              <w:tl2br w:val="nil"/>
              <w:tr2bl w:val="nil"/>
            </w:tcBorders>
            <w:vAlign w:val="center"/>
          </w:tcPr>
          <w:p w14:paraId="22B55326">
            <w:pPr>
              <w:widowControl/>
              <w:jc w:val="center"/>
              <w:rPr>
                <w:rFonts w:hint="default" w:ascii="Times New Roman" w:hAnsi="Times New Roman" w:cs="Times New Roman"/>
                <w:color w:val="auto"/>
                <w:kern w:val="0"/>
                <w:szCs w:val="21"/>
                <w:highlight w:val="none"/>
              </w:rPr>
            </w:pPr>
          </w:p>
        </w:tc>
        <w:tc>
          <w:tcPr>
            <w:tcW w:w="1200" w:type="dxa"/>
            <w:tcBorders>
              <w:tl2br w:val="nil"/>
              <w:tr2bl w:val="nil"/>
            </w:tcBorders>
            <w:vAlign w:val="center"/>
          </w:tcPr>
          <w:p w14:paraId="19D6B094">
            <w:pPr>
              <w:widowControl/>
              <w:jc w:val="center"/>
              <w:rPr>
                <w:rFonts w:hint="default" w:ascii="Times New Roman" w:hAnsi="Times New Roman" w:cs="Times New Roman"/>
                <w:color w:val="auto"/>
                <w:kern w:val="0"/>
                <w:szCs w:val="21"/>
                <w:highlight w:val="none"/>
              </w:rPr>
            </w:pPr>
          </w:p>
        </w:tc>
      </w:tr>
      <w:tr w14:paraId="03C2D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788" w:type="dxa"/>
            <w:tcBorders>
              <w:tl2br w:val="nil"/>
              <w:tr2bl w:val="nil"/>
            </w:tcBorders>
            <w:vAlign w:val="bottom"/>
          </w:tcPr>
          <w:p w14:paraId="1637C7EB">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山斑鸠</w:t>
            </w:r>
          </w:p>
        </w:tc>
        <w:tc>
          <w:tcPr>
            <w:tcW w:w="2184" w:type="dxa"/>
            <w:tcBorders>
              <w:tl2br w:val="nil"/>
              <w:tr2bl w:val="nil"/>
            </w:tcBorders>
            <w:vAlign w:val="bottom"/>
          </w:tcPr>
          <w:p w14:paraId="15BC6A15">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Streptopelia orientalis</w:t>
            </w:r>
          </w:p>
        </w:tc>
        <w:tc>
          <w:tcPr>
            <w:tcW w:w="2087" w:type="dxa"/>
            <w:tcBorders>
              <w:tl2br w:val="nil"/>
              <w:tr2bl w:val="nil"/>
            </w:tcBorders>
            <w:vAlign w:val="center"/>
          </w:tcPr>
          <w:p w14:paraId="3155D876">
            <w:pPr>
              <w:widowControl/>
              <w:jc w:val="center"/>
              <w:rPr>
                <w:rFonts w:hint="default" w:ascii="Times New Roman" w:hAnsi="Times New Roman" w:cs="Times New Roman"/>
                <w:color w:val="auto"/>
                <w:kern w:val="0"/>
                <w:szCs w:val="21"/>
                <w:highlight w:val="none"/>
              </w:rPr>
            </w:pPr>
          </w:p>
        </w:tc>
        <w:tc>
          <w:tcPr>
            <w:tcW w:w="1200" w:type="dxa"/>
            <w:tcBorders>
              <w:tl2br w:val="nil"/>
              <w:tr2bl w:val="nil"/>
            </w:tcBorders>
            <w:vAlign w:val="center"/>
          </w:tcPr>
          <w:p w14:paraId="40BB8DA4">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不明</w:t>
            </w:r>
          </w:p>
        </w:tc>
      </w:tr>
      <w:tr w14:paraId="0A122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788" w:type="dxa"/>
            <w:tcBorders>
              <w:tl2br w:val="nil"/>
              <w:tr2bl w:val="nil"/>
            </w:tcBorders>
          </w:tcPr>
          <w:p w14:paraId="42B43D71">
            <w:pPr>
              <w:widowControl/>
              <w:jc w:val="left"/>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鸡形目</w:t>
            </w:r>
          </w:p>
        </w:tc>
        <w:tc>
          <w:tcPr>
            <w:tcW w:w="2184" w:type="dxa"/>
            <w:tcBorders>
              <w:tl2br w:val="nil"/>
              <w:tr2bl w:val="nil"/>
            </w:tcBorders>
          </w:tcPr>
          <w:p w14:paraId="7981E46E">
            <w:pPr>
              <w:widowControl/>
              <w:jc w:val="left"/>
              <w:rPr>
                <w:rFonts w:hint="default" w:ascii="Times New Roman" w:hAnsi="Times New Roman" w:cs="Times New Roman"/>
                <w:b/>
                <w:i/>
                <w:iCs/>
                <w:color w:val="auto"/>
                <w:kern w:val="0"/>
                <w:szCs w:val="21"/>
                <w:highlight w:val="none"/>
              </w:rPr>
            </w:pPr>
            <w:r>
              <w:rPr>
                <w:rFonts w:hint="default" w:ascii="Times New Roman" w:hAnsi="Times New Roman" w:cs="Times New Roman"/>
                <w:b/>
                <w:i/>
                <w:iCs/>
                <w:color w:val="auto"/>
                <w:kern w:val="0"/>
                <w:szCs w:val="21"/>
                <w:highlight w:val="none"/>
              </w:rPr>
              <w:t>CALLIFORCES</w:t>
            </w:r>
          </w:p>
        </w:tc>
        <w:tc>
          <w:tcPr>
            <w:tcW w:w="2087" w:type="dxa"/>
            <w:tcBorders>
              <w:tl2br w:val="nil"/>
              <w:tr2bl w:val="nil"/>
            </w:tcBorders>
            <w:vAlign w:val="center"/>
          </w:tcPr>
          <w:p w14:paraId="2FCF09AC">
            <w:pPr>
              <w:widowControl/>
              <w:jc w:val="center"/>
              <w:rPr>
                <w:rFonts w:hint="default" w:ascii="Times New Roman" w:hAnsi="Times New Roman" w:cs="Times New Roman"/>
                <w:color w:val="auto"/>
                <w:kern w:val="0"/>
                <w:szCs w:val="21"/>
                <w:highlight w:val="none"/>
              </w:rPr>
            </w:pPr>
          </w:p>
        </w:tc>
        <w:tc>
          <w:tcPr>
            <w:tcW w:w="1200" w:type="dxa"/>
            <w:tcBorders>
              <w:tl2br w:val="nil"/>
              <w:tr2bl w:val="nil"/>
            </w:tcBorders>
            <w:vAlign w:val="center"/>
          </w:tcPr>
          <w:p w14:paraId="6150BBE2">
            <w:pPr>
              <w:widowControl/>
              <w:jc w:val="center"/>
              <w:rPr>
                <w:rFonts w:hint="default" w:ascii="Times New Roman" w:hAnsi="Times New Roman" w:cs="Times New Roman"/>
                <w:color w:val="auto"/>
                <w:kern w:val="0"/>
                <w:szCs w:val="21"/>
                <w:highlight w:val="none"/>
              </w:rPr>
            </w:pPr>
          </w:p>
        </w:tc>
      </w:tr>
      <w:tr w14:paraId="250D5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788" w:type="dxa"/>
            <w:tcBorders>
              <w:tl2br w:val="nil"/>
              <w:tr2bl w:val="nil"/>
            </w:tcBorders>
            <w:vAlign w:val="bottom"/>
          </w:tcPr>
          <w:p w14:paraId="2E5F7FE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雉科</w:t>
            </w:r>
          </w:p>
        </w:tc>
        <w:tc>
          <w:tcPr>
            <w:tcW w:w="2184" w:type="dxa"/>
            <w:tcBorders>
              <w:tl2br w:val="nil"/>
              <w:tr2bl w:val="nil"/>
            </w:tcBorders>
            <w:vAlign w:val="bottom"/>
          </w:tcPr>
          <w:p w14:paraId="772CD720">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Phasianidae</w:t>
            </w:r>
          </w:p>
        </w:tc>
        <w:tc>
          <w:tcPr>
            <w:tcW w:w="2087" w:type="dxa"/>
            <w:tcBorders>
              <w:tl2br w:val="nil"/>
              <w:tr2bl w:val="nil"/>
            </w:tcBorders>
            <w:vAlign w:val="center"/>
          </w:tcPr>
          <w:p w14:paraId="5BB7F783">
            <w:pPr>
              <w:widowControl/>
              <w:jc w:val="center"/>
              <w:rPr>
                <w:rFonts w:hint="default" w:ascii="Times New Roman" w:hAnsi="Times New Roman" w:cs="Times New Roman"/>
                <w:color w:val="auto"/>
                <w:kern w:val="0"/>
                <w:szCs w:val="21"/>
                <w:highlight w:val="none"/>
              </w:rPr>
            </w:pPr>
          </w:p>
        </w:tc>
        <w:tc>
          <w:tcPr>
            <w:tcW w:w="1200" w:type="dxa"/>
            <w:tcBorders>
              <w:tl2br w:val="nil"/>
              <w:tr2bl w:val="nil"/>
            </w:tcBorders>
            <w:vAlign w:val="center"/>
          </w:tcPr>
          <w:p w14:paraId="3C24047B">
            <w:pPr>
              <w:widowControl/>
              <w:jc w:val="center"/>
              <w:rPr>
                <w:rFonts w:hint="default" w:ascii="Times New Roman" w:hAnsi="Times New Roman" w:cs="Times New Roman"/>
                <w:color w:val="auto"/>
                <w:kern w:val="0"/>
                <w:szCs w:val="21"/>
                <w:highlight w:val="none"/>
              </w:rPr>
            </w:pPr>
          </w:p>
        </w:tc>
      </w:tr>
      <w:tr w14:paraId="35894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788" w:type="dxa"/>
            <w:tcBorders>
              <w:tl2br w:val="nil"/>
              <w:tr2bl w:val="nil"/>
            </w:tcBorders>
            <w:vAlign w:val="bottom"/>
          </w:tcPr>
          <w:p w14:paraId="0683305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高原山鹑</w:t>
            </w:r>
          </w:p>
        </w:tc>
        <w:tc>
          <w:tcPr>
            <w:tcW w:w="2184" w:type="dxa"/>
            <w:tcBorders>
              <w:tl2br w:val="nil"/>
              <w:tr2bl w:val="nil"/>
            </w:tcBorders>
            <w:vAlign w:val="bottom"/>
          </w:tcPr>
          <w:p w14:paraId="294FCD0F">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shd w:val="clear" w:color="auto" w:fill="FFFFFF"/>
              </w:rPr>
              <w:t>Perdixhodgsoniae</w:t>
            </w:r>
          </w:p>
        </w:tc>
        <w:tc>
          <w:tcPr>
            <w:tcW w:w="2087" w:type="dxa"/>
            <w:tcBorders>
              <w:tl2br w:val="nil"/>
              <w:tr2bl w:val="nil"/>
            </w:tcBorders>
            <w:vAlign w:val="center"/>
          </w:tcPr>
          <w:p w14:paraId="368C9C2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河谷</w:t>
            </w:r>
          </w:p>
        </w:tc>
        <w:tc>
          <w:tcPr>
            <w:tcW w:w="1200" w:type="dxa"/>
            <w:tcBorders>
              <w:tl2br w:val="nil"/>
              <w:tr2bl w:val="nil"/>
            </w:tcBorders>
            <w:vAlign w:val="center"/>
          </w:tcPr>
          <w:p w14:paraId="230444D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古北型</w:t>
            </w:r>
          </w:p>
        </w:tc>
      </w:tr>
      <w:tr w14:paraId="157FD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788" w:type="dxa"/>
            <w:tcBorders>
              <w:tl2br w:val="nil"/>
              <w:tr2bl w:val="nil"/>
            </w:tcBorders>
          </w:tcPr>
          <w:p w14:paraId="0A0BBB10">
            <w:pPr>
              <w:widowControl/>
              <w:jc w:val="left"/>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雨燕目</w:t>
            </w:r>
          </w:p>
        </w:tc>
        <w:tc>
          <w:tcPr>
            <w:tcW w:w="2184" w:type="dxa"/>
            <w:tcBorders>
              <w:tl2br w:val="nil"/>
              <w:tr2bl w:val="nil"/>
            </w:tcBorders>
          </w:tcPr>
          <w:p w14:paraId="36BF1140">
            <w:pPr>
              <w:widowControl/>
              <w:jc w:val="left"/>
              <w:rPr>
                <w:rFonts w:hint="default" w:ascii="Times New Roman" w:hAnsi="Times New Roman" w:cs="Times New Roman"/>
                <w:b/>
                <w:i/>
                <w:iCs/>
                <w:color w:val="auto"/>
                <w:kern w:val="0"/>
                <w:szCs w:val="21"/>
                <w:highlight w:val="none"/>
              </w:rPr>
            </w:pPr>
            <w:r>
              <w:rPr>
                <w:rFonts w:hint="default" w:ascii="Times New Roman" w:hAnsi="Times New Roman" w:cs="Times New Roman"/>
                <w:b/>
                <w:i/>
                <w:iCs/>
                <w:color w:val="auto"/>
                <w:kern w:val="0"/>
                <w:szCs w:val="21"/>
                <w:highlight w:val="none"/>
              </w:rPr>
              <w:t>APODIFORCES</w:t>
            </w:r>
          </w:p>
        </w:tc>
        <w:tc>
          <w:tcPr>
            <w:tcW w:w="2087" w:type="dxa"/>
            <w:tcBorders>
              <w:tl2br w:val="nil"/>
              <w:tr2bl w:val="nil"/>
            </w:tcBorders>
            <w:vAlign w:val="center"/>
          </w:tcPr>
          <w:p w14:paraId="45D33423">
            <w:pPr>
              <w:widowControl/>
              <w:jc w:val="center"/>
              <w:rPr>
                <w:rFonts w:hint="default" w:ascii="Times New Roman" w:hAnsi="Times New Roman" w:cs="Times New Roman"/>
                <w:color w:val="auto"/>
                <w:kern w:val="0"/>
                <w:szCs w:val="21"/>
                <w:highlight w:val="none"/>
              </w:rPr>
            </w:pPr>
          </w:p>
        </w:tc>
        <w:tc>
          <w:tcPr>
            <w:tcW w:w="1200" w:type="dxa"/>
            <w:tcBorders>
              <w:tl2br w:val="nil"/>
              <w:tr2bl w:val="nil"/>
            </w:tcBorders>
            <w:vAlign w:val="center"/>
          </w:tcPr>
          <w:p w14:paraId="08B391D6">
            <w:pPr>
              <w:widowControl/>
              <w:jc w:val="center"/>
              <w:rPr>
                <w:rFonts w:hint="default" w:ascii="Times New Roman" w:hAnsi="Times New Roman" w:cs="Times New Roman"/>
                <w:color w:val="auto"/>
                <w:kern w:val="0"/>
                <w:szCs w:val="21"/>
                <w:highlight w:val="none"/>
              </w:rPr>
            </w:pPr>
          </w:p>
        </w:tc>
      </w:tr>
      <w:tr w14:paraId="4CEC5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3" w:hRule="exact"/>
          <w:jc w:val="center"/>
        </w:trPr>
        <w:tc>
          <w:tcPr>
            <w:tcW w:w="2788" w:type="dxa"/>
            <w:tcBorders>
              <w:tl2br w:val="nil"/>
              <w:tr2bl w:val="nil"/>
            </w:tcBorders>
          </w:tcPr>
          <w:p w14:paraId="37FA9C8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雨燕科</w:t>
            </w:r>
          </w:p>
        </w:tc>
        <w:tc>
          <w:tcPr>
            <w:tcW w:w="2184" w:type="dxa"/>
            <w:tcBorders>
              <w:tl2br w:val="nil"/>
              <w:tr2bl w:val="nil"/>
            </w:tcBorders>
          </w:tcPr>
          <w:p w14:paraId="5E218FBF">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Apodidae</w:t>
            </w:r>
          </w:p>
        </w:tc>
        <w:tc>
          <w:tcPr>
            <w:tcW w:w="2087" w:type="dxa"/>
            <w:tcBorders>
              <w:tl2br w:val="nil"/>
              <w:tr2bl w:val="nil"/>
            </w:tcBorders>
            <w:vAlign w:val="center"/>
          </w:tcPr>
          <w:p w14:paraId="5C3ED353">
            <w:pPr>
              <w:widowControl/>
              <w:jc w:val="center"/>
              <w:rPr>
                <w:rFonts w:hint="default" w:ascii="Times New Roman" w:hAnsi="Times New Roman" w:cs="Times New Roman"/>
                <w:color w:val="auto"/>
                <w:kern w:val="0"/>
                <w:szCs w:val="21"/>
                <w:highlight w:val="none"/>
              </w:rPr>
            </w:pPr>
          </w:p>
        </w:tc>
        <w:tc>
          <w:tcPr>
            <w:tcW w:w="1200" w:type="dxa"/>
            <w:tcBorders>
              <w:tl2br w:val="nil"/>
              <w:tr2bl w:val="nil"/>
            </w:tcBorders>
            <w:vAlign w:val="center"/>
          </w:tcPr>
          <w:p w14:paraId="23491470">
            <w:pPr>
              <w:widowControl/>
              <w:jc w:val="center"/>
              <w:rPr>
                <w:rFonts w:hint="default" w:ascii="Times New Roman" w:hAnsi="Times New Roman" w:cs="Times New Roman"/>
                <w:color w:val="auto"/>
                <w:kern w:val="0"/>
                <w:szCs w:val="21"/>
                <w:highlight w:val="none"/>
              </w:rPr>
            </w:pPr>
          </w:p>
        </w:tc>
      </w:tr>
      <w:tr w14:paraId="0805F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788" w:type="dxa"/>
            <w:tcBorders>
              <w:tl2br w:val="nil"/>
              <w:tr2bl w:val="nil"/>
            </w:tcBorders>
          </w:tcPr>
          <w:p w14:paraId="773A7B8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白腰雨燕</w:t>
            </w:r>
          </w:p>
        </w:tc>
        <w:tc>
          <w:tcPr>
            <w:tcW w:w="2184" w:type="dxa"/>
            <w:tcBorders>
              <w:tl2br w:val="nil"/>
              <w:tr2bl w:val="nil"/>
            </w:tcBorders>
          </w:tcPr>
          <w:p w14:paraId="190A9764">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shd w:val="clear" w:color="auto" w:fill="FFFFFF"/>
              </w:rPr>
              <w:t>Apuspacificus</w:t>
            </w:r>
          </w:p>
        </w:tc>
        <w:tc>
          <w:tcPr>
            <w:tcW w:w="2087" w:type="dxa"/>
            <w:tcBorders>
              <w:tl2br w:val="nil"/>
              <w:tr2bl w:val="nil"/>
            </w:tcBorders>
            <w:vAlign w:val="center"/>
          </w:tcPr>
          <w:p w14:paraId="3251D48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河谷、村寨、草地</w:t>
            </w:r>
          </w:p>
        </w:tc>
        <w:tc>
          <w:tcPr>
            <w:tcW w:w="1200" w:type="dxa"/>
            <w:tcBorders>
              <w:tl2br w:val="nil"/>
              <w:tr2bl w:val="nil"/>
            </w:tcBorders>
            <w:vAlign w:val="center"/>
          </w:tcPr>
          <w:p w14:paraId="7631B5AD">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古北型</w:t>
            </w:r>
          </w:p>
        </w:tc>
      </w:tr>
      <w:tr w14:paraId="6B687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2788" w:type="dxa"/>
            <w:tcBorders>
              <w:tl2br w:val="nil"/>
              <w:tr2bl w:val="nil"/>
            </w:tcBorders>
          </w:tcPr>
          <w:p w14:paraId="4B0FD567">
            <w:pPr>
              <w:widowControl/>
              <w:jc w:val="left"/>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雀形目</w:t>
            </w:r>
          </w:p>
        </w:tc>
        <w:tc>
          <w:tcPr>
            <w:tcW w:w="2184" w:type="dxa"/>
            <w:tcBorders>
              <w:tl2br w:val="nil"/>
              <w:tr2bl w:val="nil"/>
            </w:tcBorders>
          </w:tcPr>
          <w:p w14:paraId="3DE7AF02">
            <w:pPr>
              <w:widowControl/>
              <w:jc w:val="left"/>
              <w:rPr>
                <w:rFonts w:hint="default" w:ascii="Times New Roman" w:hAnsi="Times New Roman" w:cs="Times New Roman"/>
                <w:b/>
                <w:i/>
                <w:iCs/>
                <w:color w:val="auto"/>
                <w:kern w:val="0"/>
                <w:szCs w:val="21"/>
                <w:highlight w:val="none"/>
              </w:rPr>
            </w:pPr>
            <w:r>
              <w:rPr>
                <w:rFonts w:hint="default" w:ascii="Times New Roman" w:hAnsi="Times New Roman" w:cs="Times New Roman"/>
                <w:b/>
                <w:i/>
                <w:iCs/>
                <w:color w:val="auto"/>
                <w:kern w:val="0"/>
                <w:szCs w:val="21"/>
                <w:highlight w:val="none"/>
              </w:rPr>
              <w:t>PASSERIFORCES</w:t>
            </w:r>
          </w:p>
        </w:tc>
        <w:tc>
          <w:tcPr>
            <w:tcW w:w="2087" w:type="dxa"/>
            <w:tcBorders>
              <w:tl2br w:val="nil"/>
              <w:tr2bl w:val="nil"/>
            </w:tcBorders>
            <w:vAlign w:val="center"/>
          </w:tcPr>
          <w:p w14:paraId="16982EB9">
            <w:pPr>
              <w:widowControl/>
              <w:jc w:val="left"/>
              <w:rPr>
                <w:rFonts w:hint="default" w:ascii="Times New Roman" w:hAnsi="Times New Roman" w:cs="Times New Roman"/>
                <w:b/>
                <w:color w:val="auto"/>
                <w:kern w:val="0"/>
                <w:szCs w:val="21"/>
                <w:highlight w:val="none"/>
              </w:rPr>
            </w:pPr>
          </w:p>
        </w:tc>
        <w:tc>
          <w:tcPr>
            <w:tcW w:w="1200" w:type="dxa"/>
            <w:tcBorders>
              <w:tl2br w:val="nil"/>
              <w:tr2bl w:val="nil"/>
            </w:tcBorders>
            <w:vAlign w:val="center"/>
          </w:tcPr>
          <w:p w14:paraId="4B584E6C">
            <w:pPr>
              <w:widowControl/>
              <w:jc w:val="left"/>
              <w:rPr>
                <w:rFonts w:hint="default" w:ascii="Times New Roman" w:hAnsi="Times New Roman" w:cs="Times New Roman"/>
                <w:b/>
                <w:color w:val="auto"/>
                <w:kern w:val="0"/>
                <w:szCs w:val="21"/>
                <w:highlight w:val="none"/>
              </w:rPr>
            </w:pPr>
          </w:p>
        </w:tc>
      </w:tr>
      <w:tr w14:paraId="14551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exact"/>
          <w:jc w:val="center"/>
        </w:trPr>
        <w:tc>
          <w:tcPr>
            <w:tcW w:w="2788" w:type="dxa"/>
            <w:tcBorders>
              <w:tl2br w:val="nil"/>
              <w:tr2bl w:val="nil"/>
            </w:tcBorders>
          </w:tcPr>
          <w:p w14:paraId="3B19C0DD">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百灵科</w:t>
            </w:r>
          </w:p>
        </w:tc>
        <w:tc>
          <w:tcPr>
            <w:tcW w:w="2184" w:type="dxa"/>
            <w:tcBorders>
              <w:tl2br w:val="nil"/>
              <w:tr2bl w:val="nil"/>
            </w:tcBorders>
          </w:tcPr>
          <w:p w14:paraId="7F6CF0D6">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Alaudidae</w:t>
            </w:r>
          </w:p>
        </w:tc>
        <w:tc>
          <w:tcPr>
            <w:tcW w:w="2087" w:type="dxa"/>
            <w:tcBorders>
              <w:tl2br w:val="nil"/>
              <w:tr2bl w:val="nil"/>
            </w:tcBorders>
            <w:vAlign w:val="center"/>
          </w:tcPr>
          <w:p w14:paraId="34D83E8B">
            <w:pPr>
              <w:widowControl/>
              <w:jc w:val="center"/>
              <w:rPr>
                <w:rFonts w:hint="default" w:ascii="Times New Roman" w:hAnsi="Times New Roman" w:cs="Times New Roman"/>
                <w:color w:val="auto"/>
                <w:kern w:val="0"/>
                <w:szCs w:val="21"/>
                <w:highlight w:val="none"/>
              </w:rPr>
            </w:pPr>
          </w:p>
        </w:tc>
        <w:tc>
          <w:tcPr>
            <w:tcW w:w="1200" w:type="dxa"/>
            <w:tcBorders>
              <w:tl2br w:val="nil"/>
              <w:tr2bl w:val="nil"/>
            </w:tcBorders>
            <w:vAlign w:val="center"/>
          </w:tcPr>
          <w:p w14:paraId="75B36921">
            <w:pPr>
              <w:widowControl/>
              <w:jc w:val="center"/>
              <w:rPr>
                <w:rFonts w:hint="default" w:ascii="Times New Roman" w:hAnsi="Times New Roman" w:cs="Times New Roman"/>
                <w:color w:val="auto"/>
                <w:kern w:val="0"/>
                <w:szCs w:val="21"/>
                <w:highlight w:val="none"/>
              </w:rPr>
            </w:pPr>
          </w:p>
        </w:tc>
      </w:tr>
      <w:tr w14:paraId="19038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2788" w:type="dxa"/>
            <w:tcBorders>
              <w:tl2br w:val="nil"/>
              <w:tr2bl w:val="nil"/>
            </w:tcBorders>
          </w:tcPr>
          <w:p w14:paraId="6554B3F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山麻雀</w:t>
            </w:r>
          </w:p>
        </w:tc>
        <w:tc>
          <w:tcPr>
            <w:tcW w:w="2184" w:type="dxa"/>
            <w:tcBorders>
              <w:tl2br w:val="nil"/>
              <w:tr2bl w:val="nil"/>
            </w:tcBorders>
          </w:tcPr>
          <w:p w14:paraId="58C654EF">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Russet Sparrow</w:t>
            </w:r>
          </w:p>
          <w:p w14:paraId="743FE633">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br w:type="textWrapping"/>
            </w:r>
            <w:r>
              <w:rPr>
                <w:rFonts w:hint="default" w:ascii="Times New Roman" w:hAnsi="Times New Roman" w:cs="Times New Roman"/>
                <w:i/>
                <w:iCs/>
                <w:color w:val="auto"/>
                <w:kern w:val="0"/>
                <w:szCs w:val="21"/>
                <w:highlight w:val="none"/>
              </w:rPr>
              <w:t>Russet Sparrow</w:t>
            </w:r>
          </w:p>
        </w:tc>
        <w:tc>
          <w:tcPr>
            <w:tcW w:w="2087" w:type="dxa"/>
            <w:tcBorders>
              <w:tl2br w:val="nil"/>
              <w:tr2bl w:val="nil"/>
            </w:tcBorders>
            <w:vAlign w:val="center"/>
          </w:tcPr>
          <w:p w14:paraId="765B6528">
            <w:pPr>
              <w:widowControl/>
              <w:jc w:val="center"/>
              <w:rPr>
                <w:rFonts w:hint="default" w:ascii="Times New Roman" w:hAnsi="Times New Roman" w:cs="Times New Roman"/>
                <w:i/>
                <w:iCs/>
                <w:color w:val="auto"/>
                <w:kern w:val="0"/>
                <w:szCs w:val="21"/>
                <w:highlight w:val="none"/>
              </w:rPr>
            </w:pPr>
            <w:r>
              <w:rPr>
                <w:rFonts w:hint="default" w:ascii="Times New Roman" w:hAnsi="Times New Roman" w:cs="Times New Roman"/>
                <w:color w:val="auto"/>
                <w:kern w:val="0"/>
                <w:szCs w:val="21"/>
                <w:highlight w:val="none"/>
              </w:rPr>
              <w:t>灌丛</w:t>
            </w:r>
          </w:p>
        </w:tc>
        <w:tc>
          <w:tcPr>
            <w:tcW w:w="1200" w:type="dxa"/>
            <w:tcBorders>
              <w:tl2br w:val="nil"/>
              <w:tr2bl w:val="nil"/>
            </w:tcBorders>
            <w:vAlign w:val="center"/>
          </w:tcPr>
          <w:p w14:paraId="74E61C9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广布型</w:t>
            </w:r>
          </w:p>
        </w:tc>
      </w:tr>
      <w:tr w14:paraId="54129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4" w:hRule="exact"/>
          <w:jc w:val="center"/>
        </w:trPr>
        <w:tc>
          <w:tcPr>
            <w:tcW w:w="2788" w:type="dxa"/>
            <w:tcBorders>
              <w:tl2br w:val="nil"/>
              <w:tr2bl w:val="nil"/>
            </w:tcBorders>
            <w:vAlign w:val="center"/>
          </w:tcPr>
          <w:p w14:paraId="55B0DB55">
            <w:pPr>
              <w:widowControl/>
              <w:jc w:val="center"/>
              <w:rPr>
                <w:rFonts w:hint="default" w:ascii="Times New Roman" w:hAnsi="Times New Roman" w:cs="Times New Roman"/>
                <w:color w:val="auto"/>
                <w:kern w:val="0"/>
                <w:szCs w:val="21"/>
                <w:highlight w:val="none"/>
                <w:shd w:val="clear" w:color="auto" w:fill="FFFFFF"/>
              </w:rPr>
            </w:pPr>
            <w:r>
              <w:rPr>
                <w:rFonts w:hint="default" w:ascii="Times New Roman" w:hAnsi="Times New Roman" w:cs="Times New Roman"/>
                <w:color w:val="auto"/>
                <w:kern w:val="0"/>
                <w:szCs w:val="21"/>
                <w:highlight w:val="none"/>
              </w:rPr>
              <w:t>家麻雀</w:t>
            </w:r>
          </w:p>
        </w:tc>
        <w:tc>
          <w:tcPr>
            <w:tcW w:w="2184" w:type="dxa"/>
            <w:tcBorders>
              <w:tl2br w:val="nil"/>
              <w:tr2bl w:val="nil"/>
            </w:tcBorders>
            <w:vAlign w:val="center"/>
          </w:tcPr>
          <w:p w14:paraId="764403D9">
            <w:pPr>
              <w:widowControl/>
              <w:jc w:val="center"/>
              <w:rPr>
                <w:rFonts w:hint="default" w:ascii="Times New Roman" w:hAnsi="Times New Roman" w:cs="Times New Roman"/>
                <w:i/>
                <w:iCs/>
                <w:color w:val="auto"/>
                <w:kern w:val="0"/>
                <w:szCs w:val="21"/>
                <w:highlight w:val="none"/>
                <w:shd w:val="clear" w:color="auto" w:fill="FFFFFF"/>
              </w:rPr>
            </w:pPr>
            <w:r>
              <w:rPr>
                <w:rFonts w:hint="default" w:ascii="Times New Roman" w:hAnsi="Times New Roman" w:cs="Times New Roman"/>
                <w:i/>
                <w:iCs/>
                <w:color w:val="auto"/>
                <w:kern w:val="0"/>
                <w:szCs w:val="21"/>
                <w:highlight w:val="none"/>
                <w:shd w:val="clear" w:color="auto" w:fill="FFFFFF"/>
              </w:rPr>
              <w:t>Passerdocesticus</w:t>
            </w:r>
          </w:p>
        </w:tc>
        <w:tc>
          <w:tcPr>
            <w:tcW w:w="2087" w:type="dxa"/>
            <w:tcBorders>
              <w:tl2br w:val="nil"/>
              <w:tr2bl w:val="nil"/>
            </w:tcBorders>
            <w:vAlign w:val="center"/>
          </w:tcPr>
          <w:p w14:paraId="4530F98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灌丛、农田、村寨</w:t>
            </w:r>
          </w:p>
        </w:tc>
        <w:tc>
          <w:tcPr>
            <w:tcW w:w="1200" w:type="dxa"/>
            <w:tcBorders>
              <w:tl2br w:val="nil"/>
              <w:tr2bl w:val="nil"/>
            </w:tcBorders>
            <w:vAlign w:val="center"/>
          </w:tcPr>
          <w:p w14:paraId="245DCB6D">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广布型</w:t>
            </w:r>
          </w:p>
        </w:tc>
      </w:tr>
    </w:tbl>
    <w:p w14:paraId="5E4490BE">
      <w:pPr>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注：区系不明指分布跨东洋和古北。</w:t>
      </w:r>
    </w:p>
    <w:p w14:paraId="7E3370B4">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经调查统计，评价区域内古北种鸟类5种，广布种鸟类2种，全北型2种，区系不明鸟类1种。生态分布：根据评价区生态系统的特点，评价区鸟类分布的生境主要为农田、村寨、河谷及灌</w:t>
      </w:r>
      <w:r>
        <w:rPr>
          <w:rFonts w:hint="default" w:ascii="Times New Roman" w:hAnsi="Times New Roman" w:cs="Times New Roman"/>
          <w:color w:val="auto"/>
          <w:kern w:val="0"/>
          <w:sz w:val="24"/>
          <w:highlight w:val="none"/>
          <w:lang w:val="en-US" w:eastAsia="zh-CN"/>
        </w:rPr>
        <w:t>草</w:t>
      </w:r>
      <w:r>
        <w:rPr>
          <w:rFonts w:hint="default" w:ascii="Times New Roman" w:hAnsi="Times New Roman" w:cs="Times New Roman"/>
          <w:color w:val="auto"/>
          <w:kern w:val="0"/>
          <w:sz w:val="24"/>
          <w:highlight w:val="none"/>
        </w:rPr>
        <w:t>丛。</w:t>
      </w:r>
    </w:p>
    <w:p w14:paraId="50AAB7FB">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（4）兽类</w:t>
      </w:r>
    </w:p>
    <w:p w14:paraId="2D676C6A">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因规划区临近</w:t>
      </w:r>
      <w:r>
        <w:rPr>
          <w:rFonts w:hint="default" w:ascii="Times New Roman" w:hAnsi="Times New Roman" w:cs="Times New Roman"/>
          <w:color w:val="auto"/>
          <w:kern w:val="0"/>
          <w:sz w:val="24"/>
          <w:highlight w:val="none"/>
          <w:lang w:val="en-US" w:eastAsia="zh-CN"/>
        </w:rPr>
        <w:t>县城</w:t>
      </w:r>
      <w:r>
        <w:rPr>
          <w:rFonts w:hint="default" w:ascii="Times New Roman" w:hAnsi="Times New Roman" w:cs="Times New Roman"/>
          <w:color w:val="auto"/>
          <w:kern w:val="0"/>
          <w:sz w:val="24"/>
          <w:highlight w:val="none"/>
        </w:rPr>
        <w:t>，人类活动频繁，已无大型野生动物出没，评价区域哺乳动物较少，只有2目2科2种。评价区兽类名录详见表3.</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24</w:t>
      </w:r>
      <w:r>
        <w:rPr>
          <w:rFonts w:hint="default" w:ascii="Times New Roman" w:hAnsi="Times New Roman" w:cs="Times New Roman"/>
          <w:color w:val="auto"/>
          <w:kern w:val="0"/>
          <w:sz w:val="24"/>
          <w:highlight w:val="none"/>
        </w:rPr>
        <w:t>。</w:t>
      </w:r>
    </w:p>
    <w:p w14:paraId="5CC419C1">
      <w:pPr>
        <w:pStyle w:val="666"/>
        <w:spacing w:line="360" w:lineRule="auto"/>
        <w:ind w:firstLine="0"/>
        <w:jc w:val="center"/>
        <w:rPr>
          <w:rFonts w:hint="default" w:ascii="Times New Roman" w:hAnsi="Times New Roman" w:eastAsia="黑体" w:cs="Times New Roman"/>
          <w:color w:val="auto"/>
          <w:kern w:val="0"/>
          <w:highlight w:val="none"/>
          <w:lang w:val="en-US" w:eastAsia="zh-CN"/>
        </w:rPr>
      </w:pPr>
      <w:r>
        <w:rPr>
          <w:rFonts w:hint="default" w:ascii="Times New Roman" w:hAnsi="Times New Roman" w:eastAsia="黑体" w:cs="Times New Roman"/>
          <w:color w:val="auto"/>
          <w:kern w:val="0"/>
          <w:highlight w:val="none"/>
          <w:lang w:val="en-US" w:eastAsia="zh-CN"/>
        </w:rPr>
        <w:t>表3.4-24  评价区兽类名录</w:t>
      </w:r>
    </w:p>
    <w:tbl>
      <w:tblPr>
        <w:tblStyle w:val="58"/>
        <w:tblW w:w="828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59"/>
        <w:gridCol w:w="2910"/>
        <w:gridCol w:w="2764"/>
        <w:gridCol w:w="1050"/>
      </w:tblGrid>
      <w:tr w14:paraId="17D02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tblHeader/>
          <w:jc w:val="center"/>
        </w:trPr>
        <w:tc>
          <w:tcPr>
            <w:tcW w:w="1559" w:type="dxa"/>
            <w:tcBorders>
              <w:tl2br w:val="nil"/>
              <w:tr2bl w:val="nil"/>
            </w:tcBorders>
            <w:vAlign w:val="center"/>
          </w:tcPr>
          <w:p w14:paraId="2EFCB583">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color w:val="auto"/>
                <w:kern w:val="0"/>
                <w:szCs w:val="21"/>
                <w:highlight w:val="none"/>
              </w:rPr>
              <w:t>中文名</w:t>
            </w:r>
          </w:p>
        </w:tc>
        <w:tc>
          <w:tcPr>
            <w:tcW w:w="2910" w:type="dxa"/>
            <w:tcBorders>
              <w:tl2br w:val="nil"/>
              <w:tr2bl w:val="nil"/>
            </w:tcBorders>
            <w:vAlign w:val="center"/>
          </w:tcPr>
          <w:p w14:paraId="59A34D04">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拉丁学名</w:t>
            </w:r>
          </w:p>
        </w:tc>
        <w:tc>
          <w:tcPr>
            <w:tcW w:w="2764" w:type="dxa"/>
            <w:tcBorders>
              <w:tl2br w:val="nil"/>
              <w:tr2bl w:val="nil"/>
            </w:tcBorders>
            <w:vAlign w:val="center"/>
          </w:tcPr>
          <w:p w14:paraId="797C373A">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生态分布</w:t>
            </w:r>
          </w:p>
        </w:tc>
        <w:tc>
          <w:tcPr>
            <w:tcW w:w="1050" w:type="dxa"/>
            <w:tcBorders>
              <w:tl2br w:val="nil"/>
              <w:tr2bl w:val="nil"/>
            </w:tcBorders>
            <w:vAlign w:val="center"/>
          </w:tcPr>
          <w:p w14:paraId="467561D6">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区系</w:t>
            </w:r>
          </w:p>
        </w:tc>
      </w:tr>
      <w:tr w14:paraId="18BD5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559" w:type="dxa"/>
            <w:tcBorders>
              <w:tl2br w:val="nil"/>
              <w:tr2bl w:val="nil"/>
            </w:tcBorders>
            <w:vAlign w:val="center"/>
          </w:tcPr>
          <w:p w14:paraId="5192AF99">
            <w:pPr>
              <w:rPr>
                <w:rFonts w:hint="default" w:ascii="Times New Roman" w:hAnsi="Times New Roman" w:cs="Times New Roman"/>
                <w:bCs/>
                <w:color w:val="auto"/>
                <w:kern w:val="0"/>
                <w:szCs w:val="21"/>
                <w:highlight w:val="none"/>
              </w:rPr>
            </w:pPr>
            <w:r>
              <w:rPr>
                <w:rFonts w:hint="default" w:ascii="Times New Roman" w:hAnsi="Times New Roman" w:cs="Times New Roman"/>
                <w:b/>
                <w:color w:val="auto"/>
                <w:kern w:val="0"/>
                <w:szCs w:val="21"/>
                <w:highlight w:val="none"/>
              </w:rPr>
              <w:t>兔形目</w:t>
            </w:r>
          </w:p>
        </w:tc>
        <w:tc>
          <w:tcPr>
            <w:tcW w:w="2910" w:type="dxa"/>
            <w:tcBorders>
              <w:tl2br w:val="nil"/>
              <w:tr2bl w:val="nil"/>
            </w:tcBorders>
            <w:vAlign w:val="center"/>
          </w:tcPr>
          <w:p w14:paraId="25B40F9E">
            <w:pPr>
              <w:rPr>
                <w:rFonts w:hint="default" w:ascii="Times New Roman" w:hAnsi="Times New Roman" w:cs="Times New Roman"/>
                <w:bCs/>
                <w:i/>
                <w:iCs/>
                <w:color w:val="auto"/>
                <w:kern w:val="0"/>
                <w:szCs w:val="21"/>
                <w:highlight w:val="none"/>
              </w:rPr>
            </w:pPr>
            <w:r>
              <w:rPr>
                <w:rFonts w:hint="default" w:ascii="Times New Roman" w:hAnsi="Times New Roman" w:cs="Times New Roman"/>
                <w:b/>
                <w:i/>
                <w:iCs/>
                <w:color w:val="auto"/>
                <w:kern w:val="0"/>
                <w:szCs w:val="21"/>
                <w:highlight w:val="none"/>
              </w:rPr>
              <w:t>LAGO米ORPHA</w:t>
            </w:r>
          </w:p>
        </w:tc>
        <w:tc>
          <w:tcPr>
            <w:tcW w:w="2764" w:type="dxa"/>
            <w:tcBorders>
              <w:tl2br w:val="nil"/>
              <w:tr2bl w:val="nil"/>
            </w:tcBorders>
            <w:vAlign w:val="center"/>
          </w:tcPr>
          <w:p w14:paraId="66CF7510">
            <w:pPr>
              <w:jc w:val="center"/>
              <w:rPr>
                <w:rFonts w:hint="default" w:ascii="Times New Roman" w:hAnsi="Times New Roman" w:cs="Times New Roman"/>
                <w:bCs/>
                <w:color w:val="auto"/>
                <w:kern w:val="0"/>
                <w:szCs w:val="21"/>
                <w:highlight w:val="none"/>
              </w:rPr>
            </w:pPr>
          </w:p>
        </w:tc>
        <w:tc>
          <w:tcPr>
            <w:tcW w:w="1050" w:type="dxa"/>
            <w:tcBorders>
              <w:tl2br w:val="nil"/>
              <w:tr2bl w:val="nil"/>
            </w:tcBorders>
            <w:vAlign w:val="center"/>
          </w:tcPr>
          <w:p w14:paraId="49D07828">
            <w:pPr>
              <w:jc w:val="center"/>
              <w:rPr>
                <w:rFonts w:hint="default" w:ascii="Times New Roman" w:hAnsi="Times New Roman" w:cs="Times New Roman"/>
                <w:bCs/>
                <w:color w:val="auto"/>
                <w:kern w:val="0"/>
                <w:szCs w:val="21"/>
                <w:highlight w:val="none"/>
              </w:rPr>
            </w:pPr>
          </w:p>
        </w:tc>
      </w:tr>
      <w:tr w14:paraId="0EE85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559" w:type="dxa"/>
            <w:tcBorders>
              <w:tl2br w:val="nil"/>
              <w:tr2bl w:val="nil"/>
            </w:tcBorders>
            <w:vAlign w:val="center"/>
          </w:tcPr>
          <w:p w14:paraId="7B81D830">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
                <w:color w:val="auto"/>
                <w:kern w:val="0"/>
                <w:szCs w:val="21"/>
                <w:highlight w:val="none"/>
              </w:rPr>
              <w:t>鼠兔科</w:t>
            </w:r>
          </w:p>
        </w:tc>
        <w:tc>
          <w:tcPr>
            <w:tcW w:w="2910" w:type="dxa"/>
            <w:tcBorders>
              <w:tl2br w:val="nil"/>
              <w:tr2bl w:val="nil"/>
            </w:tcBorders>
            <w:vAlign w:val="center"/>
          </w:tcPr>
          <w:p w14:paraId="075672EA">
            <w:pPr>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Ochotonidae</w:t>
            </w:r>
          </w:p>
        </w:tc>
        <w:tc>
          <w:tcPr>
            <w:tcW w:w="2764" w:type="dxa"/>
            <w:tcBorders>
              <w:tl2br w:val="nil"/>
              <w:tr2bl w:val="nil"/>
            </w:tcBorders>
            <w:vAlign w:val="center"/>
          </w:tcPr>
          <w:p w14:paraId="246EF1F2">
            <w:pPr>
              <w:jc w:val="center"/>
              <w:rPr>
                <w:rFonts w:hint="default" w:ascii="Times New Roman" w:hAnsi="Times New Roman" w:cs="Times New Roman"/>
                <w:bCs/>
                <w:color w:val="auto"/>
                <w:kern w:val="0"/>
                <w:szCs w:val="21"/>
                <w:highlight w:val="none"/>
              </w:rPr>
            </w:pPr>
          </w:p>
        </w:tc>
        <w:tc>
          <w:tcPr>
            <w:tcW w:w="1050" w:type="dxa"/>
            <w:tcBorders>
              <w:tl2br w:val="nil"/>
              <w:tr2bl w:val="nil"/>
            </w:tcBorders>
            <w:vAlign w:val="center"/>
          </w:tcPr>
          <w:p w14:paraId="0FF4EE35">
            <w:pPr>
              <w:jc w:val="center"/>
              <w:rPr>
                <w:rFonts w:hint="default" w:ascii="Times New Roman" w:hAnsi="Times New Roman" w:cs="Times New Roman"/>
                <w:bCs/>
                <w:color w:val="auto"/>
                <w:kern w:val="0"/>
                <w:szCs w:val="21"/>
                <w:highlight w:val="none"/>
              </w:rPr>
            </w:pPr>
          </w:p>
        </w:tc>
      </w:tr>
      <w:tr w14:paraId="1C979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559" w:type="dxa"/>
            <w:tcBorders>
              <w:tl2br w:val="nil"/>
              <w:tr2bl w:val="nil"/>
            </w:tcBorders>
            <w:vAlign w:val="center"/>
          </w:tcPr>
          <w:p w14:paraId="2598B58F">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藏鼠兔</w:t>
            </w:r>
          </w:p>
        </w:tc>
        <w:tc>
          <w:tcPr>
            <w:tcW w:w="2910" w:type="dxa"/>
            <w:tcBorders>
              <w:tl2br w:val="nil"/>
              <w:tr2bl w:val="nil"/>
            </w:tcBorders>
            <w:vAlign w:val="center"/>
          </w:tcPr>
          <w:p w14:paraId="4E8C5707">
            <w:pPr>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Ochotonathibetana</w:t>
            </w:r>
          </w:p>
        </w:tc>
        <w:tc>
          <w:tcPr>
            <w:tcW w:w="2764" w:type="dxa"/>
            <w:tcBorders>
              <w:tl2br w:val="nil"/>
              <w:tr2bl w:val="nil"/>
            </w:tcBorders>
            <w:vAlign w:val="center"/>
          </w:tcPr>
          <w:p w14:paraId="0DE85F46">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河滩、阶地、河谷</w:t>
            </w:r>
          </w:p>
        </w:tc>
        <w:tc>
          <w:tcPr>
            <w:tcW w:w="1050" w:type="dxa"/>
            <w:tcBorders>
              <w:tl2br w:val="nil"/>
              <w:tr2bl w:val="nil"/>
            </w:tcBorders>
            <w:vAlign w:val="center"/>
          </w:tcPr>
          <w:p w14:paraId="5EE48295">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古北</w:t>
            </w:r>
          </w:p>
        </w:tc>
      </w:tr>
      <w:tr w14:paraId="68DBD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559" w:type="dxa"/>
            <w:tcBorders>
              <w:tl2br w:val="nil"/>
              <w:tr2bl w:val="nil"/>
            </w:tcBorders>
            <w:vAlign w:val="center"/>
          </w:tcPr>
          <w:p w14:paraId="44B58FED">
            <w:pPr>
              <w:rPr>
                <w:rFonts w:hint="default" w:ascii="Times New Roman" w:hAnsi="Times New Roman" w:cs="Times New Roman"/>
                <w:bCs/>
                <w:color w:val="auto"/>
                <w:kern w:val="0"/>
                <w:szCs w:val="21"/>
                <w:highlight w:val="none"/>
              </w:rPr>
            </w:pPr>
            <w:r>
              <w:rPr>
                <w:rFonts w:hint="default" w:ascii="Times New Roman" w:hAnsi="Times New Roman" w:cs="Times New Roman"/>
                <w:b/>
                <w:color w:val="auto"/>
                <w:kern w:val="0"/>
                <w:szCs w:val="21"/>
                <w:highlight w:val="none"/>
              </w:rPr>
              <w:t>啮齿目</w:t>
            </w:r>
          </w:p>
        </w:tc>
        <w:tc>
          <w:tcPr>
            <w:tcW w:w="2910" w:type="dxa"/>
            <w:tcBorders>
              <w:tl2br w:val="nil"/>
              <w:tr2bl w:val="nil"/>
            </w:tcBorders>
            <w:vAlign w:val="center"/>
          </w:tcPr>
          <w:p w14:paraId="0835C318">
            <w:pPr>
              <w:rPr>
                <w:rFonts w:hint="default" w:ascii="Times New Roman" w:hAnsi="Times New Roman" w:cs="Times New Roman"/>
                <w:bCs/>
                <w:i/>
                <w:iCs/>
                <w:color w:val="auto"/>
                <w:kern w:val="0"/>
                <w:szCs w:val="21"/>
                <w:highlight w:val="none"/>
              </w:rPr>
            </w:pPr>
            <w:r>
              <w:rPr>
                <w:rFonts w:hint="default" w:ascii="Times New Roman" w:hAnsi="Times New Roman" w:cs="Times New Roman"/>
                <w:b/>
                <w:i/>
                <w:iCs/>
                <w:color w:val="auto"/>
                <w:kern w:val="0"/>
                <w:szCs w:val="21"/>
                <w:highlight w:val="none"/>
              </w:rPr>
              <w:t>RODENTIA</w:t>
            </w:r>
          </w:p>
        </w:tc>
        <w:tc>
          <w:tcPr>
            <w:tcW w:w="2764" w:type="dxa"/>
            <w:tcBorders>
              <w:tl2br w:val="nil"/>
              <w:tr2bl w:val="nil"/>
            </w:tcBorders>
            <w:vAlign w:val="center"/>
          </w:tcPr>
          <w:p w14:paraId="1F4CCF24">
            <w:pPr>
              <w:jc w:val="center"/>
              <w:rPr>
                <w:rFonts w:hint="default" w:ascii="Times New Roman" w:hAnsi="Times New Roman" w:cs="Times New Roman"/>
                <w:bCs/>
                <w:color w:val="auto"/>
                <w:kern w:val="0"/>
                <w:szCs w:val="21"/>
                <w:highlight w:val="none"/>
              </w:rPr>
            </w:pPr>
          </w:p>
        </w:tc>
        <w:tc>
          <w:tcPr>
            <w:tcW w:w="1050" w:type="dxa"/>
            <w:tcBorders>
              <w:tl2br w:val="nil"/>
              <w:tr2bl w:val="nil"/>
            </w:tcBorders>
            <w:vAlign w:val="center"/>
          </w:tcPr>
          <w:p w14:paraId="1579EC3B">
            <w:pPr>
              <w:jc w:val="center"/>
              <w:rPr>
                <w:rFonts w:hint="default" w:ascii="Times New Roman" w:hAnsi="Times New Roman" w:cs="Times New Roman"/>
                <w:bCs/>
                <w:color w:val="auto"/>
                <w:kern w:val="0"/>
                <w:szCs w:val="21"/>
                <w:highlight w:val="none"/>
              </w:rPr>
            </w:pPr>
          </w:p>
        </w:tc>
      </w:tr>
      <w:tr w14:paraId="5AFA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559" w:type="dxa"/>
            <w:tcBorders>
              <w:tl2br w:val="nil"/>
              <w:tr2bl w:val="nil"/>
            </w:tcBorders>
            <w:vAlign w:val="center"/>
          </w:tcPr>
          <w:p w14:paraId="2553D817">
            <w:pPr>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鼠科</w:t>
            </w:r>
          </w:p>
        </w:tc>
        <w:tc>
          <w:tcPr>
            <w:tcW w:w="2910" w:type="dxa"/>
            <w:tcBorders>
              <w:tl2br w:val="nil"/>
              <w:tr2bl w:val="nil"/>
            </w:tcBorders>
            <w:vAlign w:val="center"/>
          </w:tcPr>
          <w:p w14:paraId="0F3DFE5D">
            <w:pPr>
              <w:jc w:val="center"/>
              <w:rPr>
                <w:rFonts w:hint="default" w:ascii="Times New Roman" w:hAnsi="Times New Roman" w:cs="Times New Roman"/>
                <w:b/>
                <w:i/>
                <w:iCs/>
                <w:color w:val="auto"/>
                <w:kern w:val="0"/>
                <w:szCs w:val="21"/>
                <w:highlight w:val="none"/>
              </w:rPr>
            </w:pPr>
            <w:r>
              <w:rPr>
                <w:rFonts w:hint="default" w:ascii="Times New Roman" w:hAnsi="Times New Roman" w:cs="Times New Roman"/>
                <w:i/>
                <w:iCs/>
                <w:color w:val="auto"/>
                <w:kern w:val="0"/>
                <w:szCs w:val="21"/>
                <w:highlight w:val="none"/>
              </w:rPr>
              <w:t>muridae</w:t>
            </w:r>
          </w:p>
        </w:tc>
        <w:tc>
          <w:tcPr>
            <w:tcW w:w="2764" w:type="dxa"/>
            <w:tcBorders>
              <w:tl2br w:val="nil"/>
              <w:tr2bl w:val="nil"/>
            </w:tcBorders>
            <w:vAlign w:val="center"/>
          </w:tcPr>
          <w:p w14:paraId="40A54DA8">
            <w:pPr>
              <w:jc w:val="center"/>
              <w:rPr>
                <w:rFonts w:hint="default" w:ascii="Times New Roman" w:hAnsi="Times New Roman" w:cs="Times New Roman"/>
                <w:bCs/>
                <w:color w:val="auto"/>
                <w:kern w:val="0"/>
                <w:szCs w:val="21"/>
                <w:highlight w:val="none"/>
              </w:rPr>
            </w:pPr>
          </w:p>
        </w:tc>
        <w:tc>
          <w:tcPr>
            <w:tcW w:w="1050" w:type="dxa"/>
            <w:tcBorders>
              <w:tl2br w:val="nil"/>
              <w:tr2bl w:val="nil"/>
            </w:tcBorders>
            <w:vAlign w:val="center"/>
          </w:tcPr>
          <w:p w14:paraId="67DBFE0D">
            <w:pPr>
              <w:jc w:val="center"/>
              <w:rPr>
                <w:rFonts w:hint="default" w:ascii="Times New Roman" w:hAnsi="Times New Roman" w:cs="Times New Roman"/>
                <w:bCs/>
                <w:color w:val="auto"/>
                <w:kern w:val="0"/>
                <w:szCs w:val="21"/>
                <w:highlight w:val="none"/>
              </w:rPr>
            </w:pPr>
          </w:p>
        </w:tc>
      </w:tr>
      <w:tr w14:paraId="17EE7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exact"/>
          <w:jc w:val="center"/>
        </w:trPr>
        <w:tc>
          <w:tcPr>
            <w:tcW w:w="1559" w:type="dxa"/>
            <w:tcBorders>
              <w:tl2br w:val="nil"/>
              <w:tr2bl w:val="nil"/>
            </w:tcBorders>
            <w:vAlign w:val="center"/>
          </w:tcPr>
          <w:p w14:paraId="75068D3A">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小家鼠</w:t>
            </w:r>
          </w:p>
        </w:tc>
        <w:tc>
          <w:tcPr>
            <w:tcW w:w="2910" w:type="dxa"/>
            <w:tcBorders>
              <w:tl2br w:val="nil"/>
              <w:tr2bl w:val="nil"/>
            </w:tcBorders>
            <w:vAlign w:val="center"/>
          </w:tcPr>
          <w:p w14:paraId="3D3B3BEB">
            <w:pPr>
              <w:jc w:val="center"/>
              <w:rPr>
                <w:rFonts w:hint="default" w:ascii="Times New Roman" w:hAnsi="Times New Roman" w:cs="Times New Roman"/>
                <w:i/>
                <w:iCs/>
                <w:color w:val="auto"/>
                <w:kern w:val="0"/>
                <w:szCs w:val="21"/>
                <w:highlight w:val="none"/>
              </w:rPr>
            </w:pPr>
            <w:r>
              <w:rPr>
                <w:rFonts w:hint="default" w:ascii="Times New Roman" w:hAnsi="Times New Roman" w:cs="Times New Roman"/>
                <w:i/>
                <w:iCs/>
                <w:color w:val="auto"/>
                <w:kern w:val="0"/>
                <w:szCs w:val="21"/>
                <w:highlight w:val="none"/>
              </w:rPr>
              <w:t>cuscusculus</w:t>
            </w:r>
          </w:p>
        </w:tc>
        <w:tc>
          <w:tcPr>
            <w:tcW w:w="2764" w:type="dxa"/>
            <w:tcBorders>
              <w:tl2br w:val="nil"/>
              <w:tr2bl w:val="nil"/>
            </w:tcBorders>
            <w:vAlign w:val="center"/>
          </w:tcPr>
          <w:p w14:paraId="20C80979">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石滩、村寨住房</w:t>
            </w:r>
          </w:p>
        </w:tc>
        <w:tc>
          <w:tcPr>
            <w:tcW w:w="1050" w:type="dxa"/>
            <w:tcBorders>
              <w:tl2br w:val="nil"/>
              <w:tr2bl w:val="nil"/>
            </w:tcBorders>
            <w:vAlign w:val="center"/>
          </w:tcPr>
          <w:p w14:paraId="0861D4F4">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广布</w:t>
            </w:r>
          </w:p>
        </w:tc>
      </w:tr>
    </w:tbl>
    <w:p w14:paraId="086C9CF2">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区系分析：区内有分布的2种哺乳类中，古北型种类有1种，广布种为1种。</w:t>
      </w:r>
    </w:p>
    <w:p w14:paraId="151FD968">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生态分布：根据该区域的环境特征和哺乳类的生活特性，小家鼠常在村寨活动，藏鼠兔主要分布在河谷阶地。</w:t>
      </w:r>
    </w:p>
    <w:p w14:paraId="679343F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（5）水生动物</w:t>
      </w:r>
    </w:p>
    <w:p w14:paraId="52BE3AB1">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根据实地调查及查阅相关资料，评价区所在河段无珍稀鱼类和鱼类洄游通道，也无鱼类产卵区，溪沟河流主要分布鱼类及</w:t>
      </w:r>
      <w:r>
        <w:rPr>
          <w:rFonts w:hint="default" w:ascii="Times New Roman" w:hAnsi="Times New Roman" w:cs="Times New Roman"/>
          <w:color w:val="auto"/>
          <w:sz w:val="24"/>
          <w:highlight w:val="none"/>
        </w:rPr>
        <w:t>少量浮游动物与浮游植物（藻类），不涉及鱼类“三场”和珍稀、濒危鱼类分布。</w:t>
      </w:r>
      <w:r>
        <w:rPr>
          <w:rFonts w:hint="default" w:ascii="Times New Roman" w:hAnsi="Times New Roman" w:cs="Times New Roman"/>
          <w:color w:val="auto"/>
          <w:kern w:val="0"/>
          <w:sz w:val="24"/>
          <w:highlight w:val="none"/>
        </w:rPr>
        <w:t>评价区溪沟河流中鱼类有1目1科1属的鱼类1种。评价区鱼类名录详见表3.</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25</w:t>
      </w:r>
      <w:r>
        <w:rPr>
          <w:rFonts w:hint="default" w:ascii="Times New Roman" w:hAnsi="Times New Roman" w:cs="Times New Roman"/>
          <w:color w:val="auto"/>
          <w:kern w:val="0"/>
          <w:sz w:val="24"/>
          <w:highlight w:val="none"/>
        </w:rPr>
        <w:t>。</w:t>
      </w:r>
    </w:p>
    <w:p w14:paraId="4F8438DE">
      <w:pPr>
        <w:pStyle w:val="666"/>
        <w:spacing w:line="360" w:lineRule="auto"/>
        <w:ind w:firstLine="0"/>
        <w:jc w:val="center"/>
        <w:rPr>
          <w:rFonts w:hint="default" w:ascii="Times New Roman" w:hAnsi="Times New Roman" w:eastAsia="黑体" w:cs="Times New Roman"/>
          <w:color w:val="auto"/>
          <w:kern w:val="0"/>
          <w:highlight w:val="none"/>
          <w:lang w:val="en-US" w:eastAsia="zh-CN"/>
        </w:rPr>
      </w:pPr>
      <w:r>
        <w:rPr>
          <w:rFonts w:hint="default" w:ascii="Times New Roman" w:hAnsi="Times New Roman" w:eastAsia="黑体" w:cs="Times New Roman"/>
          <w:color w:val="auto"/>
          <w:kern w:val="0"/>
          <w:highlight w:val="none"/>
          <w:lang w:val="en-US" w:eastAsia="zh-CN"/>
        </w:rPr>
        <w:t>表3.4-25  评价区鱼类名录</w:t>
      </w:r>
    </w:p>
    <w:tbl>
      <w:tblPr>
        <w:tblStyle w:val="59"/>
        <w:tblW w:w="8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268"/>
        <w:gridCol w:w="1460"/>
        <w:gridCol w:w="1772"/>
        <w:gridCol w:w="2589"/>
      </w:tblGrid>
      <w:tr w14:paraId="1E19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0" w:type="dxa"/>
            <w:vAlign w:val="center"/>
          </w:tcPr>
          <w:p w14:paraId="65E6407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目</w:t>
            </w:r>
          </w:p>
        </w:tc>
        <w:tc>
          <w:tcPr>
            <w:tcW w:w="1268" w:type="dxa"/>
            <w:vAlign w:val="center"/>
          </w:tcPr>
          <w:p w14:paraId="07A631C3">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科</w:t>
            </w:r>
          </w:p>
        </w:tc>
        <w:tc>
          <w:tcPr>
            <w:tcW w:w="1460" w:type="dxa"/>
            <w:vAlign w:val="center"/>
          </w:tcPr>
          <w:p w14:paraId="787E890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亚科</w:t>
            </w:r>
          </w:p>
        </w:tc>
        <w:tc>
          <w:tcPr>
            <w:tcW w:w="1772" w:type="dxa"/>
            <w:vAlign w:val="center"/>
          </w:tcPr>
          <w:p w14:paraId="2F5E9DAF">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属</w:t>
            </w:r>
          </w:p>
        </w:tc>
        <w:tc>
          <w:tcPr>
            <w:tcW w:w="2589" w:type="dxa"/>
            <w:vAlign w:val="center"/>
          </w:tcPr>
          <w:p w14:paraId="6B60702E">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种</w:t>
            </w:r>
          </w:p>
        </w:tc>
      </w:tr>
      <w:tr w14:paraId="2AD2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0" w:type="dxa"/>
            <w:vAlign w:val="center"/>
          </w:tcPr>
          <w:p w14:paraId="4CEAA0A7">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鲤形目</w:t>
            </w:r>
          </w:p>
          <w:p w14:paraId="0D925DA6">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Cypriniforce</w:t>
            </w:r>
          </w:p>
        </w:tc>
        <w:tc>
          <w:tcPr>
            <w:tcW w:w="1268" w:type="dxa"/>
            <w:vAlign w:val="center"/>
          </w:tcPr>
          <w:p w14:paraId="7F3A00EC">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鳅科</w:t>
            </w:r>
          </w:p>
          <w:p w14:paraId="2EE8DADA">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Cobitidae</w:t>
            </w:r>
          </w:p>
        </w:tc>
        <w:tc>
          <w:tcPr>
            <w:tcW w:w="1460" w:type="dxa"/>
            <w:vAlign w:val="center"/>
          </w:tcPr>
          <w:p w14:paraId="62303AC9">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条鳅亚科</w:t>
            </w:r>
          </w:p>
          <w:p w14:paraId="4DC36580">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Necacheilina</w:t>
            </w:r>
          </w:p>
        </w:tc>
        <w:tc>
          <w:tcPr>
            <w:tcW w:w="1772" w:type="dxa"/>
            <w:vAlign w:val="center"/>
          </w:tcPr>
          <w:p w14:paraId="1E8920E6">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高原鳅属</w:t>
            </w:r>
          </w:p>
          <w:p w14:paraId="2BD9F89D">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Triplophysa</w:t>
            </w:r>
          </w:p>
        </w:tc>
        <w:tc>
          <w:tcPr>
            <w:tcW w:w="2589" w:type="dxa"/>
            <w:vAlign w:val="center"/>
          </w:tcPr>
          <w:p w14:paraId="280CFE1E">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西藏高原鳅</w:t>
            </w:r>
          </w:p>
          <w:p w14:paraId="3C3BD624">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Triplophysa tibetana</w:t>
            </w:r>
          </w:p>
        </w:tc>
      </w:tr>
    </w:tbl>
    <w:p w14:paraId="714640E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从区系成分上来看，鱼类组成较单纯，主要由鳅科的条鳅亚科组成。原始条鳅类在渐新世以前已经出现，在上新世喜马拉雅山脉急剧抬升以前，它们已广泛分布于亚洲大陆。由青藏高原的逐步隆升，生活于青藏高原及其邻近地区的有鳞条鳅类逐步演化为现今的无鳞条鳅类——高原鳅属等鱼类。</w:t>
      </w:r>
    </w:p>
    <w:p w14:paraId="10A1B9F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区溪沟水域水温低、水中有机质含量少，工程区上游人类活动较少，工程区段及其下游仅适宜部分喜清瘦水质的鳅类及浮游动物生存。经过调查，西藏高原鳅为当地经济鱼类，不属于国家级、自治区级重点保护鱼类和列入《中国濒危动物红皮书鱼类》中的保护鱼类。</w:t>
      </w:r>
    </w:p>
    <w:p w14:paraId="08A382B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综上，本工程涉及风景名胜区所在流域评价范围内未发现鱼类“三场”和洄游通道分布。</w:t>
      </w:r>
    </w:p>
    <w:p w14:paraId="7580DC5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（6）重点保护动物</w:t>
      </w:r>
    </w:p>
    <w:p w14:paraId="460F1FA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经调查，工程评价区不涉及特殊保护的国家一、二级保护动物。</w:t>
      </w:r>
    </w:p>
    <w:p w14:paraId="6E6F3369">
      <w:pPr>
        <w:pStyle w:val="3"/>
        <w:spacing w:before="156" w:after="156"/>
        <w:rPr>
          <w:rFonts w:hint="default" w:ascii="Times New Roman" w:hAnsi="Times New Roman" w:cs="Times New Roman"/>
          <w:color w:val="auto"/>
          <w:highlight w:val="none"/>
        </w:rPr>
      </w:pPr>
      <w:bookmarkStart w:id="127" w:name="_Toc32401"/>
      <w:r>
        <w:rPr>
          <w:rFonts w:hint="default" w:ascii="Times New Roman" w:hAnsi="Times New Roman" w:cs="Times New Roman"/>
          <w:color w:val="auto"/>
          <w:highlight w:val="none"/>
        </w:rPr>
        <w:t>环境影响回顾性分析</w:t>
      </w:r>
      <w:bookmarkEnd w:id="127"/>
    </w:p>
    <w:p w14:paraId="3B142DEB">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用地现状</w:t>
      </w:r>
    </w:p>
    <w:p w14:paraId="399557F9">
      <w:pPr>
        <w:pStyle w:val="545"/>
        <w:spacing w:line="360" w:lineRule="auto"/>
        <w:rPr>
          <w:rFonts w:hint="default" w:ascii="Times New Roman" w:hAnsi="Times New Roman" w:cs="Times New Roman" w:eastAsiaTheme="minorEastAsia"/>
          <w:color w:val="auto"/>
          <w:spacing w:val="0"/>
          <w:kern w:val="24"/>
          <w:szCs w:val="24"/>
          <w:highlight w:val="none"/>
        </w:rPr>
      </w:pPr>
      <w:r>
        <w:rPr>
          <w:rFonts w:hint="default" w:ascii="Times New Roman" w:hAnsi="Times New Roman" w:cs="Times New Roman"/>
          <w:color w:val="auto"/>
          <w:spacing w:val="0"/>
          <w:szCs w:val="24"/>
          <w:highlight w:val="none"/>
        </w:rPr>
        <w:t>根据遥感解译的土地利用现状，规划区范围用地类型以</w:t>
      </w:r>
      <w:r>
        <w:rPr>
          <w:rFonts w:hint="default" w:ascii="Times New Roman" w:hAnsi="Times New Roman" w:cs="Times New Roman"/>
          <w:color w:val="auto"/>
          <w:spacing w:val="0"/>
          <w:szCs w:val="24"/>
          <w:highlight w:val="none"/>
          <w:lang w:val="en-US" w:eastAsia="zh-CN"/>
        </w:rPr>
        <w:t>林</w:t>
      </w:r>
      <w:r>
        <w:rPr>
          <w:rFonts w:hint="default" w:ascii="Times New Roman" w:hAnsi="Times New Roman" w:cs="Times New Roman"/>
          <w:color w:val="auto"/>
          <w:spacing w:val="0"/>
          <w:szCs w:val="24"/>
          <w:highlight w:val="none"/>
        </w:rPr>
        <w:t>地为主，</w:t>
      </w:r>
      <w:r>
        <w:rPr>
          <w:rFonts w:hint="default" w:ascii="Times New Roman" w:hAnsi="Times New Roman" w:cs="Times New Roman"/>
          <w:color w:val="auto"/>
          <w:spacing w:val="0"/>
          <w:szCs w:val="24"/>
          <w:highlight w:val="none"/>
          <w:lang w:val="en-US" w:eastAsia="zh-CN"/>
        </w:rPr>
        <w:t>占规划区绝大部分区域</w:t>
      </w:r>
      <w:r>
        <w:rPr>
          <w:rFonts w:hint="default" w:ascii="Times New Roman" w:hAnsi="Times New Roman" w:cs="Times New Roman"/>
          <w:color w:val="auto"/>
          <w:spacing w:val="0"/>
          <w:szCs w:val="24"/>
          <w:highlight w:val="none"/>
        </w:rPr>
        <w:t>；其次为</w:t>
      </w:r>
      <w:r>
        <w:rPr>
          <w:rFonts w:hint="default" w:ascii="Times New Roman" w:hAnsi="Times New Roman" w:cs="Times New Roman"/>
          <w:color w:val="auto"/>
          <w:spacing w:val="0"/>
          <w:szCs w:val="24"/>
          <w:highlight w:val="none"/>
          <w:lang w:val="en-US" w:eastAsia="zh-CN"/>
        </w:rPr>
        <w:t>耕</w:t>
      </w:r>
      <w:r>
        <w:rPr>
          <w:rFonts w:hint="default" w:ascii="Times New Roman" w:hAnsi="Times New Roman" w:cs="Times New Roman"/>
          <w:color w:val="auto"/>
          <w:spacing w:val="0"/>
          <w:szCs w:val="24"/>
          <w:highlight w:val="none"/>
        </w:rPr>
        <w:t>地</w:t>
      </w:r>
      <w:r>
        <w:rPr>
          <w:rFonts w:hint="default" w:ascii="Times New Roman" w:hAnsi="Times New Roman" w:cs="Times New Roman"/>
          <w:color w:val="auto"/>
          <w:spacing w:val="0"/>
          <w:szCs w:val="24"/>
          <w:highlight w:val="none"/>
          <w:lang w:val="en-US" w:eastAsia="zh-CN"/>
        </w:rPr>
        <w:t>和草地</w:t>
      </w:r>
      <w:r>
        <w:rPr>
          <w:rFonts w:hint="default" w:ascii="Times New Roman" w:hAnsi="Times New Roman" w:cs="Times New Roman"/>
          <w:color w:val="auto"/>
          <w:spacing w:val="0"/>
          <w:szCs w:val="24"/>
          <w:highlight w:val="none"/>
        </w:rPr>
        <w:t>。</w:t>
      </w:r>
    </w:p>
    <w:p w14:paraId="315CB184">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景区基础设施现状</w:t>
      </w:r>
    </w:p>
    <w:p w14:paraId="4C12E86C">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给排水</w:t>
      </w:r>
    </w:p>
    <w:p w14:paraId="35231C65">
      <w:pPr>
        <w:pStyle w:val="651"/>
        <w:spacing w:line="360" w:lineRule="auto"/>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给水：规划区内</w:t>
      </w:r>
      <w:r>
        <w:rPr>
          <w:rFonts w:hint="default" w:ascii="Times New Roman" w:hAnsi="Times New Roman" w:cs="Times New Roman"/>
          <w:color w:val="auto"/>
          <w:sz w:val="24"/>
          <w:highlight w:val="none"/>
          <w:lang w:val="en-US" w:eastAsia="zh-CN"/>
        </w:rPr>
        <w:t>用水均为引至山泉水，区域地下水未开发使用，</w:t>
      </w:r>
      <w:r>
        <w:rPr>
          <w:rFonts w:hint="default" w:ascii="Times New Roman" w:hAnsi="Times New Roman" w:cs="Times New Roman"/>
          <w:color w:val="auto"/>
          <w:sz w:val="24"/>
          <w:highlight w:val="none"/>
        </w:rPr>
        <w:t>通过已建的管网接至</w:t>
      </w:r>
      <w:r>
        <w:rPr>
          <w:rFonts w:hint="default" w:ascii="Times New Roman" w:hAnsi="Times New Roman" w:cs="Times New Roman"/>
          <w:color w:val="auto"/>
          <w:sz w:val="24"/>
          <w:highlight w:val="none"/>
          <w:lang w:val="en-US" w:eastAsia="zh-CN"/>
        </w:rPr>
        <w:t>现状</w:t>
      </w:r>
      <w:r>
        <w:rPr>
          <w:rFonts w:hint="default" w:ascii="Times New Roman" w:hAnsi="Times New Roman" w:cs="Times New Roman"/>
          <w:color w:val="auto"/>
          <w:sz w:val="24"/>
          <w:highlight w:val="none"/>
        </w:rPr>
        <w:t>各个用水点</w:t>
      </w:r>
      <w:r>
        <w:rPr>
          <w:rFonts w:hint="default" w:ascii="Times New Roman" w:hAnsi="Times New Roman" w:cs="Times New Roman"/>
          <w:color w:val="auto"/>
          <w:sz w:val="24"/>
          <w:highlight w:val="none"/>
          <w:lang w:val="en-US" w:eastAsia="zh-CN"/>
        </w:rPr>
        <w:t>。</w:t>
      </w:r>
    </w:p>
    <w:p w14:paraId="268104BD">
      <w:pPr>
        <w:pStyle w:val="651"/>
        <w:spacing w:line="360" w:lineRule="auto"/>
        <w:ind w:firstLine="48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排水：</w:t>
      </w:r>
      <w:r>
        <w:rPr>
          <w:rFonts w:hint="default" w:ascii="Times New Roman" w:hAnsi="Times New Roman" w:cs="Times New Roman"/>
          <w:color w:val="auto"/>
          <w:sz w:val="24"/>
          <w:highlight w:val="none"/>
          <w:lang w:val="en-US" w:eastAsia="zh-CN"/>
        </w:rPr>
        <w:t>规划区现状建设有</w:t>
      </w:r>
      <w:r>
        <w:rPr>
          <w:rFonts w:hint="default" w:ascii="Times New Roman" w:hAnsi="Times New Roman" w:cs="Times New Roman"/>
          <w:color w:val="auto"/>
          <w:sz w:val="24"/>
          <w:highlight w:val="none"/>
        </w:rPr>
        <w:t>岗巴游客中心旁厕所、岗巴检票口厕所、巴卡检票口厕所、低碳研学营厕所</w:t>
      </w:r>
      <w:r>
        <w:rPr>
          <w:rFonts w:hint="default" w:ascii="Times New Roman" w:hAnsi="Times New Roman" w:cs="Times New Roman"/>
          <w:color w:val="auto"/>
          <w:sz w:val="24"/>
          <w:highlight w:val="none"/>
          <w:lang w:eastAsia="zh-CN"/>
        </w:rPr>
        <w:t>、岗巴村厕所、巴卡村厕所、喜德林卡厕所</w:t>
      </w:r>
      <w:r>
        <w:rPr>
          <w:rFonts w:hint="default" w:ascii="Times New Roman" w:hAnsi="Times New Roman" w:cs="Times New Roman"/>
          <w:color w:val="auto"/>
          <w:sz w:val="24"/>
          <w:highlight w:val="none"/>
          <w:lang w:val="en-US" w:eastAsia="zh-CN"/>
        </w:rPr>
        <w:t>等7</w:t>
      </w:r>
      <w:r>
        <w:rPr>
          <w:rFonts w:hint="default" w:ascii="Times New Roman" w:hAnsi="Times New Roman" w:cs="Times New Roman"/>
          <w:color w:val="auto"/>
          <w:sz w:val="24"/>
          <w:highlight w:val="none"/>
        </w:rPr>
        <w:t>处</w:t>
      </w:r>
      <w:r>
        <w:rPr>
          <w:rFonts w:hint="default" w:ascii="Times New Roman" w:hAnsi="Times New Roman" w:cs="Times New Roman"/>
          <w:color w:val="auto"/>
          <w:sz w:val="24"/>
          <w:highlight w:val="none"/>
          <w:lang w:eastAsia="zh-CN"/>
        </w:rPr>
        <w:t>，部分区域已安装污水排水管网，但相应的污水处理设施</w:t>
      </w:r>
      <w:r>
        <w:rPr>
          <w:rFonts w:hint="default" w:ascii="Times New Roman" w:hAnsi="Times New Roman" w:cs="Times New Roman"/>
          <w:color w:val="auto"/>
          <w:sz w:val="24"/>
          <w:highlight w:val="none"/>
          <w:lang w:val="en-US" w:eastAsia="zh-CN"/>
        </w:rPr>
        <w:t>仍不够完善</w:t>
      </w:r>
      <w:r>
        <w:rPr>
          <w:rFonts w:hint="default" w:ascii="Times New Roman" w:hAnsi="Times New Roman" w:cs="Times New Roman"/>
          <w:color w:val="auto"/>
          <w:sz w:val="24"/>
          <w:highlight w:val="none"/>
          <w:lang w:eastAsia="zh-CN"/>
        </w:rPr>
        <w:t>。</w:t>
      </w:r>
      <w:r>
        <w:rPr>
          <w:rFonts w:hint="default" w:ascii="Times New Roman" w:hAnsi="Times New Roman" w:cs="Times New Roman"/>
          <w:b w:val="0"/>
          <w:bCs/>
          <w:color w:val="auto"/>
          <w:kern w:val="0"/>
          <w:sz w:val="24"/>
          <w:highlight w:val="none"/>
          <w:lang w:val="en-US" w:eastAsia="zh-CN"/>
        </w:rPr>
        <w:t>居民、游客生活污水与先经隔油池预处理的餐饮废水进入各个区域设置的旱厕（化粪池）、一体化生活污水处理装置处理后用作周边林草地、耕地施肥。</w:t>
      </w:r>
    </w:p>
    <w:p w14:paraId="42F77E03">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能源利用</w:t>
      </w:r>
    </w:p>
    <w:p w14:paraId="2BAA036C">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规划区内现状用电</w:t>
      </w:r>
      <w:r>
        <w:rPr>
          <w:rFonts w:hint="default" w:ascii="Times New Roman" w:hAnsi="Times New Roman" w:cs="Times New Roman"/>
          <w:bCs/>
          <w:color w:val="auto"/>
          <w:sz w:val="24"/>
          <w:highlight w:val="none"/>
        </w:rPr>
        <w:t>自古乡35</w:t>
      </w:r>
      <w:r>
        <w:rPr>
          <w:rFonts w:hint="default" w:ascii="Times New Roman" w:hAnsi="Times New Roman" w:cs="Times New Roman"/>
          <w:bCs/>
          <w:color w:val="auto"/>
          <w:sz w:val="24"/>
          <w:highlight w:val="none"/>
          <w:lang w:val="en-US" w:eastAsia="zh-CN"/>
        </w:rPr>
        <w:t>k</w:t>
      </w:r>
      <w:r>
        <w:rPr>
          <w:rFonts w:hint="default" w:ascii="Times New Roman" w:hAnsi="Times New Roman" w:cs="Times New Roman"/>
          <w:bCs/>
          <w:color w:val="auto"/>
          <w:sz w:val="24"/>
          <w:highlight w:val="none"/>
        </w:rPr>
        <w:t>V变电站出10kV架空线路至规划区</w:t>
      </w:r>
      <w:r>
        <w:rPr>
          <w:rFonts w:hint="default" w:ascii="Times New Roman" w:hAnsi="Times New Roman" w:cs="Times New Roman"/>
          <w:color w:val="auto"/>
          <w:sz w:val="24"/>
          <w:highlight w:val="none"/>
        </w:rPr>
        <w:t>，现状供电条件较好，且基本实现户户通电的需求。</w:t>
      </w:r>
    </w:p>
    <w:p w14:paraId="345200E7">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景区内无供暖设施，大部分村民各户厨房配有液化石油气，冬季会燃烧少量牛粪和薪柴取暖。</w:t>
      </w:r>
    </w:p>
    <w:p w14:paraId="0E8F13EA">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道路交通</w:t>
      </w:r>
    </w:p>
    <w:p w14:paraId="30F4648E">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景区主要依靠国道318对外联系，道路宽约9m，路面整体状况较为良好。景区内部道路</w:t>
      </w:r>
      <w:r>
        <w:rPr>
          <w:rFonts w:hint="default" w:ascii="Times New Roman" w:hAnsi="Times New Roman" w:cs="Times New Roman"/>
          <w:color w:val="auto"/>
          <w:sz w:val="24"/>
          <w:highlight w:val="none"/>
          <w:lang w:val="en-US" w:eastAsia="zh-CN"/>
        </w:rPr>
        <w:t>较多区域已铺设沥青路面</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部分区域存在破损</w:t>
      </w:r>
      <w:r>
        <w:rPr>
          <w:rFonts w:hint="default" w:ascii="Times New Roman" w:hAnsi="Times New Roman" w:cs="Times New Roman"/>
          <w:color w:val="auto"/>
          <w:sz w:val="24"/>
          <w:highlight w:val="none"/>
        </w:rPr>
        <w:t>。有游客中心生态停车场、原林业局工作站附近停车场、巴卡村（景区出入口）生态停车场</w:t>
      </w:r>
      <w:r>
        <w:rPr>
          <w:rFonts w:hint="default" w:ascii="Times New Roman" w:hAnsi="Times New Roman" w:cs="Times New Roman"/>
          <w:color w:val="auto"/>
          <w:sz w:val="24"/>
          <w:highlight w:val="none"/>
          <w:lang w:val="en-US" w:eastAsia="zh-CN"/>
        </w:rPr>
        <w:t>等</w:t>
      </w:r>
      <w:r>
        <w:rPr>
          <w:rFonts w:hint="default" w:ascii="Times New Roman" w:hAnsi="Times New Roman" w:cs="Times New Roman"/>
          <w:color w:val="auto"/>
          <w:sz w:val="24"/>
          <w:highlight w:val="none"/>
        </w:rPr>
        <w:t>。</w:t>
      </w:r>
    </w:p>
    <w:p w14:paraId="106AF322">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环卫设施</w:t>
      </w:r>
    </w:p>
    <w:p w14:paraId="43EF7E69">
      <w:pPr>
        <w:pStyle w:val="651"/>
        <w:spacing w:line="360" w:lineRule="auto"/>
        <w:ind w:firstLine="48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景区所涉及的村庄、景点等区域垃圾采取村收集--乡镇运输--县集中处理，但部分垃圾收集设施存在损坏和缺失。区域内除村庄有公共卫生间外，其他区域公共卫生间覆盖较差</w:t>
      </w:r>
      <w:r>
        <w:rPr>
          <w:rFonts w:hint="default" w:ascii="Times New Roman" w:hAnsi="Times New Roman" w:cs="Times New Roman"/>
          <w:color w:val="auto"/>
          <w:sz w:val="24"/>
          <w:highlight w:val="none"/>
          <w:lang w:eastAsia="zh-CN"/>
        </w:rPr>
        <w:t>。</w:t>
      </w:r>
    </w:p>
    <w:p w14:paraId="71A8F8C4">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旅游服务</w:t>
      </w:r>
      <w:r>
        <w:rPr>
          <w:rFonts w:hint="default" w:ascii="Times New Roman" w:hAnsi="Times New Roman" w:cs="Times New Roman"/>
          <w:color w:val="auto"/>
          <w:highlight w:val="none"/>
        </w:rPr>
        <w:t>设施现状</w:t>
      </w:r>
    </w:p>
    <w:p w14:paraId="305AE60C">
      <w:pPr>
        <w:pStyle w:val="651"/>
        <w:spacing w:line="360" w:lineRule="auto"/>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吃</w:t>
      </w:r>
    </w:p>
    <w:p w14:paraId="01DB9CDC">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景区内现有餐饮设施主要集中在巴卡村、岗巴村，主要提供藏餐、川菜。</w:t>
      </w:r>
    </w:p>
    <w:p w14:paraId="2C4114BD">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住</w:t>
      </w:r>
    </w:p>
    <w:p w14:paraId="10C73522">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景区内现有住宿设施主要集中在巴卡村、岗巴村，有云杉秘境酒店、达美客栈、仁青庄园、嘎玛客栈、灵溪山居、云杉居。景区内整体住宿接待能力较好。</w:t>
      </w:r>
    </w:p>
    <w:p w14:paraId="06109477">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游</w:t>
      </w:r>
    </w:p>
    <w:p w14:paraId="5EF245D2">
      <w:pPr>
        <w:pStyle w:val="651"/>
        <w:spacing w:line="360" w:lineRule="auto"/>
        <w:ind w:firstLine="48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目前景区在岗巴村设置有景区游客中心，巴卡村设置有游客咨询点。岗巴村游客中心现有非遗体验区域，能够体验藏纸制作、藏香制作、藏式咖啡品尝、岗云杉林标本展览等，但内部功能还需要进一步完善。巴卡村入口咨询点，内部无咨询台，面积较小，内部功能不完善，目前是作为景区入口售票处。在岗巴村还设置有简易的检票口</w:t>
      </w:r>
      <w:r>
        <w:rPr>
          <w:rFonts w:hint="default" w:ascii="Times New Roman" w:hAnsi="Times New Roman" w:cs="Times New Roman"/>
          <w:color w:val="auto"/>
          <w:sz w:val="24"/>
          <w:highlight w:val="none"/>
          <w:lang w:eastAsia="zh-CN"/>
        </w:rPr>
        <w:t>。</w:t>
      </w:r>
    </w:p>
    <w:p w14:paraId="6B641DF9">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购</w:t>
      </w:r>
    </w:p>
    <w:p w14:paraId="414B2989">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景区内现有超市、游客中心文创产品，可增加土特产品售卖。</w:t>
      </w:r>
    </w:p>
    <w:p w14:paraId="3AA3F861">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娱</w:t>
      </w:r>
    </w:p>
    <w:p w14:paraId="2C1ACE80">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景区现有娱乐项目主要有草湖游船、非遗体验馆等。</w:t>
      </w:r>
    </w:p>
    <w:p w14:paraId="6F33E366">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主要环境影响</w:t>
      </w:r>
    </w:p>
    <w:p w14:paraId="34A7AB94">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p w14:paraId="1F6E196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规划区主要大气污染包括村民取暖、做饭产生的废气、餐饮企业燃料燃烧废气、餐饮油烟及汽车尾气等，主要污染物为颗粒物、SO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x</w:t>
      </w:r>
      <w:r>
        <w:rPr>
          <w:rFonts w:hint="default" w:ascii="Times New Roman" w:hAnsi="Times New Roman" w:cs="Times New Roman"/>
          <w:color w:val="auto"/>
          <w:sz w:val="24"/>
          <w:highlight w:val="none"/>
        </w:rPr>
        <w:t>、油烟、CO、THC、NH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w:t>
      </w:r>
    </w:p>
    <w:p w14:paraId="5DD1F0B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根据现状监测结果可知：规划区域大气环境质量满足《环境空气质量标准》（GB3095-20</w:t>
      </w:r>
      <w:r>
        <w:rPr>
          <w:rFonts w:hint="default" w:ascii="Times New Roman" w:hAnsi="Times New Roman" w:cs="Times New Roman"/>
          <w:color w:val="auto"/>
          <w:sz w:val="24"/>
          <w:highlight w:val="none"/>
          <w:lang w:val="en-US" w:eastAsia="zh-CN"/>
        </w:rPr>
        <w:t>26</w:t>
      </w:r>
      <w:r>
        <w:rPr>
          <w:rFonts w:hint="default" w:ascii="Times New Roman" w:hAnsi="Times New Roman" w:cs="Times New Roman"/>
          <w:color w:val="auto"/>
          <w:sz w:val="24"/>
          <w:highlight w:val="none"/>
        </w:rPr>
        <w:t>）相应功能区标准</w:t>
      </w:r>
      <w:r>
        <w:rPr>
          <w:rFonts w:hint="default" w:ascii="Times New Roman" w:hAnsi="Times New Roman" w:cs="Times New Roman"/>
          <w:color w:val="auto"/>
          <w:sz w:val="24"/>
          <w:highlight w:val="none"/>
          <w:lang w:val="en-US" w:eastAsia="zh-CN"/>
        </w:rPr>
        <w:t>限值</w:t>
      </w:r>
      <w:r>
        <w:rPr>
          <w:rFonts w:hint="default" w:ascii="Times New Roman" w:hAnsi="Times New Roman" w:cs="Times New Roman"/>
          <w:color w:val="auto"/>
          <w:sz w:val="24"/>
          <w:highlight w:val="none"/>
        </w:rPr>
        <w:t>，区域大气环境质量较好，景区未对大气环境产生不良影响。</w:t>
      </w:r>
    </w:p>
    <w:p w14:paraId="5A0D7ED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w:t>
      </w:r>
    </w:p>
    <w:p w14:paraId="52C6F0F1">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规划区所产生的生活污水均</w:t>
      </w:r>
      <w:r>
        <w:rPr>
          <w:rFonts w:hint="default" w:ascii="Times New Roman" w:hAnsi="Times New Roman" w:cs="Times New Roman"/>
          <w:color w:val="auto"/>
          <w:sz w:val="24"/>
          <w:highlight w:val="none"/>
          <w:lang w:val="en-US" w:eastAsia="zh-CN"/>
        </w:rPr>
        <w:t>全部收集后用作周边耕地、林草地施肥，未外排</w:t>
      </w:r>
      <w:r>
        <w:rPr>
          <w:rFonts w:hint="default" w:ascii="Times New Roman" w:hAnsi="Times New Roman" w:cs="Times New Roman"/>
          <w:color w:val="auto"/>
          <w:sz w:val="24"/>
          <w:highlight w:val="none"/>
        </w:rPr>
        <w:t>。</w:t>
      </w:r>
    </w:p>
    <w:p w14:paraId="35161F4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根据现状监测结果可知：规划区域地表水环境质量满足《地表水环境质量标准》（GB3838-2002）</w:t>
      </w:r>
      <w:r>
        <w:rPr>
          <w:rFonts w:hint="default" w:ascii="Times New Roman" w:hAnsi="Times New Roman" w:eastAsia="宋体" w:cs="Times New Roman"/>
          <w:color w:val="auto"/>
          <w:sz w:val="24"/>
          <w:highlight w:val="none"/>
        </w:rPr>
        <w:t>Ⅱ</w:t>
      </w:r>
      <w:r>
        <w:rPr>
          <w:rFonts w:hint="default" w:ascii="Times New Roman" w:hAnsi="Times New Roman" w:cs="Times New Roman"/>
          <w:color w:val="auto"/>
          <w:sz w:val="24"/>
          <w:highlight w:val="none"/>
        </w:rPr>
        <w:t>类标准，区域水环境质量较好，景区未对水环境产生不良影响。</w:t>
      </w:r>
    </w:p>
    <w:p w14:paraId="2CBB86F8">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p w14:paraId="3135A23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规划区主要噪声源为游客自驾车及旅游区服务车辆的交通噪声、旅游活动和村民活动产生的社会生活噪声。</w:t>
      </w:r>
    </w:p>
    <w:p w14:paraId="719C4AA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根据现状监测结果可知：规划区域声环境质量满足</w:t>
      </w:r>
      <w:r>
        <w:rPr>
          <w:rFonts w:hint="default" w:ascii="Times New Roman" w:hAnsi="Times New Roman" w:cs="Times New Roman"/>
          <w:color w:val="auto"/>
          <w:kern w:val="0"/>
          <w:sz w:val="24"/>
          <w:highlight w:val="none"/>
        </w:rPr>
        <w:t>《声环境质量标准》（GB3096-2008）中1</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类标准</w:t>
      </w:r>
      <w:r>
        <w:rPr>
          <w:rFonts w:hint="default" w:ascii="Times New Roman" w:hAnsi="Times New Roman" w:cs="Times New Roman"/>
          <w:color w:val="auto"/>
          <w:sz w:val="24"/>
          <w:highlight w:val="none"/>
        </w:rPr>
        <w:t>，区域声环境质量较好，景区未对声环境产生不良影响。</w:t>
      </w:r>
    </w:p>
    <w:p w14:paraId="13E8D77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p w14:paraId="669FA2C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规划区固体废物主要为生活垃圾、餐厨垃圾等。由区内垃圾箱收集后定期由</w:t>
      </w:r>
      <w:r>
        <w:rPr>
          <w:rFonts w:hint="default" w:ascii="Times New Roman" w:hAnsi="Times New Roman" w:cs="Times New Roman"/>
          <w:color w:val="auto"/>
          <w:sz w:val="24"/>
          <w:highlight w:val="none"/>
          <w:lang w:eastAsia="zh-CN"/>
        </w:rPr>
        <w:t>波密县</w:t>
      </w:r>
      <w:r>
        <w:rPr>
          <w:rFonts w:hint="default" w:ascii="Times New Roman" w:hAnsi="Times New Roman" w:cs="Times New Roman"/>
          <w:color w:val="auto"/>
          <w:sz w:val="24"/>
          <w:highlight w:val="none"/>
        </w:rPr>
        <w:t>环卫部门清运至</w:t>
      </w:r>
      <w:r>
        <w:rPr>
          <w:rFonts w:hint="default" w:ascii="Times New Roman" w:hAnsi="Times New Roman" w:cs="Times New Roman"/>
          <w:color w:val="auto"/>
          <w:sz w:val="24"/>
          <w:highlight w:val="none"/>
          <w:lang w:eastAsia="zh-CN"/>
        </w:rPr>
        <w:t>波密县县城生活垃圾填埋场</w:t>
      </w:r>
      <w:r>
        <w:rPr>
          <w:rFonts w:hint="default" w:ascii="Times New Roman" w:hAnsi="Times New Roman" w:cs="Times New Roman"/>
          <w:color w:val="auto"/>
          <w:sz w:val="24"/>
          <w:highlight w:val="none"/>
        </w:rPr>
        <w:t>。</w:t>
      </w:r>
    </w:p>
    <w:p w14:paraId="1533F034">
      <w:pPr>
        <w:pStyle w:val="3"/>
        <w:spacing w:before="156" w:after="156"/>
        <w:rPr>
          <w:rFonts w:hint="default" w:ascii="Times New Roman" w:hAnsi="Times New Roman" w:cs="Times New Roman"/>
          <w:color w:val="auto"/>
          <w:highlight w:val="none"/>
        </w:rPr>
      </w:pPr>
      <w:bookmarkStart w:id="128" w:name="_Toc475"/>
      <w:r>
        <w:rPr>
          <w:rFonts w:hint="default" w:ascii="Times New Roman" w:hAnsi="Times New Roman" w:cs="Times New Roman"/>
          <w:color w:val="auto"/>
          <w:highlight w:val="none"/>
        </w:rPr>
        <w:t>主要环境问题及制约因素分析</w:t>
      </w:r>
      <w:bookmarkEnd w:id="128"/>
    </w:p>
    <w:p w14:paraId="0492BACF">
      <w:pPr>
        <w:pStyle w:val="4"/>
        <w:spacing w:before="156" w:after="156"/>
        <w:rPr>
          <w:rFonts w:hint="default" w:ascii="Times New Roman" w:hAnsi="Times New Roman" w:cs="Times New Roman"/>
          <w:color w:val="auto"/>
          <w:highlight w:val="none"/>
        </w:rPr>
      </w:pPr>
      <w:bookmarkStart w:id="129" w:name="_Toc36557418"/>
      <w:r>
        <w:rPr>
          <w:rFonts w:hint="default" w:ascii="Times New Roman" w:hAnsi="Times New Roman" w:cs="Times New Roman"/>
          <w:color w:val="auto"/>
          <w:highlight w:val="none"/>
        </w:rPr>
        <w:t>规划区</w:t>
      </w:r>
      <w:bookmarkEnd w:id="129"/>
      <w:r>
        <w:rPr>
          <w:rFonts w:hint="default" w:ascii="Times New Roman" w:hAnsi="Times New Roman" w:cs="Times New Roman"/>
          <w:color w:val="auto"/>
          <w:highlight w:val="none"/>
        </w:rPr>
        <w:t>现有生态环境问题</w:t>
      </w:r>
    </w:p>
    <w:p w14:paraId="0C15485B">
      <w:pPr>
        <w:spacing w:line="360" w:lineRule="auto"/>
        <w:ind w:firstLine="360" w:firstLineChars="15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村庄冬季取暖会燃烧少量薪柴和牛粪，随着规划的实施逐步改善居民的经济条件和生活条件，电能与液化气使用比例逐渐增大。</w:t>
      </w:r>
      <w:r>
        <w:rPr>
          <w:rFonts w:hint="default" w:ascii="Times New Roman" w:hAnsi="Times New Roman" w:cs="Times New Roman"/>
          <w:color w:val="auto"/>
          <w:sz w:val="24"/>
          <w:highlight w:val="none"/>
          <w:lang w:val="en-US" w:eastAsia="zh-CN"/>
        </w:rPr>
        <w:t>规划区现状部分生活污水经旱厕（化粪池）收集处理，随着规划的实施，污水管网将进一步完善，一体化污水处理装置处置量将逐步增加。</w:t>
      </w:r>
    </w:p>
    <w:p w14:paraId="0A9C765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根据调查了解，已实施的规划项目在施工期无环保投诉事件发生，所产生的污染物均得到了妥善</w:t>
      </w:r>
      <w:r>
        <w:rPr>
          <w:rFonts w:hint="default" w:ascii="Times New Roman" w:hAnsi="Times New Roman" w:cs="Times New Roman"/>
          <w:color w:val="auto"/>
          <w:sz w:val="24"/>
          <w:highlight w:val="none"/>
          <w:lang w:eastAsia="zh-CN"/>
        </w:rPr>
        <w:t>地</w:t>
      </w:r>
      <w:r>
        <w:rPr>
          <w:rFonts w:hint="default" w:ascii="Times New Roman" w:hAnsi="Times New Roman" w:cs="Times New Roman"/>
          <w:color w:val="auto"/>
          <w:sz w:val="24"/>
          <w:highlight w:val="none"/>
        </w:rPr>
        <w:t>处置，同时根据监测结果可知，规划的实施未对区域环境造成污染影响。</w:t>
      </w:r>
    </w:p>
    <w:p w14:paraId="774822B1">
      <w:pPr>
        <w:pStyle w:val="4"/>
        <w:spacing w:before="156" w:after="156"/>
        <w:rPr>
          <w:rFonts w:hint="default" w:ascii="Times New Roman" w:hAnsi="Times New Roman" w:cs="Times New Roman"/>
          <w:color w:val="auto"/>
          <w:highlight w:val="none"/>
        </w:rPr>
      </w:pPr>
      <w:bookmarkStart w:id="130" w:name="_Toc36557419"/>
      <w:r>
        <w:rPr>
          <w:rFonts w:hint="default" w:ascii="Times New Roman" w:hAnsi="Times New Roman" w:cs="Times New Roman"/>
          <w:color w:val="auto"/>
          <w:highlight w:val="none"/>
        </w:rPr>
        <w:t>生态环境制约因素</w:t>
      </w:r>
      <w:bookmarkEnd w:id="130"/>
    </w:p>
    <w:p w14:paraId="01807F92">
      <w:pPr>
        <w:pStyle w:val="57"/>
        <w:spacing w:after="0" w:line="360" w:lineRule="auto"/>
        <w:ind w:left="0" w:leftChars="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w:t>
      </w:r>
      <w:r>
        <w:rPr>
          <w:rFonts w:hint="default" w:ascii="Times New Roman" w:hAnsi="Times New Roman" w:eastAsia="宋体" w:cs="Times New Roman"/>
          <w:color w:val="auto"/>
          <w:sz w:val="24"/>
          <w:highlight w:val="none"/>
          <w:lang w:eastAsia="zh-CN"/>
        </w:rPr>
        <w:t>规划区部分位于雅鲁藏布大峡谷国家级自然保护区、西藏嘎朗国家湿地公园、生态保护红线</w:t>
      </w:r>
      <w:r>
        <w:rPr>
          <w:rFonts w:hint="default" w:ascii="Times New Roman" w:hAnsi="Times New Roman" w:eastAsia="宋体" w:cs="Times New Roman"/>
          <w:color w:val="auto"/>
          <w:sz w:val="24"/>
          <w:highlight w:val="none"/>
        </w:rPr>
        <w:t>内，</w:t>
      </w:r>
      <w:r>
        <w:rPr>
          <w:rFonts w:hint="default" w:ascii="Times New Roman" w:hAnsi="Times New Roman" w:eastAsia="宋体" w:cs="Times New Roman"/>
          <w:color w:val="auto"/>
          <w:sz w:val="24"/>
          <w:highlight w:val="none"/>
          <w:lang w:val="en-US" w:eastAsia="zh-CN"/>
        </w:rPr>
        <w:t>应严守</w:t>
      </w:r>
      <w:r>
        <w:rPr>
          <w:rFonts w:hint="default" w:ascii="Times New Roman" w:hAnsi="Times New Roman" w:cs="Times New Roman"/>
          <w:bCs/>
          <w:color w:val="auto"/>
          <w:sz w:val="24"/>
          <w:szCs w:val="20"/>
          <w:highlight w:val="none"/>
        </w:rPr>
        <w:t>《</w:t>
      </w:r>
      <w:r>
        <w:rPr>
          <w:rFonts w:hint="default" w:ascii="Times New Roman" w:hAnsi="Times New Roman" w:cs="Times New Roman"/>
          <w:bCs/>
          <w:color w:val="auto"/>
          <w:sz w:val="24"/>
          <w:szCs w:val="20"/>
          <w:highlight w:val="none"/>
          <w:lang w:eastAsia="zh-CN"/>
        </w:rPr>
        <w:t>雅鲁藏布大峡谷国家级自然保护区</w:t>
      </w:r>
      <w:r>
        <w:rPr>
          <w:rFonts w:hint="default" w:ascii="Times New Roman" w:hAnsi="Times New Roman" w:cs="Times New Roman"/>
          <w:bCs/>
          <w:color w:val="auto"/>
          <w:sz w:val="24"/>
          <w:szCs w:val="20"/>
          <w:highlight w:val="none"/>
        </w:rPr>
        <w:t>总体规划（</w:t>
      </w:r>
      <w:r>
        <w:rPr>
          <w:rFonts w:hint="default" w:ascii="Times New Roman" w:hAnsi="Times New Roman" w:cs="Times New Roman"/>
          <w:bCs/>
          <w:color w:val="auto"/>
          <w:sz w:val="24"/>
          <w:szCs w:val="20"/>
          <w:highlight w:val="none"/>
          <w:lang w:val="en-US" w:eastAsia="zh-CN"/>
        </w:rPr>
        <w:t>2000</w:t>
      </w:r>
      <w:r>
        <w:rPr>
          <w:rFonts w:hint="default" w:ascii="Times New Roman" w:hAnsi="Times New Roman" w:cs="Times New Roman"/>
          <w:bCs/>
          <w:color w:val="auto"/>
          <w:sz w:val="24"/>
          <w:szCs w:val="20"/>
          <w:highlight w:val="none"/>
        </w:rPr>
        <w:t>-20</w:t>
      </w:r>
      <w:r>
        <w:rPr>
          <w:rFonts w:hint="default" w:ascii="Times New Roman" w:hAnsi="Times New Roman" w:cs="Times New Roman"/>
          <w:bCs/>
          <w:color w:val="auto"/>
          <w:sz w:val="24"/>
          <w:szCs w:val="20"/>
          <w:highlight w:val="none"/>
          <w:lang w:val="en-US" w:eastAsia="zh-CN"/>
        </w:rPr>
        <w:t>1</w:t>
      </w:r>
      <w:r>
        <w:rPr>
          <w:rFonts w:hint="default" w:ascii="Times New Roman" w:hAnsi="Times New Roman" w:cs="Times New Roman"/>
          <w:bCs/>
          <w:color w:val="auto"/>
          <w:sz w:val="24"/>
          <w:szCs w:val="20"/>
          <w:highlight w:val="none"/>
        </w:rPr>
        <w:t>0）</w:t>
      </w:r>
      <w:r>
        <w:rPr>
          <w:rFonts w:hint="default" w:ascii="Times New Roman" w:hAnsi="Times New Roman" w:cs="Times New Roman"/>
          <w:bCs/>
          <w:color w:val="auto"/>
          <w:sz w:val="24"/>
          <w:szCs w:val="20"/>
          <w:highlight w:val="none"/>
          <w:lang w:eastAsia="zh-CN"/>
        </w:rPr>
        <w:t>》</w:t>
      </w:r>
      <w:r>
        <w:rPr>
          <w:rFonts w:hint="default" w:ascii="Times New Roman" w:hAnsi="Times New Roman" w:cs="Times New Roman"/>
          <w:bCs/>
          <w:color w:val="auto"/>
          <w:sz w:val="24"/>
          <w:szCs w:val="20"/>
          <w:highlight w:val="none"/>
        </w:rPr>
        <w:t>《</w:t>
      </w:r>
      <w:r>
        <w:rPr>
          <w:rFonts w:hint="default" w:ascii="Times New Roman" w:hAnsi="Times New Roman" w:cs="Times New Roman"/>
          <w:bCs/>
          <w:color w:val="auto"/>
          <w:sz w:val="24"/>
          <w:szCs w:val="20"/>
          <w:highlight w:val="none"/>
          <w:lang w:eastAsia="zh-CN"/>
        </w:rPr>
        <w:t>西藏嘎朗国家湿地公园</w:t>
      </w:r>
      <w:r>
        <w:rPr>
          <w:rFonts w:hint="default" w:ascii="Times New Roman" w:hAnsi="Times New Roman" w:cs="Times New Roman"/>
          <w:bCs/>
          <w:color w:val="auto"/>
          <w:sz w:val="24"/>
          <w:szCs w:val="20"/>
          <w:highlight w:val="none"/>
        </w:rPr>
        <w:t>总体规划（</w:t>
      </w:r>
      <w:r>
        <w:rPr>
          <w:rFonts w:hint="default" w:ascii="Times New Roman" w:hAnsi="Times New Roman" w:cs="Times New Roman"/>
          <w:bCs/>
          <w:color w:val="auto"/>
          <w:sz w:val="24"/>
          <w:szCs w:val="20"/>
          <w:highlight w:val="none"/>
          <w:lang w:val="en-US" w:eastAsia="zh-CN"/>
        </w:rPr>
        <w:t>2009</w:t>
      </w:r>
      <w:r>
        <w:rPr>
          <w:rFonts w:hint="default" w:ascii="Times New Roman" w:hAnsi="Times New Roman" w:cs="Times New Roman"/>
          <w:bCs/>
          <w:color w:val="auto"/>
          <w:sz w:val="24"/>
          <w:szCs w:val="20"/>
          <w:highlight w:val="none"/>
        </w:rPr>
        <w:t>-20</w:t>
      </w:r>
      <w:r>
        <w:rPr>
          <w:rFonts w:hint="default" w:ascii="Times New Roman" w:hAnsi="Times New Roman" w:cs="Times New Roman"/>
          <w:bCs/>
          <w:color w:val="auto"/>
          <w:sz w:val="24"/>
          <w:szCs w:val="20"/>
          <w:highlight w:val="none"/>
          <w:lang w:val="en-US" w:eastAsia="zh-CN"/>
        </w:rPr>
        <w:t>20</w:t>
      </w:r>
      <w:r>
        <w:rPr>
          <w:rFonts w:hint="default" w:ascii="Times New Roman" w:hAnsi="Times New Roman" w:cs="Times New Roman"/>
          <w:bCs/>
          <w:color w:val="auto"/>
          <w:sz w:val="24"/>
          <w:szCs w:val="20"/>
          <w:highlight w:val="none"/>
        </w:rPr>
        <w:t>）</w:t>
      </w:r>
      <w:r>
        <w:rPr>
          <w:rFonts w:hint="default" w:ascii="Times New Roman" w:hAnsi="Times New Roman" w:cs="Times New Roman"/>
          <w:bCs/>
          <w:color w:val="auto"/>
          <w:sz w:val="24"/>
          <w:szCs w:val="20"/>
          <w:highlight w:val="none"/>
          <w:lang w:eastAsia="zh-CN"/>
        </w:rPr>
        <w:t>》</w:t>
      </w:r>
      <w:r>
        <w:rPr>
          <w:rFonts w:hint="default" w:ascii="Times New Roman" w:hAnsi="Times New Roman" w:cs="Times New Roman"/>
          <w:bCs/>
          <w:color w:val="auto"/>
          <w:sz w:val="24"/>
          <w:szCs w:val="20"/>
          <w:highlight w:val="none"/>
          <w:lang w:val="en-US" w:eastAsia="zh-CN"/>
        </w:rPr>
        <w:t>等相关规划要求</w:t>
      </w:r>
      <w:r>
        <w:rPr>
          <w:rFonts w:hint="default" w:ascii="Times New Roman" w:hAnsi="Times New Roman" w:eastAsia="宋体" w:cs="Times New Roman"/>
          <w:color w:val="auto"/>
          <w:sz w:val="24"/>
          <w:highlight w:val="none"/>
        </w:rPr>
        <w:t>。</w:t>
      </w:r>
    </w:p>
    <w:p w14:paraId="7455DF7D">
      <w:pPr>
        <w:pStyle w:val="2"/>
        <w:spacing w:before="312" w:after="312"/>
        <w:rPr>
          <w:rFonts w:hint="default" w:ascii="Times New Roman" w:hAnsi="Times New Roman" w:cs="Times New Roman"/>
          <w:color w:val="auto"/>
          <w:highlight w:val="none"/>
        </w:rPr>
      </w:pPr>
      <w:bookmarkStart w:id="131" w:name="_Toc19951"/>
      <w:r>
        <w:rPr>
          <w:rFonts w:hint="default" w:ascii="Times New Roman" w:hAnsi="Times New Roman" w:cs="Times New Roman"/>
          <w:color w:val="auto"/>
          <w:highlight w:val="none"/>
        </w:rPr>
        <w:t>环境影响识别与评价指标体系构建</w:t>
      </w:r>
      <w:bookmarkEnd w:id="131"/>
    </w:p>
    <w:p w14:paraId="7C48E4E0">
      <w:pPr>
        <w:pStyle w:val="3"/>
        <w:spacing w:before="156" w:after="156"/>
        <w:rPr>
          <w:rFonts w:hint="default" w:ascii="Times New Roman" w:hAnsi="Times New Roman" w:cs="Times New Roman"/>
          <w:color w:val="auto"/>
          <w:highlight w:val="none"/>
        </w:rPr>
      </w:pPr>
      <w:bookmarkStart w:id="132" w:name="_Toc7564"/>
      <w:bookmarkStart w:id="133" w:name="_Toc126663244"/>
      <w:r>
        <w:rPr>
          <w:rFonts w:hint="default" w:ascii="Times New Roman" w:hAnsi="Times New Roman" w:cs="Times New Roman"/>
          <w:color w:val="auto"/>
          <w:highlight w:val="none"/>
        </w:rPr>
        <w:t>环境影响识别</w:t>
      </w:r>
      <w:bookmarkEnd w:id="132"/>
    </w:p>
    <w:p w14:paraId="5B9DE8A7">
      <w:pPr>
        <w:spacing w:line="360" w:lineRule="auto"/>
        <w:ind w:firstLine="482"/>
        <w:rPr>
          <w:rFonts w:hint="default" w:ascii="Times New Roman" w:hAnsi="Times New Roman" w:cs="Times New Roman"/>
          <w:bCs/>
          <w:color w:val="auto"/>
          <w:sz w:val="24"/>
          <w:szCs w:val="20"/>
          <w:highlight w:val="none"/>
        </w:rPr>
      </w:pPr>
      <w:r>
        <w:rPr>
          <w:rFonts w:hint="default" w:ascii="Times New Roman" w:hAnsi="Times New Roman" w:cs="Times New Roman"/>
          <w:bCs/>
          <w:color w:val="auto"/>
          <w:sz w:val="24"/>
          <w:szCs w:val="20"/>
          <w:highlight w:val="none"/>
        </w:rPr>
        <w:t>不同层次、不同类型的规划对环境的影响差别不同。这种影响可以看成是源（影响发生的原因）与受体（受影响的环境因子）之间的因果关系。根据源与受体不同的联系方式，规划环境影响的识别方法有核查表法、网络法、层次分析法、矩阵法、情景分析法等，本次评价采用情景分析法、矩阵法。</w:t>
      </w:r>
    </w:p>
    <w:p w14:paraId="1FE8E34A">
      <w:pPr>
        <w:spacing w:line="360" w:lineRule="auto"/>
        <w:ind w:firstLine="482"/>
        <w:rPr>
          <w:rFonts w:hint="default" w:ascii="Times New Roman" w:hAnsi="Times New Roman" w:cs="Times New Roman"/>
          <w:bCs/>
          <w:color w:val="auto"/>
          <w:sz w:val="24"/>
          <w:szCs w:val="20"/>
          <w:highlight w:val="none"/>
        </w:rPr>
      </w:pPr>
      <w:r>
        <w:rPr>
          <w:rFonts w:hint="default" w:ascii="Times New Roman" w:hAnsi="Times New Roman" w:cs="Times New Roman"/>
          <w:bCs/>
          <w:color w:val="auto"/>
          <w:sz w:val="24"/>
          <w:szCs w:val="20"/>
          <w:highlight w:val="none"/>
        </w:rPr>
        <w:t>近期（20</w:t>
      </w:r>
      <w:r>
        <w:rPr>
          <w:rFonts w:hint="default" w:ascii="Times New Roman" w:hAnsi="Times New Roman" w:cs="Times New Roman"/>
          <w:bCs/>
          <w:color w:val="auto"/>
          <w:sz w:val="24"/>
          <w:szCs w:val="20"/>
          <w:highlight w:val="none"/>
          <w:lang w:val="en-US" w:eastAsia="zh-CN"/>
        </w:rPr>
        <w:t>25</w:t>
      </w:r>
      <w:r>
        <w:rPr>
          <w:rFonts w:hint="default" w:ascii="Times New Roman" w:hAnsi="Times New Roman" w:cs="Times New Roman"/>
          <w:bCs/>
          <w:color w:val="auto"/>
          <w:sz w:val="24"/>
          <w:szCs w:val="20"/>
          <w:highlight w:val="none"/>
        </w:rPr>
        <w:t>-202</w:t>
      </w:r>
      <w:r>
        <w:rPr>
          <w:rFonts w:hint="default" w:ascii="Times New Roman" w:hAnsi="Times New Roman" w:cs="Times New Roman"/>
          <w:bCs/>
          <w:color w:val="auto"/>
          <w:sz w:val="24"/>
          <w:szCs w:val="20"/>
          <w:highlight w:val="none"/>
          <w:lang w:val="en-US" w:eastAsia="zh-CN"/>
        </w:rPr>
        <w:t>7</w:t>
      </w:r>
      <w:r>
        <w:rPr>
          <w:rFonts w:hint="default" w:ascii="Times New Roman" w:hAnsi="Times New Roman" w:cs="Times New Roman"/>
          <w:bCs/>
          <w:color w:val="auto"/>
          <w:sz w:val="24"/>
          <w:szCs w:val="20"/>
          <w:highlight w:val="none"/>
        </w:rPr>
        <w:t>）</w:t>
      </w:r>
      <w:r>
        <w:rPr>
          <w:rFonts w:hint="default" w:ascii="Times New Roman" w:hAnsi="Times New Roman" w:cs="Times New Roman"/>
          <w:bCs/>
          <w:color w:val="auto"/>
          <w:sz w:val="24"/>
          <w:szCs w:val="20"/>
          <w:highlight w:val="none"/>
          <w:lang w:val="en-US" w:eastAsia="zh-CN"/>
        </w:rPr>
        <w:t>第一阶段：品牌构建阶段：结合已有项目和未来发展方向，构建完整的岗云杉林生态旅游景区旅游品牌体系和形象口号，依托林芝以及波密县旅游宣传，进行国内市场的初步预热</w:t>
      </w:r>
      <w:r>
        <w:rPr>
          <w:rFonts w:hint="default" w:ascii="Times New Roman" w:hAnsi="Times New Roman" w:cs="Times New Roman"/>
          <w:bCs/>
          <w:color w:val="auto"/>
          <w:sz w:val="24"/>
          <w:szCs w:val="20"/>
          <w:highlight w:val="none"/>
        </w:rPr>
        <w:t>。</w:t>
      </w:r>
    </w:p>
    <w:p w14:paraId="446443E9">
      <w:pPr>
        <w:spacing w:line="360" w:lineRule="auto"/>
        <w:ind w:firstLine="482"/>
        <w:rPr>
          <w:rFonts w:hint="default" w:ascii="Times New Roman" w:hAnsi="Times New Roman" w:cs="Times New Roman"/>
          <w:bCs/>
          <w:color w:val="auto"/>
          <w:sz w:val="24"/>
          <w:szCs w:val="20"/>
          <w:highlight w:val="none"/>
        </w:rPr>
      </w:pPr>
      <w:r>
        <w:rPr>
          <w:rFonts w:hint="default" w:ascii="Times New Roman" w:hAnsi="Times New Roman" w:cs="Times New Roman"/>
          <w:bCs/>
          <w:color w:val="auto"/>
          <w:sz w:val="24"/>
          <w:szCs w:val="20"/>
          <w:highlight w:val="none"/>
        </w:rPr>
        <w:t>中期（202</w:t>
      </w:r>
      <w:r>
        <w:rPr>
          <w:rFonts w:hint="default" w:ascii="Times New Roman" w:hAnsi="Times New Roman" w:cs="Times New Roman"/>
          <w:bCs/>
          <w:color w:val="auto"/>
          <w:sz w:val="24"/>
          <w:szCs w:val="20"/>
          <w:highlight w:val="none"/>
          <w:lang w:val="en-US" w:eastAsia="zh-CN"/>
        </w:rPr>
        <w:t>8</w:t>
      </w:r>
      <w:r>
        <w:rPr>
          <w:rFonts w:hint="default" w:ascii="Times New Roman" w:hAnsi="Times New Roman" w:cs="Times New Roman"/>
          <w:bCs/>
          <w:color w:val="auto"/>
          <w:sz w:val="24"/>
          <w:szCs w:val="20"/>
          <w:highlight w:val="none"/>
        </w:rPr>
        <w:t>-20</w:t>
      </w:r>
      <w:r>
        <w:rPr>
          <w:rFonts w:hint="default" w:ascii="Times New Roman" w:hAnsi="Times New Roman" w:cs="Times New Roman"/>
          <w:bCs/>
          <w:color w:val="auto"/>
          <w:sz w:val="24"/>
          <w:szCs w:val="20"/>
          <w:highlight w:val="none"/>
          <w:lang w:val="en-US" w:eastAsia="zh-CN"/>
        </w:rPr>
        <w:t>30</w:t>
      </w:r>
      <w:r>
        <w:rPr>
          <w:rFonts w:hint="default" w:ascii="Times New Roman" w:hAnsi="Times New Roman" w:cs="Times New Roman"/>
          <w:bCs/>
          <w:color w:val="auto"/>
          <w:sz w:val="24"/>
          <w:szCs w:val="20"/>
          <w:highlight w:val="none"/>
        </w:rPr>
        <w:t>）</w:t>
      </w:r>
      <w:r>
        <w:rPr>
          <w:rFonts w:hint="default" w:ascii="Times New Roman" w:hAnsi="Times New Roman" w:cs="Times New Roman"/>
          <w:bCs/>
          <w:color w:val="auto"/>
          <w:sz w:val="24"/>
          <w:szCs w:val="20"/>
          <w:highlight w:val="none"/>
          <w:lang w:val="en-US" w:eastAsia="zh-CN"/>
        </w:rPr>
        <w:t>第二阶段：持续造势阶段：整合区域营销资源，通过构建立体复合、多层次的营销体系，结合林芝桃花节、雅鲁藏布生态文化旅游节等事件营销，引爆国内市场，重点针对新产品、新区域进行营销推广，进一步完善营销体系</w:t>
      </w:r>
      <w:r>
        <w:rPr>
          <w:rFonts w:hint="default" w:ascii="Times New Roman" w:hAnsi="Times New Roman" w:cs="Times New Roman"/>
          <w:bCs/>
          <w:color w:val="auto"/>
          <w:kern w:val="0"/>
          <w:sz w:val="24"/>
          <w:highlight w:val="none"/>
        </w:rPr>
        <w:t>。</w:t>
      </w:r>
    </w:p>
    <w:p w14:paraId="6828193B">
      <w:pPr>
        <w:spacing w:line="360" w:lineRule="auto"/>
        <w:ind w:firstLine="482"/>
        <w:rPr>
          <w:rFonts w:hint="default" w:ascii="Times New Roman" w:hAnsi="Times New Roman" w:cs="Times New Roman"/>
          <w:bCs/>
          <w:color w:val="auto"/>
          <w:sz w:val="24"/>
          <w:szCs w:val="20"/>
          <w:highlight w:val="none"/>
        </w:rPr>
      </w:pPr>
      <w:r>
        <w:rPr>
          <w:rFonts w:hint="default" w:ascii="Times New Roman" w:hAnsi="Times New Roman" w:cs="Times New Roman"/>
          <w:bCs/>
          <w:color w:val="auto"/>
          <w:sz w:val="24"/>
          <w:szCs w:val="20"/>
          <w:highlight w:val="none"/>
        </w:rPr>
        <w:t>远期（20</w:t>
      </w:r>
      <w:r>
        <w:rPr>
          <w:rFonts w:hint="default" w:ascii="Times New Roman" w:hAnsi="Times New Roman" w:cs="Times New Roman"/>
          <w:bCs/>
          <w:color w:val="auto"/>
          <w:sz w:val="24"/>
          <w:szCs w:val="20"/>
          <w:highlight w:val="none"/>
          <w:lang w:val="en-US" w:eastAsia="zh-CN"/>
        </w:rPr>
        <w:t>31</w:t>
      </w:r>
      <w:r>
        <w:rPr>
          <w:rFonts w:hint="default" w:ascii="Times New Roman" w:hAnsi="Times New Roman" w:cs="Times New Roman"/>
          <w:bCs/>
          <w:color w:val="auto"/>
          <w:sz w:val="24"/>
          <w:szCs w:val="20"/>
          <w:highlight w:val="none"/>
        </w:rPr>
        <w:t>-20</w:t>
      </w:r>
      <w:r>
        <w:rPr>
          <w:rFonts w:hint="default" w:ascii="Times New Roman" w:hAnsi="Times New Roman" w:cs="Times New Roman"/>
          <w:bCs/>
          <w:color w:val="auto"/>
          <w:sz w:val="24"/>
          <w:szCs w:val="20"/>
          <w:highlight w:val="none"/>
          <w:lang w:val="en-US" w:eastAsia="zh-CN"/>
        </w:rPr>
        <w:t>35</w:t>
      </w:r>
      <w:r>
        <w:rPr>
          <w:rFonts w:hint="default" w:ascii="Times New Roman" w:hAnsi="Times New Roman" w:cs="Times New Roman"/>
          <w:bCs/>
          <w:color w:val="auto"/>
          <w:sz w:val="24"/>
          <w:szCs w:val="20"/>
          <w:highlight w:val="none"/>
        </w:rPr>
        <w:t>）</w:t>
      </w:r>
      <w:r>
        <w:rPr>
          <w:rFonts w:hint="default" w:ascii="Times New Roman" w:hAnsi="Times New Roman" w:cs="Times New Roman"/>
          <w:bCs/>
          <w:color w:val="auto"/>
          <w:sz w:val="24"/>
          <w:szCs w:val="20"/>
          <w:highlight w:val="none"/>
          <w:lang w:val="en-US" w:eastAsia="zh-CN"/>
        </w:rPr>
        <w:t>第三阶段：市场巩固阶段：稳步扩大以川渝、大湾区为核心的国内市场，结合时下文旅发展趋势，突破创新营销体系，打造成面向全国乃至世界展示、传播波密地域文化的文旅窗口，通过拓展海外市场来促进国内市场的联动发展</w:t>
      </w:r>
      <w:r>
        <w:rPr>
          <w:rFonts w:hint="default" w:ascii="Times New Roman" w:hAnsi="Times New Roman" w:cs="Times New Roman"/>
          <w:bCs/>
          <w:color w:val="auto"/>
          <w:kern w:val="0"/>
          <w:sz w:val="24"/>
          <w:highlight w:val="none"/>
        </w:rPr>
        <w:t>。</w:t>
      </w:r>
    </w:p>
    <w:p w14:paraId="6A262B63">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资源影响识别</w:t>
      </w:r>
    </w:p>
    <w:p w14:paraId="555B5DD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土地资源</w:t>
      </w:r>
    </w:p>
    <w:p w14:paraId="2D2CCC84">
      <w:pPr>
        <w:pStyle w:val="720"/>
        <w:rPr>
          <w:rFonts w:hint="default" w:ascii="Times New Roman" w:hAnsi="Times New Roman" w:cs="Times New Roman"/>
          <w:color w:val="auto"/>
          <w:highlight w:val="none"/>
        </w:rPr>
      </w:pPr>
      <w:r>
        <w:rPr>
          <w:rFonts w:hint="default" w:ascii="Times New Roman" w:hAnsi="Times New Roman" w:cs="Times New Roman"/>
          <w:color w:val="auto"/>
          <w:spacing w:val="0"/>
          <w:szCs w:val="24"/>
          <w:highlight w:val="none"/>
        </w:rPr>
        <w:t>规划区范围用地类型以</w:t>
      </w:r>
      <w:r>
        <w:rPr>
          <w:rFonts w:hint="default" w:ascii="Times New Roman" w:hAnsi="Times New Roman" w:cs="Times New Roman"/>
          <w:color w:val="auto"/>
          <w:spacing w:val="0"/>
          <w:szCs w:val="24"/>
          <w:highlight w:val="none"/>
          <w:lang w:val="en-US" w:eastAsia="zh-CN"/>
        </w:rPr>
        <w:t>林</w:t>
      </w:r>
      <w:r>
        <w:rPr>
          <w:rFonts w:hint="default" w:ascii="Times New Roman" w:hAnsi="Times New Roman" w:cs="Times New Roman"/>
          <w:color w:val="auto"/>
          <w:spacing w:val="0"/>
          <w:szCs w:val="24"/>
          <w:highlight w:val="none"/>
        </w:rPr>
        <w:t>地为主，</w:t>
      </w:r>
      <w:r>
        <w:rPr>
          <w:rFonts w:hint="default" w:ascii="Times New Roman" w:hAnsi="Times New Roman" w:cs="Times New Roman"/>
          <w:color w:val="auto"/>
          <w:spacing w:val="0"/>
          <w:szCs w:val="24"/>
          <w:highlight w:val="none"/>
          <w:lang w:val="en-US" w:eastAsia="zh-CN"/>
        </w:rPr>
        <w:t>占规划区绝大部分区域</w:t>
      </w:r>
      <w:r>
        <w:rPr>
          <w:rFonts w:hint="default" w:ascii="Times New Roman" w:hAnsi="Times New Roman" w:cs="Times New Roman"/>
          <w:color w:val="auto"/>
          <w:spacing w:val="0"/>
          <w:szCs w:val="24"/>
          <w:highlight w:val="none"/>
        </w:rPr>
        <w:t>；其次为</w:t>
      </w:r>
      <w:r>
        <w:rPr>
          <w:rFonts w:hint="default" w:ascii="Times New Roman" w:hAnsi="Times New Roman" w:cs="Times New Roman"/>
          <w:color w:val="auto"/>
          <w:spacing w:val="0"/>
          <w:szCs w:val="24"/>
          <w:highlight w:val="none"/>
          <w:lang w:val="en-US" w:eastAsia="zh-CN"/>
        </w:rPr>
        <w:t>耕</w:t>
      </w:r>
      <w:r>
        <w:rPr>
          <w:rFonts w:hint="default" w:ascii="Times New Roman" w:hAnsi="Times New Roman" w:cs="Times New Roman"/>
          <w:color w:val="auto"/>
          <w:spacing w:val="0"/>
          <w:szCs w:val="24"/>
          <w:highlight w:val="none"/>
        </w:rPr>
        <w:t>地</w:t>
      </w:r>
      <w:r>
        <w:rPr>
          <w:rFonts w:hint="default" w:ascii="Times New Roman" w:hAnsi="Times New Roman" w:cs="Times New Roman"/>
          <w:color w:val="auto"/>
          <w:spacing w:val="0"/>
          <w:szCs w:val="24"/>
          <w:highlight w:val="none"/>
          <w:lang w:val="en-US" w:eastAsia="zh-CN"/>
        </w:rPr>
        <w:t>和草地。</w:t>
      </w:r>
      <w:r>
        <w:rPr>
          <w:rFonts w:hint="default" w:ascii="Times New Roman" w:hAnsi="Times New Roman" w:cs="Times New Roman"/>
          <w:color w:val="auto"/>
          <w:szCs w:val="24"/>
          <w:highlight w:val="none"/>
        </w:rPr>
        <w:t>规划区拟实施的项目</w:t>
      </w:r>
      <w:r>
        <w:rPr>
          <w:rFonts w:hint="default" w:ascii="Times New Roman" w:hAnsi="Times New Roman" w:cs="Times New Roman"/>
          <w:color w:val="auto"/>
          <w:szCs w:val="24"/>
          <w:highlight w:val="none"/>
          <w:lang w:val="en-US" w:eastAsia="zh-CN"/>
        </w:rPr>
        <w:t>大部分已</w:t>
      </w:r>
      <w:r>
        <w:rPr>
          <w:rFonts w:hint="default" w:ascii="Times New Roman" w:hAnsi="Times New Roman" w:cs="Times New Roman"/>
          <w:color w:val="auto"/>
          <w:szCs w:val="24"/>
          <w:highlight w:val="none"/>
        </w:rPr>
        <w:t>建设完成</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后期主要为提升改造</w:t>
      </w:r>
      <w:r>
        <w:rPr>
          <w:rFonts w:hint="default" w:ascii="Times New Roman" w:hAnsi="Times New Roman" w:cs="Times New Roman"/>
          <w:color w:val="auto"/>
          <w:szCs w:val="24"/>
          <w:highlight w:val="none"/>
        </w:rPr>
        <w:t>，后期建设不会对土地利用类型造成明显改变。</w:t>
      </w:r>
    </w:p>
    <w:p w14:paraId="2AAEA6A4">
      <w:pPr>
        <w:pStyle w:val="724"/>
        <w:rPr>
          <w:rFonts w:hint="default" w:ascii="Times New Roman" w:hAnsi="Times New Roman" w:cs="Times New Roman"/>
          <w:color w:val="auto"/>
          <w:highlight w:val="none"/>
        </w:rPr>
      </w:pPr>
      <w:r>
        <w:rPr>
          <w:rFonts w:hint="default" w:ascii="Times New Roman" w:hAnsi="Times New Roman" w:cs="Times New Roman"/>
          <w:color w:val="auto"/>
          <w:highlight w:val="none"/>
        </w:rPr>
        <w:t>表4.1-1  土地资源影响识别</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1722"/>
        <w:gridCol w:w="858"/>
        <w:gridCol w:w="1212"/>
        <w:gridCol w:w="858"/>
      </w:tblGrid>
      <w:tr w14:paraId="156E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19DA00B">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w:t>
            </w:r>
          </w:p>
        </w:tc>
        <w:tc>
          <w:tcPr>
            <w:tcW w:w="0" w:type="auto"/>
            <w:vAlign w:val="center"/>
          </w:tcPr>
          <w:p w14:paraId="2711B9E9">
            <w:pPr>
              <w:pStyle w:val="722"/>
              <w:rPr>
                <w:rFonts w:hint="default" w:ascii="Times New Roman" w:hAnsi="Times New Roman" w:cs="Times New Roman"/>
                <w:color w:val="auto"/>
                <w:highlight w:val="none"/>
              </w:rPr>
            </w:pPr>
            <w:r>
              <w:rPr>
                <w:rFonts w:hint="default" w:ascii="Times New Roman" w:hAnsi="Times New Roman" w:cs="Times New Roman" w:eastAsiaTheme="minorEastAsia"/>
                <w:color w:val="auto"/>
                <w:highlight w:val="none"/>
              </w:rPr>
              <w:t>影响途径</w:t>
            </w:r>
          </w:p>
        </w:tc>
        <w:tc>
          <w:tcPr>
            <w:tcW w:w="0" w:type="auto"/>
            <w:vAlign w:val="center"/>
          </w:tcPr>
          <w:p w14:paraId="6E15F968">
            <w:pPr>
              <w:pStyle w:val="722"/>
              <w:rPr>
                <w:rFonts w:hint="default" w:ascii="Times New Roman" w:hAnsi="Times New Roman" w:cs="Times New Roman"/>
                <w:color w:val="auto"/>
                <w:highlight w:val="none"/>
              </w:rPr>
            </w:pPr>
            <w:r>
              <w:rPr>
                <w:rFonts w:hint="default" w:ascii="Times New Roman" w:hAnsi="Times New Roman" w:cs="Times New Roman" w:eastAsiaTheme="minorEastAsia"/>
                <w:color w:val="auto"/>
                <w:highlight w:val="none"/>
              </w:rPr>
              <w:t>影响方式</w:t>
            </w:r>
          </w:p>
        </w:tc>
        <w:tc>
          <w:tcPr>
            <w:tcW w:w="0" w:type="auto"/>
            <w:vAlign w:val="center"/>
          </w:tcPr>
          <w:p w14:paraId="5C0DFBD9">
            <w:pPr>
              <w:pStyle w:val="722"/>
              <w:rPr>
                <w:rFonts w:hint="default" w:ascii="Times New Roman" w:hAnsi="Times New Roman" w:cs="Times New Roman"/>
                <w:color w:val="auto"/>
                <w:highlight w:val="none"/>
              </w:rPr>
            </w:pPr>
            <w:r>
              <w:rPr>
                <w:rFonts w:hint="default" w:ascii="Times New Roman" w:hAnsi="Times New Roman" w:cs="Times New Roman" w:eastAsiaTheme="minorEastAsia"/>
                <w:color w:val="auto"/>
                <w:highlight w:val="none"/>
              </w:rPr>
              <w:t>影响性质</w:t>
            </w:r>
          </w:p>
        </w:tc>
        <w:tc>
          <w:tcPr>
            <w:tcW w:w="0" w:type="auto"/>
            <w:vAlign w:val="center"/>
          </w:tcPr>
          <w:p w14:paraId="1F83916B">
            <w:pPr>
              <w:pStyle w:val="722"/>
              <w:rPr>
                <w:rFonts w:hint="default" w:ascii="Times New Roman" w:hAnsi="Times New Roman" w:cs="Times New Roman"/>
                <w:color w:val="auto"/>
                <w:highlight w:val="none"/>
              </w:rPr>
            </w:pPr>
            <w:r>
              <w:rPr>
                <w:rFonts w:hint="default" w:ascii="Times New Roman" w:hAnsi="Times New Roman" w:cs="Times New Roman" w:eastAsiaTheme="minorEastAsia"/>
                <w:color w:val="auto"/>
                <w:highlight w:val="none"/>
              </w:rPr>
              <w:t>影响范围</w:t>
            </w:r>
          </w:p>
        </w:tc>
      </w:tr>
      <w:tr w14:paraId="1640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4190A19">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占用</w:t>
            </w:r>
            <w:r>
              <w:rPr>
                <w:rFonts w:hint="default" w:ascii="Times New Roman" w:hAnsi="Times New Roman" w:cs="Times New Roman"/>
                <w:color w:val="auto"/>
                <w:highlight w:val="none"/>
                <w:lang w:val="en-US" w:eastAsia="zh-CN"/>
              </w:rPr>
              <w:t>农用地</w:t>
            </w:r>
            <w:r>
              <w:rPr>
                <w:rFonts w:hint="default" w:ascii="Times New Roman" w:hAnsi="Times New Roman" w:cs="Times New Roman"/>
                <w:color w:val="auto"/>
                <w:highlight w:val="none"/>
              </w:rPr>
              <w:t>建设布局旅游服务、旅游体验、商业配套等功能</w:t>
            </w:r>
          </w:p>
        </w:tc>
        <w:tc>
          <w:tcPr>
            <w:tcW w:w="0" w:type="auto"/>
            <w:vAlign w:val="center"/>
          </w:tcPr>
          <w:p w14:paraId="3FA53C9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工程建设改变土地现状</w:t>
            </w:r>
          </w:p>
        </w:tc>
        <w:tc>
          <w:tcPr>
            <w:tcW w:w="0" w:type="auto"/>
            <w:vAlign w:val="center"/>
          </w:tcPr>
          <w:p w14:paraId="41117E90">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直接</w:t>
            </w:r>
          </w:p>
        </w:tc>
        <w:tc>
          <w:tcPr>
            <w:tcW w:w="0" w:type="auto"/>
            <w:vAlign w:val="center"/>
          </w:tcPr>
          <w:p w14:paraId="573125C4">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不利、不可逆</w:t>
            </w:r>
          </w:p>
        </w:tc>
        <w:tc>
          <w:tcPr>
            <w:tcW w:w="0" w:type="auto"/>
            <w:vAlign w:val="center"/>
          </w:tcPr>
          <w:p w14:paraId="1382A6AC">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较小</w:t>
            </w:r>
          </w:p>
        </w:tc>
      </w:tr>
      <w:tr w14:paraId="2EC9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961766F">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依托现有民居区域，发展</w:t>
            </w:r>
            <w:r>
              <w:rPr>
                <w:rFonts w:hint="default" w:ascii="Times New Roman" w:hAnsi="Times New Roman" w:cs="Times New Roman"/>
                <w:color w:val="auto"/>
                <w:kern w:val="0"/>
                <w:highlight w:val="none"/>
              </w:rPr>
              <w:t>文创、会展、商业、住宿等综合配套功能</w:t>
            </w:r>
          </w:p>
        </w:tc>
        <w:tc>
          <w:tcPr>
            <w:tcW w:w="0" w:type="auto"/>
            <w:vAlign w:val="center"/>
          </w:tcPr>
          <w:p w14:paraId="7B09390B">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依托现有民间升级改建</w:t>
            </w:r>
          </w:p>
        </w:tc>
        <w:tc>
          <w:tcPr>
            <w:tcW w:w="0" w:type="auto"/>
            <w:vAlign w:val="center"/>
          </w:tcPr>
          <w:p w14:paraId="2BDE4818">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直接</w:t>
            </w:r>
          </w:p>
        </w:tc>
        <w:tc>
          <w:tcPr>
            <w:tcW w:w="0" w:type="auto"/>
            <w:vAlign w:val="center"/>
          </w:tcPr>
          <w:p w14:paraId="0980862E">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有利，不可逆</w:t>
            </w:r>
          </w:p>
        </w:tc>
        <w:tc>
          <w:tcPr>
            <w:tcW w:w="0" w:type="auto"/>
            <w:vAlign w:val="center"/>
          </w:tcPr>
          <w:p w14:paraId="22A854C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较小</w:t>
            </w:r>
          </w:p>
        </w:tc>
      </w:tr>
    </w:tbl>
    <w:p w14:paraId="16FD3214">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水资源</w:t>
      </w:r>
    </w:p>
    <w:p w14:paraId="0A76F8D8">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规划近期游客量为</w:t>
      </w:r>
      <w:r>
        <w:rPr>
          <w:rFonts w:hint="default" w:ascii="Times New Roman" w:hAnsi="Times New Roman" w:cs="Times New Roman"/>
          <w:color w:val="auto"/>
          <w:highlight w:val="none"/>
          <w:lang w:val="en-US" w:eastAsia="zh-CN"/>
        </w:rPr>
        <w:t>3.27</w:t>
      </w:r>
      <w:r>
        <w:rPr>
          <w:rFonts w:hint="default" w:ascii="Times New Roman" w:hAnsi="Times New Roman" w:cs="Times New Roman"/>
          <w:color w:val="auto"/>
          <w:highlight w:val="none"/>
        </w:rPr>
        <w:t>万人次/年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2025年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，中期</w:t>
      </w:r>
      <w:r>
        <w:rPr>
          <w:rFonts w:hint="default" w:ascii="Times New Roman" w:hAnsi="Times New Roman" w:cs="Times New Roman"/>
          <w:color w:val="auto"/>
          <w:highlight w:val="none"/>
          <w:lang w:val="en-US" w:eastAsia="zh-CN"/>
        </w:rPr>
        <w:t>22.59</w:t>
      </w:r>
      <w:r>
        <w:rPr>
          <w:rFonts w:hint="default" w:ascii="Times New Roman" w:hAnsi="Times New Roman" w:cs="Times New Roman"/>
          <w:color w:val="auto"/>
          <w:highlight w:val="none"/>
        </w:rPr>
        <w:t>万人次/年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2030年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，远期</w:t>
      </w:r>
      <w:r>
        <w:rPr>
          <w:rFonts w:hint="default" w:ascii="Times New Roman" w:hAnsi="Times New Roman" w:cs="Times New Roman"/>
          <w:color w:val="auto"/>
          <w:highlight w:val="none"/>
          <w:lang w:val="en-US" w:eastAsia="zh-CN"/>
        </w:rPr>
        <w:t>50.12</w:t>
      </w:r>
      <w:r>
        <w:rPr>
          <w:rFonts w:hint="default" w:ascii="Times New Roman" w:hAnsi="Times New Roman" w:cs="Times New Roman"/>
          <w:color w:val="auto"/>
          <w:highlight w:val="none"/>
        </w:rPr>
        <w:t>万人次/年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2035年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。实施过程随着景区游客逐步增加，会消耗一定量的水资源消耗，导致区域水资源部分减少。</w:t>
      </w:r>
    </w:p>
    <w:p w14:paraId="11352634">
      <w:pPr>
        <w:pStyle w:val="724"/>
        <w:rPr>
          <w:rFonts w:hint="default" w:ascii="Times New Roman" w:hAnsi="Times New Roman" w:cs="Times New Roman"/>
          <w:color w:val="auto"/>
          <w:highlight w:val="none"/>
        </w:rPr>
      </w:pPr>
      <w:r>
        <w:rPr>
          <w:rFonts w:hint="default" w:ascii="Times New Roman" w:hAnsi="Times New Roman" w:cs="Times New Roman"/>
          <w:color w:val="auto"/>
          <w:highlight w:val="none"/>
        </w:rPr>
        <w:t>表4.1-2    水资源影响识别</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8"/>
        <w:gridCol w:w="2211"/>
        <w:gridCol w:w="1361"/>
        <w:gridCol w:w="1361"/>
        <w:gridCol w:w="1353"/>
      </w:tblGrid>
      <w:tr w14:paraId="2B74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4" w:type="pct"/>
            <w:vAlign w:val="center"/>
          </w:tcPr>
          <w:p w14:paraId="1457775A">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w:t>
            </w:r>
          </w:p>
        </w:tc>
        <w:tc>
          <w:tcPr>
            <w:tcW w:w="1205" w:type="pct"/>
            <w:vAlign w:val="center"/>
          </w:tcPr>
          <w:p w14:paraId="7A8A732F">
            <w:pPr>
              <w:pStyle w:val="722"/>
              <w:rPr>
                <w:rFonts w:hint="default" w:ascii="Times New Roman" w:hAnsi="Times New Roman" w:cs="Times New Roman"/>
                <w:color w:val="auto"/>
                <w:highlight w:val="none"/>
              </w:rPr>
            </w:pPr>
            <w:r>
              <w:rPr>
                <w:rFonts w:hint="default" w:ascii="Times New Roman" w:hAnsi="Times New Roman" w:cs="Times New Roman" w:eastAsiaTheme="minorEastAsia"/>
                <w:color w:val="auto"/>
                <w:highlight w:val="none"/>
              </w:rPr>
              <w:t>影响途径</w:t>
            </w:r>
          </w:p>
        </w:tc>
        <w:tc>
          <w:tcPr>
            <w:tcW w:w="742" w:type="pct"/>
            <w:vAlign w:val="center"/>
          </w:tcPr>
          <w:p w14:paraId="2C71DAD2">
            <w:pPr>
              <w:pStyle w:val="722"/>
              <w:rPr>
                <w:rFonts w:hint="default" w:ascii="Times New Roman" w:hAnsi="Times New Roman" w:cs="Times New Roman"/>
                <w:color w:val="auto"/>
                <w:highlight w:val="none"/>
              </w:rPr>
            </w:pPr>
            <w:r>
              <w:rPr>
                <w:rFonts w:hint="default" w:ascii="Times New Roman" w:hAnsi="Times New Roman" w:cs="Times New Roman" w:eastAsiaTheme="minorEastAsia"/>
                <w:color w:val="auto"/>
                <w:highlight w:val="none"/>
              </w:rPr>
              <w:t>影响方式</w:t>
            </w:r>
          </w:p>
        </w:tc>
        <w:tc>
          <w:tcPr>
            <w:tcW w:w="742" w:type="pct"/>
            <w:vAlign w:val="center"/>
          </w:tcPr>
          <w:p w14:paraId="26E470CC">
            <w:pPr>
              <w:pStyle w:val="722"/>
              <w:rPr>
                <w:rFonts w:hint="default" w:ascii="Times New Roman" w:hAnsi="Times New Roman" w:cs="Times New Roman"/>
                <w:color w:val="auto"/>
                <w:highlight w:val="none"/>
              </w:rPr>
            </w:pPr>
            <w:r>
              <w:rPr>
                <w:rFonts w:hint="default" w:ascii="Times New Roman" w:hAnsi="Times New Roman" w:cs="Times New Roman" w:eastAsiaTheme="minorEastAsia"/>
                <w:color w:val="auto"/>
                <w:highlight w:val="none"/>
              </w:rPr>
              <w:t>影响性质</w:t>
            </w:r>
          </w:p>
        </w:tc>
        <w:tc>
          <w:tcPr>
            <w:tcW w:w="738" w:type="pct"/>
            <w:vAlign w:val="center"/>
          </w:tcPr>
          <w:p w14:paraId="24C81907">
            <w:pPr>
              <w:pStyle w:val="722"/>
              <w:rPr>
                <w:rFonts w:hint="default" w:ascii="Times New Roman" w:hAnsi="Times New Roman" w:cs="Times New Roman"/>
                <w:color w:val="auto"/>
                <w:highlight w:val="none"/>
              </w:rPr>
            </w:pPr>
            <w:r>
              <w:rPr>
                <w:rFonts w:hint="default" w:ascii="Times New Roman" w:hAnsi="Times New Roman" w:cs="Times New Roman" w:eastAsiaTheme="minorEastAsia"/>
                <w:color w:val="auto"/>
                <w:highlight w:val="none"/>
              </w:rPr>
              <w:t>影响范围</w:t>
            </w:r>
          </w:p>
        </w:tc>
      </w:tr>
      <w:tr w14:paraId="55CD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4" w:type="pct"/>
            <w:vAlign w:val="center"/>
          </w:tcPr>
          <w:p w14:paraId="50946770">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布局旅游服务、旅游体验、商业配套等功能</w:t>
            </w:r>
          </w:p>
        </w:tc>
        <w:tc>
          <w:tcPr>
            <w:tcW w:w="1205" w:type="pct"/>
            <w:vAlign w:val="center"/>
          </w:tcPr>
          <w:p w14:paraId="685115B1">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工作人员生活用水、游客用水</w:t>
            </w:r>
          </w:p>
        </w:tc>
        <w:tc>
          <w:tcPr>
            <w:tcW w:w="742" w:type="pct"/>
            <w:vAlign w:val="center"/>
          </w:tcPr>
          <w:p w14:paraId="09BA179F">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直接</w:t>
            </w:r>
          </w:p>
        </w:tc>
        <w:tc>
          <w:tcPr>
            <w:tcW w:w="742" w:type="pct"/>
            <w:vAlign w:val="center"/>
          </w:tcPr>
          <w:p w14:paraId="4328ECF4">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不利，不可逆</w:t>
            </w:r>
          </w:p>
        </w:tc>
        <w:tc>
          <w:tcPr>
            <w:tcW w:w="738" w:type="pct"/>
            <w:vAlign w:val="center"/>
          </w:tcPr>
          <w:p w14:paraId="14171D57">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一般</w:t>
            </w:r>
          </w:p>
        </w:tc>
      </w:tr>
      <w:tr w14:paraId="1643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4" w:type="pct"/>
            <w:vAlign w:val="center"/>
          </w:tcPr>
          <w:p w14:paraId="225447E5">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依托现有民居，发展文创、会展、商业、住宿等综合配套功能</w:t>
            </w:r>
          </w:p>
        </w:tc>
        <w:tc>
          <w:tcPr>
            <w:tcW w:w="1205" w:type="pct"/>
            <w:vAlign w:val="center"/>
          </w:tcPr>
          <w:p w14:paraId="1656DE0E">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居民、工作人员生活用水、游客用水</w:t>
            </w:r>
          </w:p>
        </w:tc>
        <w:tc>
          <w:tcPr>
            <w:tcW w:w="742" w:type="pct"/>
            <w:vAlign w:val="center"/>
          </w:tcPr>
          <w:p w14:paraId="1D918BF7">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直接</w:t>
            </w:r>
          </w:p>
        </w:tc>
        <w:tc>
          <w:tcPr>
            <w:tcW w:w="742" w:type="pct"/>
            <w:vAlign w:val="center"/>
          </w:tcPr>
          <w:p w14:paraId="73B34424">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不利，不可逆</w:t>
            </w:r>
          </w:p>
        </w:tc>
        <w:tc>
          <w:tcPr>
            <w:tcW w:w="738" w:type="pct"/>
            <w:vAlign w:val="center"/>
          </w:tcPr>
          <w:p w14:paraId="3F4A08DF">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一般</w:t>
            </w:r>
          </w:p>
        </w:tc>
      </w:tr>
    </w:tbl>
    <w:p w14:paraId="2A27F85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生态影响识别</w:t>
      </w:r>
    </w:p>
    <w:p w14:paraId="5A6F5D99">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地表植被</w:t>
      </w:r>
    </w:p>
    <w:p w14:paraId="7D66ACAA">
      <w:pPr>
        <w:pStyle w:val="728"/>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占用</w:t>
      </w:r>
      <w:r>
        <w:rPr>
          <w:rFonts w:hint="default" w:ascii="Times New Roman" w:hAnsi="Times New Roman" w:cs="Times New Roman"/>
          <w:color w:val="auto"/>
          <w:kern w:val="0"/>
          <w:highlight w:val="none"/>
          <w:lang w:val="en-US" w:eastAsia="zh-CN"/>
        </w:rPr>
        <w:t>农用地等</w:t>
      </w:r>
      <w:r>
        <w:rPr>
          <w:rFonts w:hint="default" w:ascii="Times New Roman" w:hAnsi="Times New Roman" w:cs="Times New Roman"/>
          <w:color w:val="auto"/>
          <w:highlight w:val="none"/>
        </w:rPr>
        <w:t>布局</w:t>
      </w:r>
      <w:r>
        <w:rPr>
          <w:rFonts w:hint="default" w:ascii="Times New Roman" w:hAnsi="Times New Roman" w:cs="Times New Roman"/>
          <w:color w:val="auto"/>
          <w:kern w:val="0"/>
          <w:highlight w:val="none"/>
        </w:rPr>
        <w:t>旅游服务、旅游体验、商业配套等。对植被影响有限，不会引起地表植被种类、覆盖率的变化。</w:t>
      </w:r>
    </w:p>
    <w:p w14:paraId="1BFA7B56">
      <w:pPr>
        <w:pStyle w:val="728"/>
        <w:ind w:firstLine="480"/>
        <w:rPr>
          <w:rFonts w:hint="default" w:ascii="Times New Roman" w:hAnsi="Times New Roman" w:cs="Times New Roman"/>
          <w:color w:val="auto"/>
          <w:kern w:val="0"/>
          <w:highlight w:val="none"/>
          <w:lang w:eastAsia="zh-CN"/>
        </w:rPr>
      </w:pPr>
      <w:r>
        <w:rPr>
          <w:rFonts w:hint="default" w:ascii="Times New Roman" w:hAnsi="Times New Roman" w:cs="Times New Roman"/>
          <w:color w:val="auto"/>
          <w:highlight w:val="none"/>
        </w:rPr>
        <w:t>依托现有民居区等发展</w:t>
      </w:r>
      <w:r>
        <w:rPr>
          <w:rFonts w:hint="default" w:ascii="Times New Roman" w:hAnsi="Times New Roman" w:cs="Times New Roman"/>
          <w:color w:val="auto"/>
          <w:kern w:val="0"/>
          <w:highlight w:val="none"/>
        </w:rPr>
        <w:t>文创、会展、商业、住宿等综合配套功能，同时加强景区绿化，对岗云杉林</w:t>
      </w:r>
      <w:r>
        <w:rPr>
          <w:rFonts w:hint="default" w:ascii="Times New Roman" w:hAnsi="Times New Roman" w:cs="Times New Roman"/>
          <w:color w:val="auto"/>
          <w:kern w:val="0"/>
          <w:highlight w:val="none"/>
          <w:lang w:val="en-US" w:eastAsia="zh-CN"/>
        </w:rPr>
        <w:t>开展</w:t>
      </w:r>
      <w:r>
        <w:rPr>
          <w:rFonts w:hint="default" w:ascii="Times New Roman" w:hAnsi="Times New Roman" w:cs="Times New Roman"/>
          <w:color w:val="auto"/>
          <w:kern w:val="0"/>
          <w:highlight w:val="none"/>
        </w:rPr>
        <w:t>生态修复</w:t>
      </w:r>
      <w:r>
        <w:rPr>
          <w:rFonts w:hint="default" w:ascii="Times New Roman" w:hAnsi="Times New Roman" w:cs="Times New Roman"/>
          <w:color w:val="auto"/>
          <w:kern w:val="0"/>
          <w:highlight w:val="none"/>
          <w:lang w:eastAsia="zh-CN"/>
        </w:rPr>
        <w:t>。</w:t>
      </w:r>
    </w:p>
    <w:p w14:paraId="3A069545">
      <w:pPr>
        <w:pStyle w:val="728"/>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kern w:val="0"/>
          <w:highlight w:val="none"/>
          <w:lang w:val="en-US" w:eastAsia="zh-CN"/>
        </w:rPr>
        <w:t>规划区现有</w:t>
      </w:r>
      <w:r>
        <w:rPr>
          <w:rFonts w:hint="default" w:ascii="Times New Roman" w:hAnsi="Times New Roman" w:cs="Times New Roman"/>
          <w:color w:val="auto"/>
          <w:highlight w:val="none"/>
        </w:rPr>
        <w:t>云南红豆杉、巨柏、长蕊木兰、穗花杉、千果榄仁、小果紫薇、海南粗榧等保护植物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规划实施过程中需严格对其进行保护。</w:t>
      </w:r>
    </w:p>
    <w:p w14:paraId="59CF3EDF">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陆生动物</w:t>
      </w:r>
    </w:p>
    <w:p w14:paraId="7EABD0EB">
      <w:pPr>
        <w:pStyle w:val="728"/>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规划区现有云豹、羚牛、赤斑羚、林麝、喜马拉雅麝、孟加拉虎、小熊猫、绿尾虹雉、棕颈犀鸟、白腹锦鸡、熊猴、猕猴、金猫、豹猫、墨脱缺翅虫</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黑颈鹤、中华秋沙鸭、白尾海雕、金雕、马麝、鸳鸯、灰鹤、藏马鸡、黑熊、水獭、豹猫等保护动物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本规划的实施主要为对现有各类设施的整改提升，规划景区基础设施，加强与完善景区管理制度，严格限定游客活动范围与旅游行为，确保人与自然和谐相处，降低规划实施对动物的影响</w:t>
      </w:r>
      <w:r>
        <w:rPr>
          <w:rFonts w:hint="default" w:ascii="Times New Roman" w:hAnsi="Times New Roman" w:cs="Times New Roman"/>
          <w:color w:val="auto"/>
          <w:highlight w:val="none"/>
        </w:rPr>
        <w:t>。</w:t>
      </w:r>
    </w:p>
    <w:p w14:paraId="207AB465">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水生生态</w:t>
      </w:r>
    </w:p>
    <w:p w14:paraId="1E674542">
      <w:pPr>
        <w:pStyle w:val="728"/>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规划区外北侧临近帕隆藏布，规划区有数条帕隆藏布支流，分布有</w:t>
      </w:r>
      <w:r>
        <w:rPr>
          <w:rFonts w:hint="default" w:ascii="Times New Roman" w:hAnsi="Times New Roman" w:cs="Times New Roman"/>
          <w:color w:val="auto"/>
          <w:highlight w:val="none"/>
        </w:rPr>
        <w:t>拉萨裸裂尻鱼、异齿裂腹鱼、波密裂腹鱼等珍稀野生动物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规划区所有生活污水均不外排进入地表水体，严格控制游客行为，禁止捕捞各类鱼类，严禁随意乱扔垃圾，</w:t>
      </w:r>
      <w:r>
        <w:rPr>
          <w:rFonts w:hint="default" w:ascii="Times New Roman" w:hAnsi="Times New Roman" w:cs="Times New Roman"/>
          <w:color w:val="auto"/>
          <w:highlight w:val="none"/>
        </w:rPr>
        <w:t>规划的实施对规划区水生生态环境基本无影响。</w:t>
      </w:r>
    </w:p>
    <w:p w14:paraId="7AD8C226">
      <w:pPr>
        <w:pStyle w:val="5"/>
        <w:spacing w:before="156" w:after="156"/>
        <w:rPr>
          <w:rFonts w:hint="default" w:ascii="Times New Roman" w:hAnsi="Times New Roman" w:cs="Times New Roman"/>
          <w:color w:val="auto"/>
          <w:highlight w:val="none"/>
        </w:rPr>
      </w:pPr>
      <w:bookmarkStart w:id="134" w:name="_Hlk82165428"/>
      <w:r>
        <w:rPr>
          <w:rFonts w:hint="default" w:ascii="Times New Roman" w:hAnsi="Times New Roman" w:cs="Times New Roman"/>
          <w:color w:val="auto"/>
          <w:highlight w:val="none"/>
        </w:rPr>
        <w:t>水土流失</w:t>
      </w:r>
    </w:p>
    <w:bookmarkEnd w:id="134"/>
    <w:p w14:paraId="689D2F74">
      <w:pPr>
        <w:pStyle w:val="728"/>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规划区建设过</w:t>
      </w:r>
      <w:r>
        <w:rPr>
          <w:rFonts w:hint="default" w:ascii="Times New Roman" w:hAnsi="Times New Roman" w:cs="Times New Roman"/>
          <w:color w:val="auto"/>
          <w:highlight w:val="none"/>
          <w:lang w:eastAsia="zh-CN"/>
        </w:rPr>
        <w:t>程中</w:t>
      </w:r>
      <w:r>
        <w:rPr>
          <w:rFonts w:hint="default" w:ascii="Times New Roman" w:hAnsi="Times New Roman" w:cs="Times New Roman"/>
          <w:color w:val="auto"/>
          <w:highlight w:val="none"/>
        </w:rPr>
        <w:t>，扰动植被、基础开挖、土石方填筑、材料堆放等将导致少量水土流失的，运营期间因种植植物、地面硬化等会减少水土流失。</w:t>
      </w:r>
    </w:p>
    <w:p w14:paraId="71325486">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生态系统</w:t>
      </w:r>
    </w:p>
    <w:p w14:paraId="32E17B49">
      <w:pPr>
        <w:pStyle w:val="728"/>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规划实施对区域地表植被、陆生动物、水生生态、水土流失等主要生态因子影响较小，生态系统受影响的范围、强度有限，生态系统的组成和服务功能变化较小。</w:t>
      </w:r>
    </w:p>
    <w:p w14:paraId="178C07ED">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环境影响识别</w:t>
      </w:r>
    </w:p>
    <w:p w14:paraId="7218BE73">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p w14:paraId="3A4F3A3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规划区建设期产生的大气污染物主要为扬尘、各类燃油废气、装修废气等；运营期大气污染源主要包括区内居民生活燃烧废气、餐饮油烟、汽车行驶过程中产生的尾气</w:t>
      </w:r>
      <w:r>
        <w:rPr>
          <w:rFonts w:hint="default" w:ascii="Times New Roman" w:hAnsi="Times New Roman" w:cs="Times New Roman"/>
          <w:color w:val="auto"/>
          <w:kern w:val="24"/>
          <w:sz w:val="24"/>
          <w:highlight w:val="none"/>
        </w:rPr>
        <w:t>以及生活垃圾收集转运等场所产生的恶臭等</w:t>
      </w:r>
      <w:r>
        <w:rPr>
          <w:rFonts w:hint="default" w:ascii="Times New Roman" w:hAnsi="Times New Roman" w:cs="Times New Roman"/>
          <w:color w:val="auto"/>
          <w:sz w:val="24"/>
          <w:highlight w:val="none"/>
        </w:rPr>
        <w:t>，污染物主要包括油烟、SO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、CO、NO</w:t>
      </w:r>
      <w:r>
        <w:rPr>
          <w:rFonts w:hint="default" w:ascii="Times New Roman" w:hAnsi="Times New Roman" w:cs="Times New Roman"/>
          <w:color w:val="auto"/>
          <w:sz w:val="24"/>
          <w:highlight w:val="none"/>
          <w:vertAlign w:val="subscript"/>
        </w:rPr>
        <w:t>x</w:t>
      </w:r>
      <w:r>
        <w:rPr>
          <w:rFonts w:hint="default" w:ascii="Times New Roman" w:hAnsi="Times New Roman" w:cs="Times New Roman"/>
          <w:color w:val="auto"/>
          <w:sz w:val="24"/>
          <w:highlight w:val="none"/>
        </w:rPr>
        <w:t>、THC、NH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S等。</w:t>
      </w:r>
    </w:p>
    <w:p w14:paraId="0C781962">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w:t>
      </w:r>
    </w:p>
    <w:p w14:paraId="7672853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区建设和运营活动产生的污水主要为生活污水。建设过程中生活污水来自于施工人员；运营过程中生活污水主要包括旅游区内常住人口、游客所产生的生活污水，包括餐饮废水和其他生活污水，主要污染物为COD、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、SS、氨氮、动植物油、LAS等。</w:t>
      </w:r>
    </w:p>
    <w:p w14:paraId="226C724F">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p w14:paraId="3569FB85">
      <w:pPr>
        <w:pStyle w:val="728"/>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规划区建设期主要噪声源为各种施工机械设备产生的噪声和运输车辆的交通噪声；运营期主要噪声源为游客自驾车及旅游区服务车辆的交通噪声、建筑物内各种机电设备噪声、旅游活动产生的社会生活噪声。</w:t>
      </w:r>
    </w:p>
    <w:p w14:paraId="3DE2E759">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土壤</w:t>
      </w:r>
    </w:p>
    <w:p w14:paraId="44D2067E">
      <w:pPr>
        <w:pStyle w:val="728"/>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规划实施后对土壤的影响主要为景区运行过程产生的生活污水和固体废物通过和土壤的接触而进入土壤，从而对土壤产生影响。</w:t>
      </w:r>
    </w:p>
    <w:p w14:paraId="484FDC5A">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p w14:paraId="3AC53499">
      <w:pPr>
        <w:pStyle w:val="728"/>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规划区建设期产生的固体废弃物主要有场地平整时剥离表土、弃土方、建筑垃圾及生活垃圾；运营期固体废物主要为生活垃圾、餐厨垃圾及废油、动物粪便等。</w:t>
      </w:r>
    </w:p>
    <w:p w14:paraId="3A7FAB7F">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环境风险影响识别</w:t>
      </w:r>
    </w:p>
    <w:p w14:paraId="4EE2FFC7">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规划实施可能的环境风险为</w:t>
      </w:r>
      <w:r>
        <w:rPr>
          <w:rStyle w:val="103"/>
          <w:rFonts w:hint="default" w:ascii="Times New Roman" w:hAnsi="Times New Roman" w:cs="Times New Roman"/>
          <w:color w:val="auto"/>
          <w:highlight w:val="none"/>
        </w:rPr>
        <w:t>污水事故排放。</w:t>
      </w:r>
    </w:p>
    <w:p w14:paraId="757B4A8F">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环境影响预测与评价重点</w:t>
      </w:r>
    </w:p>
    <w:p w14:paraId="37FAA5E1">
      <w:pPr>
        <w:pStyle w:val="720"/>
        <w:rPr>
          <w:rFonts w:hint="default" w:ascii="Times New Roman" w:hAnsi="Times New Roman" w:cs="Times New Roman"/>
          <w:color w:val="auto"/>
          <w:kern w:val="0"/>
          <w:highlight w:val="none"/>
        </w:rPr>
      </w:pPr>
      <w:r>
        <w:rPr>
          <w:rFonts w:hint="default" w:ascii="Times New Roman" w:hAnsi="Times New Roman" w:cs="Times New Roman"/>
          <w:color w:val="auto"/>
          <w:highlight w:val="none"/>
          <w:lang w:val="zh-CN"/>
        </w:rPr>
        <w:t>规划实施对</w:t>
      </w:r>
      <w:r>
        <w:rPr>
          <w:rFonts w:hint="default" w:ascii="Times New Roman" w:hAnsi="Times New Roman" w:cs="Times New Roman"/>
          <w:bCs/>
          <w:color w:val="auto"/>
          <w:highlight w:val="none"/>
          <w:lang w:eastAsia="zh-CN"/>
        </w:rPr>
        <w:t>帕隆藏布</w:t>
      </w:r>
      <w:r>
        <w:rPr>
          <w:rFonts w:hint="default" w:ascii="Times New Roman" w:hAnsi="Times New Roman" w:cs="Times New Roman"/>
          <w:bCs/>
          <w:color w:val="auto"/>
          <w:highlight w:val="none"/>
        </w:rPr>
        <w:t>风景名胜区</w:t>
      </w:r>
      <w:r>
        <w:rPr>
          <w:rFonts w:hint="default" w:ascii="Times New Roman" w:hAnsi="Times New Roman" w:cs="Times New Roman"/>
          <w:color w:val="auto"/>
          <w:highlight w:val="none"/>
          <w:lang w:val="zh-CN"/>
        </w:rPr>
        <w:t>生态环境的影响。</w:t>
      </w:r>
      <w:r>
        <w:rPr>
          <w:rFonts w:hint="default" w:ascii="Times New Roman" w:hAnsi="Times New Roman" w:cs="Times New Roman"/>
          <w:color w:val="auto"/>
          <w:kern w:val="0"/>
          <w:highlight w:val="none"/>
        </w:rPr>
        <w:t>区域水资源承载力能否满足规划规模。</w:t>
      </w:r>
    </w:p>
    <w:bookmarkEnd w:id="133"/>
    <w:p w14:paraId="09958E7F">
      <w:pPr>
        <w:pStyle w:val="728"/>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波密县岗云杉林旅游景区创建4A级规划</w:t>
      </w:r>
      <w:r>
        <w:rPr>
          <w:rFonts w:hint="default" w:ascii="Times New Roman" w:hAnsi="Times New Roman" w:cs="Times New Roman"/>
          <w:color w:val="auto"/>
          <w:highlight w:val="none"/>
        </w:rPr>
        <w:t>环境影响识别详见表4.1-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2EA4B4B9">
      <w:pPr>
        <w:pStyle w:val="728"/>
        <w:ind w:firstLine="480"/>
        <w:rPr>
          <w:rFonts w:hint="default" w:ascii="Times New Roman" w:hAnsi="Times New Roman" w:cs="Times New Roman"/>
          <w:color w:val="auto"/>
          <w:highlight w:val="none"/>
        </w:rPr>
        <w:sectPr>
          <w:headerReference r:id="rId15" w:type="first"/>
          <w:footerReference r:id="rId17" w:type="first"/>
          <w:headerReference r:id="rId14" w:type="even"/>
          <w:footerReference r:id="rId16" w:type="even"/>
          <w:pgSz w:w="11906" w:h="16838"/>
          <w:pgMar w:top="1474" w:right="1474" w:bottom="1474" w:left="1474" w:header="1134" w:footer="850" w:gutter="0"/>
          <w:pgBorders>
            <w:top w:val="none" w:sz="0" w:space="0"/>
            <w:left w:val="none" w:sz="0" w:space="0"/>
            <w:bottom w:val="none" w:sz="0" w:space="0"/>
            <w:right w:val="none" w:sz="0" w:space="0"/>
          </w:pgBorders>
          <w:cols w:space="720" w:num="1"/>
          <w:docGrid w:type="lines" w:linePitch="312" w:charSpace="0"/>
        </w:sectPr>
      </w:pPr>
    </w:p>
    <w:p w14:paraId="54A896E8">
      <w:pPr>
        <w:pStyle w:val="666"/>
        <w:spacing w:line="360" w:lineRule="auto"/>
        <w:ind w:firstLine="0"/>
        <w:jc w:val="center"/>
        <w:rPr>
          <w:rFonts w:hint="default" w:ascii="Times New Roman" w:hAnsi="Times New Roman" w:eastAsia="黑体" w:cs="Times New Roman"/>
          <w:color w:val="auto"/>
          <w:kern w:val="0"/>
          <w:highlight w:val="none"/>
        </w:rPr>
      </w:pPr>
      <w:bookmarkStart w:id="135" w:name="_Ref528077838"/>
      <w:bookmarkStart w:id="136" w:name="_Ref528077835"/>
      <w:bookmarkStart w:id="137" w:name="_Hlk530128617"/>
      <w:bookmarkStart w:id="138" w:name="_Hlk530062938"/>
      <w:r>
        <w:rPr>
          <w:rFonts w:hint="default" w:ascii="Times New Roman" w:hAnsi="Times New Roman" w:eastAsia="黑体" w:cs="Times New Roman"/>
          <w:color w:val="auto"/>
          <w:kern w:val="0"/>
          <w:highlight w:val="none"/>
        </w:rPr>
        <w:t>表</w:t>
      </w:r>
      <w:r>
        <w:rPr>
          <w:rFonts w:hint="default" w:ascii="Times New Roman" w:hAnsi="Times New Roman" w:eastAsia="黑体" w:cs="Times New Roman"/>
          <w:color w:val="auto"/>
          <w:kern w:val="0"/>
          <w:highlight w:val="none"/>
        </w:rPr>
        <w:fldChar w:fldCharType="begin"/>
      </w:r>
      <w:r>
        <w:rPr>
          <w:rFonts w:hint="default" w:ascii="Times New Roman" w:hAnsi="Times New Roman" w:eastAsia="黑体" w:cs="Times New Roman"/>
          <w:color w:val="auto"/>
          <w:kern w:val="0"/>
          <w:highlight w:val="none"/>
        </w:rPr>
        <w:instrText xml:space="preserve"> STYLEREF 2 \s </w:instrText>
      </w:r>
      <w:r>
        <w:rPr>
          <w:rFonts w:hint="default" w:ascii="Times New Roman" w:hAnsi="Times New Roman" w:eastAsia="黑体" w:cs="Times New Roman"/>
          <w:color w:val="auto"/>
          <w:kern w:val="0"/>
          <w:highlight w:val="none"/>
        </w:rPr>
        <w:fldChar w:fldCharType="separate"/>
      </w:r>
      <w:r>
        <w:rPr>
          <w:rFonts w:hint="default" w:ascii="Times New Roman" w:hAnsi="Times New Roman" w:eastAsia="黑体" w:cs="Times New Roman"/>
          <w:color w:val="auto"/>
          <w:kern w:val="0"/>
          <w:highlight w:val="none"/>
        </w:rPr>
        <w:t>4.1</w:t>
      </w:r>
      <w:r>
        <w:rPr>
          <w:rFonts w:hint="default" w:ascii="Times New Roman" w:hAnsi="Times New Roman" w:eastAsia="黑体" w:cs="Times New Roman"/>
          <w:color w:val="auto"/>
          <w:kern w:val="0"/>
          <w:highlight w:val="none"/>
        </w:rPr>
        <w:fldChar w:fldCharType="end"/>
      </w:r>
      <w:r>
        <w:rPr>
          <w:rFonts w:hint="default" w:ascii="Times New Roman" w:hAnsi="Times New Roman" w:eastAsia="黑体" w:cs="Times New Roman"/>
          <w:color w:val="auto"/>
          <w:kern w:val="0"/>
          <w:highlight w:val="none"/>
        </w:rPr>
        <w:noBreakHyphen/>
      </w:r>
      <w:bookmarkEnd w:id="135"/>
      <w:r>
        <w:rPr>
          <w:rFonts w:hint="default" w:ascii="Times New Roman" w:hAnsi="Times New Roman" w:eastAsia="黑体" w:cs="Times New Roman"/>
          <w:color w:val="auto"/>
          <w:kern w:val="0"/>
          <w:highlight w:val="none"/>
          <w:lang w:val="en-US" w:eastAsia="zh-CN"/>
        </w:rPr>
        <w:t>3</w:t>
      </w:r>
      <w:r>
        <w:rPr>
          <w:rFonts w:hint="default" w:ascii="Times New Roman" w:hAnsi="Times New Roman" w:eastAsia="黑体" w:cs="Times New Roman"/>
          <w:color w:val="auto"/>
          <w:kern w:val="0"/>
          <w:highlight w:val="none"/>
        </w:rPr>
        <w:t xml:space="preserve">  </w:t>
      </w:r>
      <w:r>
        <w:rPr>
          <w:rFonts w:hint="default" w:ascii="Times New Roman" w:hAnsi="Times New Roman" w:eastAsia="黑体" w:cs="Times New Roman"/>
          <w:color w:val="auto"/>
          <w:kern w:val="0"/>
          <w:highlight w:val="none"/>
          <w:lang w:eastAsia="zh-CN"/>
        </w:rPr>
        <w:t>波密县岗云杉林旅游景区创建4A级规划</w:t>
      </w:r>
      <w:r>
        <w:rPr>
          <w:rFonts w:hint="default" w:ascii="Times New Roman" w:hAnsi="Times New Roman" w:eastAsia="黑体" w:cs="Times New Roman"/>
          <w:color w:val="auto"/>
          <w:kern w:val="0"/>
          <w:highlight w:val="none"/>
        </w:rPr>
        <w:t>环境影响识别表</w:t>
      </w:r>
      <w:bookmarkEnd w:id="136"/>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22"/>
        <w:gridCol w:w="1213"/>
        <w:gridCol w:w="8049"/>
        <w:gridCol w:w="692"/>
        <w:gridCol w:w="1081"/>
        <w:gridCol w:w="975"/>
        <w:gridCol w:w="972"/>
      </w:tblGrid>
      <w:tr w14:paraId="1655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65" w:type="pct"/>
            <w:vAlign w:val="center"/>
          </w:tcPr>
          <w:p w14:paraId="62B21F0A">
            <w:pPr>
              <w:jc w:val="center"/>
              <w:rPr>
                <w:rFonts w:hint="default" w:ascii="Times New Roman" w:hAnsi="Times New Roman" w:cs="Times New Roman"/>
                <w:b/>
                <w:color w:val="auto"/>
                <w:szCs w:val="21"/>
                <w:highlight w:val="none"/>
                <w:shd w:val="clear" w:color="auto" w:fill="FFFFFF"/>
              </w:rPr>
            </w:pPr>
            <w:r>
              <w:rPr>
                <w:rFonts w:hint="default" w:ascii="Times New Roman" w:hAnsi="Times New Roman" w:cs="Times New Roman"/>
                <w:b/>
                <w:color w:val="auto"/>
                <w:szCs w:val="21"/>
                <w:highlight w:val="none"/>
                <w:shd w:val="clear" w:color="auto" w:fill="FFFFFF"/>
              </w:rPr>
              <w:t>主要议题</w:t>
            </w:r>
          </w:p>
        </w:tc>
        <w:tc>
          <w:tcPr>
            <w:tcW w:w="3307" w:type="pct"/>
            <w:gridSpan w:val="2"/>
            <w:vAlign w:val="center"/>
          </w:tcPr>
          <w:p w14:paraId="665DBDE3">
            <w:pPr>
              <w:jc w:val="center"/>
              <w:rPr>
                <w:rFonts w:hint="default" w:ascii="Times New Roman" w:hAnsi="Times New Roman" w:cs="Times New Roman"/>
                <w:b/>
                <w:color w:val="auto"/>
                <w:szCs w:val="21"/>
                <w:highlight w:val="none"/>
                <w:shd w:val="clear" w:color="auto" w:fill="FFFFFF"/>
              </w:rPr>
            </w:pPr>
            <w:r>
              <w:rPr>
                <w:rFonts w:hint="default" w:ascii="Times New Roman" w:hAnsi="Times New Roman" w:cs="Times New Roman"/>
                <w:b/>
                <w:color w:val="auto"/>
                <w:szCs w:val="21"/>
                <w:highlight w:val="none"/>
                <w:shd w:val="clear" w:color="auto" w:fill="FFFFFF"/>
              </w:rPr>
              <w:t>主要的影响环境行为/主要影响</w:t>
            </w:r>
          </w:p>
        </w:tc>
        <w:tc>
          <w:tcPr>
            <w:tcW w:w="247" w:type="pct"/>
            <w:vAlign w:val="center"/>
          </w:tcPr>
          <w:p w14:paraId="354AA5F3">
            <w:pPr>
              <w:jc w:val="center"/>
              <w:rPr>
                <w:rFonts w:hint="default" w:ascii="Times New Roman" w:hAnsi="Times New Roman" w:cs="Times New Roman"/>
                <w:b/>
                <w:color w:val="auto"/>
                <w:szCs w:val="21"/>
                <w:highlight w:val="none"/>
                <w:shd w:val="clear" w:color="auto" w:fill="FFFFFF"/>
              </w:rPr>
            </w:pPr>
            <w:r>
              <w:rPr>
                <w:rFonts w:hint="default" w:ascii="Times New Roman" w:hAnsi="Times New Roman" w:cs="Times New Roman"/>
                <w:b/>
                <w:color w:val="auto"/>
                <w:szCs w:val="21"/>
                <w:highlight w:val="none"/>
                <w:shd w:val="clear" w:color="auto" w:fill="FFFFFF"/>
              </w:rPr>
              <w:t>正/负效应</w:t>
            </w:r>
          </w:p>
        </w:tc>
        <w:tc>
          <w:tcPr>
            <w:tcW w:w="386" w:type="pct"/>
            <w:vAlign w:val="center"/>
          </w:tcPr>
          <w:p w14:paraId="0BCD381E">
            <w:pPr>
              <w:jc w:val="center"/>
              <w:rPr>
                <w:rFonts w:hint="default" w:ascii="Times New Roman" w:hAnsi="Times New Roman" w:cs="Times New Roman"/>
                <w:b/>
                <w:color w:val="auto"/>
                <w:szCs w:val="21"/>
                <w:highlight w:val="none"/>
                <w:shd w:val="clear" w:color="auto" w:fill="FFFFFF"/>
              </w:rPr>
            </w:pPr>
            <w:r>
              <w:rPr>
                <w:rFonts w:hint="default" w:ascii="Times New Roman" w:hAnsi="Times New Roman" w:cs="Times New Roman"/>
                <w:b/>
                <w:color w:val="auto"/>
                <w:szCs w:val="21"/>
                <w:highlight w:val="none"/>
                <w:shd w:val="clear" w:color="auto" w:fill="FFFFFF"/>
              </w:rPr>
              <w:t>影响程度</w:t>
            </w:r>
          </w:p>
        </w:tc>
        <w:tc>
          <w:tcPr>
            <w:tcW w:w="348" w:type="pct"/>
            <w:vAlign w:val="center"/>
          </w:tcPr>
          <w:p w14:paraId="5AEE8C65">
            <w:pPr>
              <w:jc w:val="center"/>
              <w:rPr>
                <w:rFonts w:hint="default" w:ascii="Times New Roman" w:hAnsi="Times New Roman" w:cs="Times New Roman"/>
                <w:b/>
                <w:color w:val="auto"/>
                <w:szCs w:val="21"/>
                <w:highlight w:val="none"/>
                <w:shd w:val="clear" w:color="auto" w:fill="FFFFFF"/>
              </w:rPr>
            </w:pPr>
            <w:r>
              <w:rPr>
                <w:rFonts w:hint="default" w:ascii="Times New Roman" w:hAnsi="Times New Roman" w:cs="Times New Roman"/>
                <w:b/>
                <w:color w:val="auto"/>
                <w:szCs w:val="21"/>
                <w:highlight w:val="none"/>
                <w:shd w:val="clear" w:color="auto" w:fill="FFFFFF"/>
              </w:rPr>
              <w:t>影响时段</w:t>
            </w:r>
          </w:p>
        </w:tc>
        <w:tc>
          <w:tcPr>
            <w:tcW w:w="347" w:type="pct"/>
            <w:vAlign w:val="center"/>
          </w:tcPr>
          <w:p w14:paraId="0C8CF30F">
            <w:pPr>
              <w:jc w:val="center"/>
              <w:rPr>
                <w:rFonts w:hint="default" w:ascii="Times New Roman" w:hAnsi="Times New Roman" w:cs="Times New Roman"/>
                <w:b/>
                <w:color w:val="auto"/>
                <w:szCs w:val="21"/>
                <w:highlight w:val="none"/>
                <w:shd w:val="clear" w:color="auto" w:fill="FFFFFF"/>
              </w:rPr>
            </w:pPr>
            <w:r>
              <w:rPr>
                <w:rFonts w:hint="default" w:ascii="Times New Roman" w:hAnsi="Times New Roman" w:cs="Times New Roman"/>
                <w:b/>
                <w:color w:val="auto"/>
                <w:szCs w:val="21"/>
                <w:highlight w:val="none"/>
                <w:shd w:val="clear" w:color="auto" w:fill="FFFFFF"/>
              </w:rPr>
              <w:t>是否可逆</w:t>
            </w:r>
          </w:p>
        </w:tc>
      </w:tr>
      <w:tr w14:paraId="190F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Align w:val="center"/>
          </w:tcPr>
          <w:p w14:paraId="5F1D64F3">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生态环境状况</w:t>
            </w:r>
          </w:p>
        </w:tc>
        <w:tc>
          <w:tcPr>
            <w:tcW w:w="3307" w:type="pct"/>
            <w:gridSpan w:val="2"/>
            <w:vAlign w:val="center"/>
          </w:tcPr>
          <w:p w14:paraId="05B69E0A">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规划实施对区域植被覆盖度、生物多样性及生态系统稳定性产生一定影响</w:t>
            </w:r>
          </w:p>
        </w:tc>
        <w:tc>
          <w:tcPr>
            <w:tcW w:w="247" w:type="pct"/>
            <w:vAlign w:val="center"/>
          </w:tcPr>
          <w:p w14:paraId="49D99E5A">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3C9CCFCB">
            <w:pPr>
              <w:jc w:val="center"/>
              <w:rPr>
                <w:rFonts w:hint="default" w:ascii="Times New Roman" w:hAnsi="Times New Roman" w:cs="Times New Roman"/>
                <w:color w:val="auto"/>
                <w:szCs w:val="21"/>
                <w:highlight w:val="none"/>
                <w:shd w:val="clear" w:color="auto" w:fill="FFFFFF"/>
                <w:lang w:val="en-GB"/>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66DC643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2FFD0758">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4256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restart"/>
            <w:vAlign w:val="center"/>
          </w:tcPr>
          <w:p w14:paraId="013D8F62">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植物</w:t>
            </w:r>
          </w:p>
        </w:tc>
        <w:tc>
          <w:tcPr>
            <w:tcW w:w="433" w:type="pct"/>
            <w:vAlign w:val="center"/>
          </w:tcPr>
          <w:p w14:paraId="31B246CB">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规划实施期</w:t>
            </w:r>
          </w:p>
        </w:tc>
        <w:tc>
          <w:tcPr>
            <w:tcW w:w="2874" w:type="pct"/>
            <w:vAlign w:val="center"/>
          </w:tcPr>
          <w:p w14:paraId="1F52A953">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临时占地区植物的砍伐影响植物数量、施工期挖填土及材料运输产生的粉尘影响植物生长</w:t>
            </w:r>
          </w:p>
        </w:tc>
        <w:tc>
          <w:tcPr>
            <w:tcW w:w="247" w:type="pct"/>
            <w:vAlign w:val="center"/>
          </w:tcPr>
          <w:p w14:paraId="41369062">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654DDCC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771B7FED">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7507ABCB">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7830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0B5172B8">
            <w:pPr>
              <w:jc w:val="center"/>
              <w:rPr>
                <w:rFonts w:hint="default" w:ascii="Times New Roman" w:hAnsi="Times New Roman" w:cs="Times New Roman"/>
                <w:color w:val="auto"/>
                <w:szCs w:val="21"/>
                <w:highlight w:val="none"/>
                <w:shd w:val="clear" w:color="auto" w:fill="FFFFFF"/>
              </w:rPr>
            </w:pPr>
          </w:p>
        </w:tc>
        <w:tc>
          <w:tcPr>
            <w:tcW w:w="433" w:type="pct"/>
            <w:vAlign w:val="center"/>
          </w:tcPr>
          <w:p w14:paraId="4EAABE08">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规划实施后</w:t>
            </w:r>
          </w:p>
        </w:tc>
        <w:tc>
          <w:tcPr>
            <w:tcW w:w="2874" w:type="pct"/>
            <w:vAlign w:val="center"/>
          </w:tcPr>
          <w:p w14:paraId="074913CC">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车辆产生的少量废气、游客随手丢弃的垃圾、游客踩踏会间接影响植物的生长</w:t>
            </w:r>
          </w:p>
        </w:tc>
        <w:tc>
          <w:tcPr>
            <w:tcW w:w="247" w:type="pct"/>
            <w:vAlign w:val="center"/>
          </w:tcPr>
          <w:p w14:paraId="19893940">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4066124F">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26D9342C">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75B33CCB">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25AB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restart"/>
            <w:vAlign w:val="center"/>
          </w:tcPr>
          <w:p w14:paraId="6D8E8F0F">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动物</w:t>
            </w:r>
          </w:p>
        </w:tc>
        <w:tc>
          <w:tcPr>
            <w:tcW w:w="433" w:type="pct"/>
            <w:vAlign w:val="center"/>
          </w:tcPr>
          <w:p w14:paraId="11131D13">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规划实施期</w:t>
            </w:r>
          </w:p>
        </w:tc>
        <w:tc>
          <w:tcPr>
            <w:tcW w:w="2874" w:type="pct"/>
            <w:vAlign w:val="center"/>
          </w:tcPr>
          <w:p w14:paraId="254F27AA">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施工损伤、施工震动、施工噪声可能会对评价区内的常见</w:t>
            </w:r>
            <w:r>
              <w:rPr>
                <w:rFonts w:hint="default" w:ascii="Times New Roman" w:hAnsi="Times New Roman" w:cs="Times New Roman"/>
                <w:color w:val="auto"/>
                <w:szCs w:val="21"/>
                <w:highlight w:val="none"/>
              </w:rPr>
              <w:t>种类和</w:t>
            </w:r>
            <w:r>
              <w:rPr>
                <w:rFonts w:hint="default" w:ascii="Times New Roman" w:hAnsi="Times New Roman" w:cs="Times New Roman"/>
                <w:color w:val="auto"/>
                <w:szCs w:val="21"/>
                <w:highlight w:val="none"/>
                <w:shd w:val="clear" w:color="auto" w:fill="FFFFFF"/>
              </w:rPr>
              <w:t>数量产生影响</w:t>
            </w:r>
          </w:p>
        </w:tc>
        <w:tc>
          <w:tcPr>
            <w:tcW w:w="247" w:type="pct"/>
            <w:vAlign w:val="center"/>
          </w:tcPr>
          <w:p w14:paraId="68B15C5A">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7730E05A">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291BDFF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2D6C0FED">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w:t>
            </w:r>
          </w:p>
        </w:tc>
      </w:tr>
      <w:tr w14:paraId="0588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49171468">
            <w:pPr>
              <w:jc w:val="center"/>
              <w:rPr>
                <w:rFonts w:hint="default" w:ascii="Times New Roman" w:hAnsi="Times New Roman" w:cs="Times New Roman"/>
                <w:color w:val="auto"/>
                <w:szCs w:val="21"/>
                <w:highlight w:val="none"/>
                <w:shd w:val="clear" w:color="auto" w:fill="FFFFFF"/>
              </w:rPr>
            </w:pPr>
          </w:p>
        </w:tc>
        <w:tc>
          <w:tcPr>
            <w:tcW w:w="433" w:type="pct"/>
            <w:vMerge w:val="restart"/>
            <w:vAlign w:val="center"/>
          </w:tcPr>
          <w:p w14:paraId="1576AE9A">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运营期</w:t>
            </w:r>
          </w:p>
        </w:tc>
        <w:tc>
          <w:tcPr>
            <w:tcW w:w="2874" w:type="pct"/>
            <w:vAlign w:val="center"/>
          </w:tcPr>
          <w:p w14:paraId="0515151A">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永久占地造成部分动物活动空间减少</w:t>
            </w:r>
          </w:p>
        </w:tc>
        <w:tc>
          <w:tcPr>
            <w:tcW w:w="247" w:type="pct"/>
            <w:vAlign w:val="center"/>
          </w:tcPr>
          <w:p w14:paraId="14D7410B">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20E6F81F">
            <w:pPr>
              <w:jc w:val="center"/>
              <w:rPr>
                <w:rFonts w:hint="default" w:ascii="Times New Roman" w:hAnsi="Times New Roman" w:cs="Times New Roman"/>
                <w:color w:val="auto"/>
                <w:szCs w:val="21"/>
                <w:highlight w:val="none"/>
                <w:shd w:val="clear" w:color="auto" w:fill="FFFFFF"/>
                <w:lang w:val="en-GB"/>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57C98EC8">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6A778078">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06EC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5F80B899">
            <w:pPr>
              <w:jc w:val="center"/>
              <w:rPr>
                <w:rFonts w:hint="default" w:ascii="Times New Roman" w:hAnsi="Times New Roman" w:cs="Times New Roman"/>
                <w:color w:val="auto"/>
                <w:szCs w:val="21"/>
                <w:highlight w:val="none"/>
                <w:shd w:val="clear" w:color="auto" w:fill="FFFFFF"/>
              </w:rPr>
            </w:pPr>
          </w:p>
        </w:tc>
        <w:tc>
          <w:tcPr>
            <w:tcW w:w="433" w:type="pct"/>
            <w:vMerge w:val="continue"/>
            <w:vAlign w:val="center"/>
          </w:tcPr>
          <w:p w14:paraId="6836BEF7">
            <w:pPr>
              <w:rPr>
                <w:rFonts w:hint="default" w:ascii="Times New Roman" w:hAnsi="Times New Roman" w:cs="Times New Roman"/>
                <w:color w:val="auto"/>
                <w:szCs w:val="21"/>
                <w:highlight w:val="none"/>
                <w:shd w:val="clear" w:color="auto" w:fill="FFFFFF"/>
              </w:rPr>
            </w:pPr>
          </w:p>
        </w:tc>
        <w:tc>
          <w:tcPr>
            <w:tcW w:w="2874" w:type="pct"/>
            <w:vAlign w:val="center"/>
          </w:tcPr>
          <w:p w14:paraId="1748ED76">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游客活动、车辆噪声、生活垃圾等影响评价区内动物活动等</w:t>
            </w:r>
          </w:p>
        </w:tc>
        <w:tc>
          <w:tcPr>
            <w:tcW w:w="247" w:type="pct"/>
            <w:vAlign w:val="center"/>
          </w:tcPr>
          <w:p w14:paraId="63CA98A3">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6E4E9E12">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59131837">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4C94E39A">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7CF5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restart"/>
            <w:vAlign w:val="center"/>
          </w:tcPr>
          <w:p w14:paraId="3464F5E5">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景观生态体系</w:t>
            </w:r>
          </w:p>
        </w:tc>
        <w:tc>
          <w:tcPr>
            <w:tcW w:w="433" w:type="pct"/>
            <w:vAlign w:val="center"/>
          </w:tcPr>
          <w:p w14:paraId="203A103C">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规划实施期</w:t>
            </w:r>
          </w:p>
        </w:tc>
        <w:tc>
          <w:tcPr>
            <w:tcW w:w="2874" w:type="pct"/>
            <w:vAlign w:val="center"/>
          </w:tcPr>
          <w:p w14:paraId="6E8D908E">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施工区可能对景区的草地景观、乔木景观等生态系统造成影响</w:t>
            </w:r>
          </w:p>
        </w:tc>
        <w:tc>
          <w:tcPr>
            <w:tcW w:w="247" w:type="pct"/>
            <w:vAlign w:val="center"/>
          </w:tcPr>
          <w:p w14:paraId="47EF91B8">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4CB61CAE">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01771B1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515675E7">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2CC4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03D661CC">
            <w:pPr>
              <w:jc w:val="center"/>
              <w:rPr>
                <w:rFonts w:hint="default" w:ascii="Times New Roman" w:hAnsi="Times New Roman" w:cs="Times New Roman"/>
                <w:color w:val="auto"/>
                <w:szCs w:val="21"/>
                <w:highlight w:val="none"/>
                <w:shd w:val="clear" w:color="auto" w:fill="FFFFFF"/>
              </w:rPr>
            </w:pPr>
          </w:p>
        </w:tc>
        <w:tc>
          <w:tcPr>
            <w:tcW w:w="433" w:type="pct"/>
            <w:vAlign w:val="center"/>
          </w:tcPr>
          <w:p w14:paraId="5272807C">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运营期</w:t>
            </w:r>
          </w:p>
        </w:tc>
        <w:tc>
          <w:tcPr>
            <w:tcW w:w="2874" w:type="pct"/>
            <w:vAlign w:val="center"/>
          </w:tcPr>
          <w:p w14:paraId="0DB809CA">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工程永久占地的影响，人工建筑景观优势度增加，部分自然景观优势度减少</w:t>
            </w:r>
          </w:p>
        </w:tc>
        <w:tc>
          <w:tcPr>
            <w:tcW w:w="247" w:type="pct"/>
            <w:vAlign w:val="center"/>
          </w:tcPr>
          <w:p w14:paraId="685C3DB5">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35B832DA">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7683B6D3">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3609B07E">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1F2B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restart"/>
            <w:vAlign w:val="center"/>
          </w:tcPr>
          <w:p w14:paraId="0EF0039C">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土地利用</w:t>
            </w:r>
          </w:p>
        </w:tc>
        <w:tc>
          <w:tcPr>
            <w:tcW w:w="3307" w:type="pct"/>
            <w:gridSpan w:val="2"/>
            <w:vAlign w:val="center"/>
          </w:tcPr>
          <w:p w14:paraId="28C72634">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永久改变土地利用类型，部分</w:t>
            </w:r>
            <w:r>
              <w:rPr>
                <w:rFonts w:hint="default" w:ascii="Times New Roman" w:hAnsi="Times New Roman" w:cs="Times New Roman"/>
                <w:color w:val="auto"/>
                <w:szCs w:val="21"/>
                <w:highlight w:val="none"/>
                <w:shd w:val="clear" w:color="auto" w:fill="FFFFFF"/>
                <w:lang w:val="en-US" w:eastAsia="zh-CN"/>
              </w:rPr>
              <w:t>农用地</w:t>
            </w:r>
            <w:r>
              <w:rPr>
                <w:rFonts w:hint="default" w:ascii="Times New Roman" w:hAnsi="Times New Roman" w:cs="Times New Roman"/>
                <w:color w:val="auto"/>
                <w:szCs w:val="21"/>
                <w:highlight w:val="none"/>
                <w:shd w:val="clear" w:color="auto" w:fill="FFFFFF"/>
              </w:rPr>
              <w:t>转化为建设用地，生态用地减少</w:t>
            </w:r>
          </w:p>
        </w:tc>
        <w:tc>
          <w:tcPr>
            <w:tcW w:w="247" w:type="pct"/>
            <w:vAlign w:val="center"/>
          </w:tcPr>
          <w:p w14:paraId="7B116B02">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66432EED">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3A6C160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5F962C3D">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1602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7505E4F6">
            <w:pPr>
              <w:jc w:val="center"/>
              <w:rPr>
                <w:rFonts w:hint="default" w:ascii="Times New Roman" w:hAnsi="Times New Roman" w:cs="Times New Roman"/>
                <w:color w:val="auto"/>
                <w:szCs w:val="21"/>
                <w:highlight w:val="none"/>
                <w:shd w:val="clear" w:color="auto" w:fill="FFFFFF"/>
              </w:rPr>
            </w:pPr>
          </w:p>
        </w:tc>
        <w:tc>
          <w:tcPr>
            <w:tcW w:w="3307" w:type="pct"/>
            <w:gridSpan w:val="2"/>
            <w:vAlign w:val="center"/>
          </w:tcPr>
          <w:p w14:paraId="7E2DB3F7">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大幅度提高土地单位面积的产值</w:t>
            </w:r>
          </w:p>
        </w:tc>
        <w:tc>
          <w:tcPr>
            <w:tcW w:w="247" w:type="pct"/>
            <w:vAlign w:val="center"/>
          </w:tcPr>
          <w:p w14:paraId="3A5DFBA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B</w:t>
            </w:r>
          </w:p>
        </w:tc>
        <w:tc>
          <w:tcPr>
            <w:tcW w:w="386" w:type="pct"/>
            <w:vAlign w:val="center"/>
          </w:tcPr>
          <w:p w14:paraId="428BDEF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0AF513B5">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7701AACB">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0404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Align w:val="center"/>
          </w:tcPr>
          <w:p w14:paraId="69091EB8">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水资源</w:t>
            </w:r>
          </w:p>
        </w:tc>
        <w:tc>
          <w:tcPr>
            <w:tcW w:w="3307" w:type="pct"/>
            <w:gridSpan w:val="2"/>
            <w:vAlign w:val="center"/>
          </w:tcPr>
          <w:p w14:paraId="1DEC6CFC">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供水量增加导致水资源减少</w:t>
            </w:r>
          </w:p>
        </w:tc>
        <w:tc>
          <w:tcPr>
            <w:tcW w:w="247" w:type="pct"/>
            <w:vAlign w:val="center"/>
          </w:tcPr>
          <w:p w14:paraId="121DC7DB">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1B88DAE7">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6C428830">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4F6F831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599D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restart"/>
            <w:vAlign w:val="center"/>
          </w:tcPr>
          <w:p w14:paraId="4579814B">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水环境</w:t>
            </w:r>
          </w:p>
        </w:tc>
        <w:tc>
          <w:tcPr>
            <w:tcW w:w="433" w:type="pct"/>
            <w:vAlign w:val="center"/>
          </w:tcPr>
          <w:p w14:paraId="6161E28D">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规划实施期</w:t>
            </w:r>
          </w:p>
        </w:tc>
        <w:tc>
          <w:tcPr>
            <w:tcW w:w="2874" w:type="pct"/>
            <w:vAlign w:val="center"/>
          </w:tcPr>
          <w:p w14:paraId="033D1FEE">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汛期施工、施工生产废水及施工生活污水无序排放会增加地表水污染负荷</w:t>
            </w:r>
          </w:p>
        </w:tc>
        <w:tc>
          <w:tcPr>
            <w:tcW w:w="247" w:type="pct"/>
            <w:vAlign w:val="center"/>
          </w:tcPr>
          <w:p w14:paraId="5AFEA5BB">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7628E095">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193CA952">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47386590">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28B1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7A7C1B73">
            <w:pPr>
              <w:jc w:val="center"/>
              <w:rPr>
                <w:rFonts w:hint="default" w:ascii="Times New Roman" w:hAnsi="Times New Roman" w:cs="Times New Roman"/>
                <w:color w:val="auto"/>
                <w:szCs w:val="21"/>
                <w:highlight w:val="none"/>
                <w:shd w:val="clear" w:color="auto" w:fill="FFFFFF"/>
              </w:rPr>
            </w:pPr>
          </w:p>
        </w:tc>
        <w:tc>
          <w:tcPr>
            <w:tcW w:w="433" w:type="pct"/>
            <w:vAlign w:val="center"/>
          </w:tcPr>
          <w:p w14:paraId="06360FDB">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运营期</w:t>
            </w:r>
          </w:p>
        </w:tc>
        <w:tc>
          <w:tcPr>
            <w:tcW w:w="2874" w:type="pct"/>
            <w:vAlign w:val="center"/>
          </w:tcPr>
          <w:p w14:paraId="630AE873">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生活污水分散收集，集中处理，排至</w:t>
            </w:r>
            <w:r>
              <w:rPr>
                <w:rFonts w:hint="default" w:ascii="Times New Roman" w:hAnsi="Times New Roman" w:cs="Times New Roman"/>
                <w:color w:val="auto"/>
                <w:szCs w:val="21"/>
                <w:highlight w:val="none"/>
                <w:shd w:val="clear" w:color="auto" w:fill="FFFFFF"/>
                <w:lang w:val="en-US" w:eastAsia="zh-CN"/>
              </w:rPr>
              <w:t>规划区建设的一体化污水处理设施</w:t>
            </w:r>
            <w:r>
              <w:rPr>
                <w:rFonts w:hint="default" w:ascii="Times New Roman" w:hAnsi="Times New Roman" w:cs="Times New Roman"/>
                <w:color w:val="auto"/>
                <w:szCs w:val="21"/>
                <w:highlight w:val="none"/>
                <w:shd w:val="clear" w:color="auto" w:fill="FFFFFF"/>
              </w:rPr>
              <w:t>处理达标后排放</w:t>
            </w:r>
          </w:p>
        </w:tc>
        <w:tc>
          <w:tcPr>
            <w:tcW w:w="247" w:type="pct"/>
            <w:vAlign w:val="center"/>
          </w:tcPr>
          <w:p w14:paraId="34845DD8">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5510E7AE">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0494F19B">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6105704B">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03C7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restart"/>
            <w:vAlign w:val="center"/>
          </w:tcPr>
          <w:p w14:paraId="0EF4742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大气环境</w:t>
            </w:r>
          </w:p>
        </w:tc>
        <w:tc>
          <w:tcPr>
            <w:tcW w:w="433" w:type="pct"/>
            <w:vAlign w:val="center"/>
          </w:tcPr>
          <w:p w14:paraId="5318FACC">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规划实施期</w:t>
            </w:r>
          </w:p>
        </w:tc>
        <w:tc>
          <w:tcPr>
            <w:tcW w:w="2874" w:type="pct"/>
            <w:vAlign w:val="center"/>
          </w:tcPr>
          <w:p w14:paraId="005A3CE7">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施工扬尘、施工机械燃油废气等对大气环境造成一定的污染</w:t>
            </w:r>
          </w:p>
        </w:tc>
        <w:tc>
          <w:tcPr>
            <w:tcW w:w="247" w:type="pct"/>
            <w:vAlign w:val="center"/>
          </w:tcPr>
          <w:p w14:paraId="20DF26C3">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2BDECD33">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1D72F4E5">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5E29C71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1FDD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185129BF">
            <w:pPr>
              <w:jc w:val="center"/>
              <w:rPr>
                <w:rFonts w:hint="default" w:ascii="Times New Roman" w:hAnsi="Times New Roman" w:cs="Times New Roman"/>
                <w:color w:val="auto"/>
                <w:szCs w:val="21"/>
                <w:highlight w:val="none"/>
                <w:shd w:val="clear" w:color="auto" w:fill="FFFFFF"/>
              </w:rPr>
            </w:pPr>
          </w:p>
        </w:tc>
        <w:tc>
          <w:tcPr>
            <w:tcW w:w="433" w:type="pct"/>
            <w:vAlign w:val="center"/>
          </w:tcPr>
          <w:p w14:paraId="7CBB5143">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运营期</w:t>
            </w:r>
          </w:p>
        </w:tc>
        <w:tc>
          <w:tcPr>
            <w:tcW w:w="2874" w:type="pct"/>
            <w:vAlign w:val="center"/>
          </w:tcPr>
          <w:p w14:paraId="39295F1E">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接待设施餐饮油烟、汽车尾气、扬尘及垃圾转运站恶臭等对大气环境造成一定影响</w:t>
            </w:r>
          </w:p>
        </w:tc>
        <w:tc>
          <w:tcPr>
            <w:tcW w:w="247" w:type="pct"/>
            <w:vAlign w:val="center"/>
          </w:tcPr>
          <w:p w14:paraId="0332CB68">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4EB20F8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200A711C">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4BA1F917">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2FBD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restart"/>
            <w:vAlign w:val="center"/>
          </w:tcPr>
          <w:p w14:paraId="1BA231CF">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声环境</w:t>
            </w:r>
          </w:p>
        </w:tc>
        <w:tc>
          <w:tcPr>
            <w:tcW w:w="433" w:type="pct"/>
            <w:vAlign w:val="center"/>
          </w:tcPr>
          <w:p w14:paraId="385D9A48">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规划实施期</w:t>
            </w:r>
          </w:p>
        </w:tc>
        <w:tc>
          <w:tcPr>
            <w:tcW w:w="2874" w:type="pct"/>
            <w:vAlign w:val="center"/>
          </w:tcPr>
          <w:p w14:paraId="79F48BF4">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施工噪声对临近居民生活工作及动物栖息造成一定影响</w:t>
            </w:r>
          </w:p>
        </w:tc>
        <w:tc>
          <w:tcPr>
            <w:tcW w:w="247" w:type="pct"/>
            <w:vAlign w:val="center"/>
          </w:tcPr>
          <w:p w14:paraId="35A9FAA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550127BD">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285E666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488BA170">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5830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03334974">
            <w:pPr>
              <w:jc w:val="center"/>
              <w:rPr>
                <w:rFonts w:hint="default" w:ascii="Times New Roman" w:hAnsi="Times New Roman" w:cs="Times New Roman"/>
                <w:color w:val="auto"/>
                <w:szCs w:val="21"/>
                <w:highlight w:val="none"/>
                <w:shd w:val="clear" w:color="auto" w:fill="FFFFFF"/>
              </w:rPr>
            </w:pPr>
          </w:p>
        </w:tc>
        <w:tc>
          <w:tcPr>
            <w:tcW w:w="433" w:type="pct"/>
            <w:vAlign w:val="center"/>
          </w:tcPr>
          <w:p w14:paraId="6195A8A0">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运营期</w:t>
            </w:r>
          </w:p>
        </w:tc>
        <w:tc>
          <w:tcPr>
            <w:tcW w:w="2874" w:type="pct"/>
            <w:vAlign w:val="center"/>
          </w:tcPr>
          <w:p w14:paraId="4572F8E4">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交通噪声、社会生活噪声对声环境的影响</w:t>
            </w:r>
          </w:p>
        </w:tc>
        <w:tc>
          <w:tcPr>
            <w:tcW w:w="247" w:type="pct"/>
            <w:vAlign w:val="center"/>
          </w:tcPr>
          <w:p w14:paraId="66C3097C">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634FBEE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055B6A21">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1F032F0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7EB8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restart"/>
            <w:vAlign w:val="center"/>
          </w:tcPr>
          <w:p w14:paraId="4A022B4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固废影响</w:t>
            </w:r>
          </w:p>
        </w:tc>
        <w:tc>
          <w:tcPr>
            <w:tcW w:w="433" w:type="pct"/>
            <w:vAlign w:val="center"/>
          </w:tcPr>
          <w:p w14:paraId="50429D67">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规划实施期</w:t>
            </w:r>
          </w:p>
        </w:tc>
        <w:tc>
          <w:tcPr>
            <w:tcW w:w="2874" w:type="pct"/>
            <w:vAlign w:val="center"/>
          </w:tcPr>
          <w:p w14:paraId="269D601F">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废弃土石方、建筑垃圾和施工人员生活垃圾不能合理处置的情况下，对土壤环境造成一定影响</w:t>
            </w:r>
          </w:p>
        </w:tc>
        <w:tc>
          <w:tcPr>
            <w:tcW w:w="247" w:type="pct"/>
            <w:vAlign w:val="center"/>
          </w:tcPr>
          <w:p w14:paraId="7E7D47B8">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27356278">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460F5C8D">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565E679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2C1D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10E72DAD">
            <w:pPr>
              <w:jc w:val="center"/>
              <w:rPr>
                <w:rFonts w:hint="default" w:ascii="Times New Roman" w:hAnsi="Times New Roman" w:cs="Times New Roman"/>
                <w:color w:val="auto"/>
                <w:szCs w:val="21"/>
                <w:highlight w:val="none"/>
                <w:shd w:val="clear" w:color="auto" w:fill="FFFFFF"/>
              </w:rPr>
            </w:pPr>
          </w:p>
        </w:tc>
        <w:tc>
          <w:tcPr>
            <w:tcW w:w="433" w:type="pct"/>
            <w:vAlign w:val="center"/>
          </w:tcPr>
          <w:p w14:paraId="0FCFF056">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运营期</w:t>
            </w:r>
          </w:p>
        </w:tc>
        <w:tc>
          <w:tcPr>
            <w:tcW w:w="2874" w:type="pct"/>
            <w:vAlign w:val="center"/>
          </w:tcPr>
          <w:p w14:paraId="3743C658">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生活垃圾</w:t>
            </w:r>
            <w:r>
              <w:rPr>
                <w:rFonts w:hint="default" w:ascii="Times New Roman" w:hAnsi="Times New Roman" w:cs="Times New Roman"/>
                <w:color w:val="auto"/>
                <w:szCs w:val="21"/>
                <w:highlight w:val="none"/>
                <w:shd w:val="clear" w:color="auto" w:fill="FFFFFF"/>
                <w:lang w:val="en-US" w:eastAsia="zh-CN"/>
              </w:rPr>
              <w:t>经垃圾桶</w:t>
            </w:r>
            <w:r>
              <w:rPr>
                <w:rFonts w:hint="default" w:ascii="Times New Roman" w:hAnsi="Times New Roman" w:cs="Times New Roman"/>
                <w:color w:val="auto"/>
                <w:szCs w:val="21"/>
                <w:highlight w:val="none"/>
                <w:shd w:val="clear" w:color="auto" w:fill="FFFFFF"/>
              </w:rPr>
              <w:t>统一收集</w:t>
            </w:r>
            <w:r>
              <w:rPr>
                <w:rFonts w:hint="default" w:ascii="Times New Roman" w:hAnsi="Times New Roman" w:cs="Times New Roman"/>
                <w:color w:val="auto"/>
                <w:highlight w:val="none"/>
              </w:rPr>
              <w:t>由当地环卫部门统一清运处理</w:t>
            </w:r>
          </w:p>
        </w:tc>
        <w:tc>
          <w:tcPr>
            <w:tcW w:w="247" w:type="pct"/>
            <w:vAlign w:val="center"/>
          </w:tcPr>
          <w:p w14:paraId="3E1CF32A">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77A959E3">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36EA4C2E">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55795E25">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6428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restart"/>
            <w:vAlign w:val="center"/>
          </w:tcPr>
          <w:p w14:paraId="075D995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社会环境</w:t>
            </w:r>
          </w:p>
        </w:tc>
        <w:tc>
          <w:tcPr>
            <w:tcW w:w="433" w:type="pct"/>
            <w:vMerge w:val="restart"/>
            <w:vAlign w:val="center"/>
          </w:tcPr>
          <w:p w14:paraId="2CD03217">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规划实施期</w:t>
            </w:r>
          </w:p>
        </w:tc>
        <w:tc>
          <w:tcPr>
            <w:tcW w:w="2874" w:type="pct"/>
            <w:vAlign w:val="center"/>
          </w:tcPr>
          <w:p w14:paraId="4A1E5886">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施工建设需要投入大量劳动力，增加当地居民就业机会，促进区域经济发展</w:t>
            </w:r>
          </w:p>
        </w:tc>
        <w:tc>
          <w:tcPr>
            <w:tcW w:w="247" w:type="pct"/>
            <w:vAlign w:val="center"/>
          </w:tcPr>
          <w:p w14:paraId="0936E10D">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B</w:t>
            </w:r>
          </w:p>
        </w:tc>
        <w:tc>
          <w:tcPr>
            <w:tcW w:w="386" w:type="pct"/>
            <w:vAlign w:val="center"/>
          </w:tcPr>
          <w:p w14:paraId="1964776F">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3E468A48">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3333C56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154C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04B5F5F8">
            <w:pPr>
              <w:jc w:val="center"/>
              <w:rPr>
                <w:rFonts w:hint="default" w:ascii="Times New Roman" w:hAnsi="Times New Roman" w:cs="Times New Roman"/>
                <w:color w:val="auto"/>
                <w:szCs w:val="21"/>
                <w:highlight w:val="none"/>
                <w:shd w:val="clear" w:color="auto" w:fill="FFFFFF"/>
              </w:rPr>
            </w:pPr>
          </w:p>
        </w:tc>
        <w:tc>
          <w:tcPr>
            <w:tcW w:w="433" w:type="pct"/>
            <w:vMerge w:val="continue"/>
            <w:vAlign w:val="center"/>
          </w:tcPr>
          <w:p w14:paraId="53A9CFF5">
            <w:pPr>
              <w:rPr>
                <w:rFonts w:hint="default" w:ascii="Times New Roman" w:hAnsi="Times New Roman" w:cs="Times New Roman"/>
                <w:color w:val="auto"/>
                <w:szCs w:val="21"/>
                <w:highlight w:val="none"/>
                <w:shd w:val="clear" w:color="auto" w:fill="FFFFFF"/>
              </w:rPr>
            </w:pPr>
          </w:p>
        </w:tc>
        <w:tc>
          <w:tcPr>
            <w:tcW w:w="2874" w:type="pct"/>
            <w:vAlign w:val="center"/>
          </w:tcPr>
          <w:p w14:paraId="349BD1EE">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施工期土石方运输车辆、施工机械及车辆等可能造成交通堵塞、事故等</w:t>
            </w:r>
          </w:p>
        </w:tc>
        <w:tc>
          <w:tcPr>
            <w:tcW w:w="247" w:type="pct"/>
            <w:vAlign w:val="center"/>
          </w:tcPr>
          <w:p w14:paraId="58D16ED3">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75958CE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054BB4F1">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4469436A">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0D5F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209DC561">
            <w:pPr>
              <w:jc w:val="center"/>
              <w:rPr>
                <w:rFonts w:hint="default" w:ascii="Times New Roman" w:hAnsi="Times New Roman" w:cs="Times New Roman"/>
                <w:color w:val="auto"/>
                <w:szCs w:val="21"/>
                <w:highlight w:val="none"/>
                <w:shd w:val="clear" w:color="auto" w:fill="FFFFFF"/>
              </w:rPr>
            </w:pPr>
          </w:p>
        </w:tc>
        <w:tc>
          <w:tcPr>
            <w:tcW w:w="433" w:type="pct"/>
            <w:vMerge w:val="continue"/>
            <w:vAlign w:val="center"/>
          </w:tcPr>
          <w:p w14:paraId="5FA9E3AB">
            <w:pPr>
              <w:rPr>
                <w:rFonts w:hint="default" w:ascii="Times New Roman" w:hAnsi="Times New Roman" w:cs="Times New Roman"/>
                <w:color w:val="auto"/>
                <w:szCs w:val="21"/>
                <w:highlight w:val="none"/>
                <w:shd w:val="clear" w:color="auto" w:fill="FFFFFF"/>
              </w:rPr>
            </w:pPr>
          </w:p>
        </w:tc>
        <w:tc>
          <w:tcPr>
            <w:tcW w:w="2874" w:type="pct"/>
            <w:vAlign w:val="center"/>
          </w:tcPr>
          <w:p w14:paraId="138FF143">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施工期不按照工程设计范围和程序施工，可能破坏文物古迹</w:t>
            </w:r>
          </w:p>
        </w:tc>
        <w:tc>
          <w:tcPr>
            <w:tcW w:w="247" w:type="pct"/>
            <w:vAlign w:val="center"/>
          </w:tcPr>
          <w:p w14:paraId="14275E8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45620396">
            <w:pPr>
              <w:jc w:val="center"/>
              <w:rPr>
                <w:rFonts w:hint="default" w:ascii="Times New Roman" w:hAnsi="Times New Roman" w:cs="Times New Roman"/>
                <w:color w:val="auto"/>
                <w:szCs w:val="21"/>
                <w:highlight w:val="none"/>
                <w:shd w:val="clear" w:color="auto" w:fill="FFFFFF"/>
                <w:lang w:val="en-GB"/>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5C306137">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470E5F02">
            <w:pPr>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w:t>
            </w:r>
          </w:p>
        </w:tc>
      </w:tr>
      <w:tr w14:paraId="7A65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2CCA70E3">
            <w:pPr>
              <w:jc w:val="center"/>
              <w:rPr>
                <w:rFonts w:hint="default" w:ascii="Times New Roman" w:hAnsi="Times New Roman" w:cs="Times New Roman"/>
                <w:color w:val="auto"/>
                <w:szCs w:val="21"/>
                <w:highlight w:val="none"/>
                <w:shd w:val="clear" w:color="auto" w:fill="FFFFFF"/>
              </w:rPr>
            </w:pPr>
          </w:p>
        </w:tc>
        <w:tc>
          <w:tcPr>
            <w:tcW w:w="433" w:type="pct"/>
            <w:vMerge w:val="restart"/>
            <w:vAlign w:val="center"/>
          </w:tcPr>
          <w:p w14:paraId="6D598F47">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运营期</w:t>
            </w:r>
          </w:p>
        </w:tc>
        <w:tc>
          <w:tcPr>
            <w:tcW w:w="2874" w:type="pct"/>
            <w:vAlign w:val="center"/>
          </w:tcPr>
          <w:p w14:paraId="1FDA7654">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提高旅游服务质量，促进琼结县经济发展</w:t>
            </w:r>
          </w:p>
        </w:tc>
        <w:tc>
          <w:tcPr>
            <w:tcW w:w="247" w:type="pct"/>
            <w:vAlign w:val="center"/>
          </w:tcPr>
          <w:p w14:paraId="1AFA3EC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B</w:t>
            </w:r>
          </w:p>
        </w:tc>
        <w:tc>
          <w:tcPr>
            <w:tcW w:w="386" w:type="pct"/>
            <w:vAlign w:val="center"/>
          </w:tcPr>
          <w:p w14:paraId="0D46E5A2">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73E43810">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1547B13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3E7C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3264F6B6">
            <w:pPr>
              <w:jc w:val="center"/>
              <w:rPr>
                <w:rFonts w:hint="default" w:ascii="Times New Roman" w:hAnsi="Times New Roman" w:cs="Times New Roman"/>
                <w:color w:val="auto"/>
                <w:szCs w:val="21"/>
                <w:highlight w:val="none"/>
                <w:shd w:val="clear" w:color="auto" w:fill="FFFFFF"/>
              </w:rPr>
            </w:pPr>
          </w:p>
        </w:tc>
        <w:tc>
          <w:tcPr>
            <w:tcW w:w="433" w:type="pct"/>
            <w:vMerge w:val="continue"/>
            <w:vAlign w:val="center"/>
          </w:tcPr>
          <w:p w14:paraId="66597F27">
            <w:pPr>
              <w:rPr>
                <w:rFonts w:hint="default" w:ascii="Times New Roman" w:hAnsi="Times New Roman" w:cs="Times New Roman"/>
                <w:color w:val="auto"/>
                <w:szCs w:val="21"/>
                <w:highlight w:val="none"/>
                <w:shd w:val="clear" w:color="auto" w:fill="FFFFFF"/>
              </w:rPr>
            </w:pPr>
          </w:p>
        </w:tc>
        <w:tc>
          <w:tcPr>
            <w:tcW w:w="2874" w:type="pct"/>
            <w:vAlign w:val="center"/>
          </w:tcPr>
          <w:p w14:paraId="126FEF9C">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提供更多的劳动就业机会，减轻社会压力，有利于社会安定</w:t>
            </w:r>
          </w:p>
        </w:tc>
        <w:tc>
          <w:tcPr>
            <w:tcW w:w="247" w:type="pct"/>
            <w:vAlign w:val="center"/>
          </w:tcPr>
          <w:p w14:paraId="6B47F17C">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B</w:t>
            </w:r>
          </w:p>
        </w:tc>
        <w:tc>
          <w:tcPr>
            <w:tcW w:w="386" w:type="pct"/>
            <w:vAlign w:val="center"/>
          </w:tcPr>
          <w:p w14:paraId="42081CA1">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4C3F2C9F">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2E9FAB53">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41F1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45A0EC46">
            <w:pPr>
              <w:jc w:val="center"/>
              <w:rPr>
                <w:rFonts w:hint="default" w:ascii="Times New Roman" w:hAnsi="Times New Roman" w:cs="Times New Roman"/>
                <w:color w:val="auto"/>
                <w:szCs w:val="21"/>
                <w:highlight w:val="none"/>
                <w:shd w:val="clear" w:color="auto" w:fill="FFFFFF"/>
              </w:rPr>
            </w:pPr>
          </w:p>
        </w:tc>
        <w:tc>
          <w:tcPr>
            <w:tcW w:w="433" w:type="pct"/>
            <w:vMerge w:val="continue"/>
            <w:vAlign w:val="center"/>
          </w:tcPr>
          <w:p w14:paraId="49951045">
            <w:pPr>
              <w:rPr>
                <w:rFonts w:hint="default" w:ascii="Times New Roman" w:hAnsi="Times New Roman" w:cs="Times New Roman"/>
                <w:color w:val="auto"/>
                <w:szCs w:val="21"/>
                <w:highlight w:val="none"/>
                <w:shd w:val="clear" w:color="auto" w:fill="FFFFFF"/>
              </w:rPr>
            </w:pPr>
          </w:p>
        </w:tc>
        <w:tc>
          <w:tcPr>
            <w:tcW w:w="2874" w:type="pct"/>
            <w:vAlign w:val="center"/>
          </w:tcPr>
          <w:p w14:paraId="769E14E9">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改善居民生活环境，提高居民生活质量</w:t>
            </w:r>
          </w:p>
        </w:tc>
        <w:tc>
          <w:tcPr>
            <w:tcW w:w="247" w:type="pct"/>
            <w:vAlign w:val="center"/>
          </w:tcPr>
          <w:p w14:paraId="2995136D">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B</w:t>
            </w:r>
          </w:p>
        </w:tc>
        <w:tc>
          <w:tcPr>
            <w:tcW w:w="386" w:type="pct"/>
            <w:vAlign w:val="center"/>
          </w:tcPr>
          <w:p w14:paraId="5716FBE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27CB062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32B76D85">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18D7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5FCADF82">
            <w:pPr>
              <w:jc w:val="center"/>
              <w:rPr>
                <w:rFonts w:hint="default" w:ascii="Times New Roman" w:hAnsi="Times New Roman" w:cs="Times New Roman"/>
                <w:color w:val="auto"/>
                <w:szCs w:val="21"/>
                <w:highlight w:val="none"/>
                <w:shd w:val="clear" w:color="auto" w:fill="FFFFFF"/>
              </w:rPr>
            </w:pPr>
          </w:p>
        </w:tc>
        <w:tc>
          <w:tcPr>
            <w:tcW w:w="433" w:type="pct"/>
            <w:vMerge w:val="continue"/>
            <w:vAlign w:val="center"/>
          </w:tcPr>
          <w:p w14:paraId="04ED75D1">
            <w:pPr>
              <w:rPr>
                <w:rFonts w:hint="default" w:ascii="Times New Roman" w:hAnsi="Times New Roman" w:cs="Times New Roman"/>
                <w:color w:val="auto"/>
                <w:szCs w:val="21"/>
                <w:highlight w:val="none"/>
                <w:shd w:val="clear" w:color="auto" w:fill="FFFFFF"/>
              </w:rPr>
            </w:pPr>
          </w:p>
        </w:tc>
        <w:tc>
          <w:tcPr>
            <w:tcW w:w="2874" w:type="pct"/>
            <w:vAlign w:val="center"/>
          </w:tcPr>
          <w:p w14:paraId="24CD8282">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通过科学、合理开发利用文化产品，提升旅游文化内涵，繁荣当地传统文化，推动当地社会文明的整体进步</w:t>
            </w:r>
          </w:p>
        </w:tc>
        <w:tc>
          <w:tcPr>
            <w:tcW w:w="247" w:type="pct"/>
            <w:vAlign w:val="center"/>
          </w:tcPr>
          <w:p w14:paraId="7B1475D0">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B</w:t>
            </w:r>
          </w:p>
        </w:tc>
        <w:tc>
          <w:tcPr>
            <w:tcW w:w="386" w:type="pct"/>
            <w:vAlign w:val="center"/>
          </w:tcPr>
          <w:p w14:paraId="5AF89C6E">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0E960925">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2CE99A7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5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2BB1207A">
            <w:pPr>
              <w:jc w:val="center"/>
              <w:rPr>
                <w:rFonts w:hint="default" w:ascii="Times New Roman" w:hAnsi="Times New Roman" w:cs="Times New Roman"/>
                <w:color w:val="auto"/>
                <w:szCs w:val="21"/>
                <w:highlight w:val="none"/>
                <w:shd w:val="clear" w:color="auto" w:fill="FFFFFF"/>
              </w:rPr>
            </w:pPr>
          </w:p>
        </w:tc>
        <w:tc>
          <w:tcPr>
            <w:tcW w:w="433" w:type="pct"/>
            <w:vMerge w:val="continue"/>
            <w:vAlign w:val="center"/>
          </w:tcPr>
          <w:p w14:paraId="4537B439">
            <w:pPr>
              <w:rPr>
                <w:rFonts w:hint="default" w:ascii="Times New Roman" w:hAnsi="Times New Roman" w:cs="Times New Roman"/>
                <w:color w:val="auto"/>
                <w:szCs w:val="21"/>
                <w:highlight w:val="none"/>
                <w:shd w:val="clear" w:color="auto" w:fill="FFFFFF"/>
              </w:rPr>
            </w:pPr>
          </w:p>
        </w:tc>
        <w:tc>
          <w:tcPr>
            <w:tcW w:w="2874" w:type="pct"/>
            <w:vAlign w:val="center"/>
          </w:tcPr>
          <w:p w14:paraId="0509C8A0">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游客不文明游览行为可能破坏文物古迹</w:t>
            </w:r>
          </w:p>
        </w:tc>
        <w:tc>
          <w:tcPr>
            <w:tcW w:w="247" w:type="pct"/>
            <w:vAlign w:val="center"/>
          </w:tcPr>
          <w:p w14:paraId="6362546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4E4CC8B0">
            <w:pPr>
              <w:jc w:val="center"/>
              <w:rPr>
                <w:rFonts w:hint="default" w:ascii="Times New Roman" w:hAnsi="Times New Roman" w:cs="Times New Roman"/>
                <w:color w:val="auto"/>
                <w:szCs w:val="21"/>
                <w:highlight w:val="none"/>
                <w:shd w:val="clear" w:color="auto" w:fill="FFFFFF"/>
                <w:lang w:val="en-GB"/>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72BBD68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2B22345E">
            <w:pPr>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w:t>
            </w:r>
          </w:p>
        </w:tc>
      </w:tr>
      <w:tr w14:paraId="1A14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restart"/>
            <w:vAlign w:val="center"/>
          </w:tcPr>
          <w:p w14:paraId="588A1E12">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生态风险</w:t>
            </w:r>
          </w:p>
        </w:tc>
        <w:tc>
          <w:tcPr>
            <w:tcW w:w="433" w:type="pct"/>
            <w:vAlign w:val="center"/>
          </w:tcPr>
          <w:p w14:paraId="45B081D0">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火灾</w:t>
            </w:r>
          </w:p>
        </w:tc>
        <w:tc>
          <w:tcPr>
            <w:tcW w:w="2874" w:type="pct"/>
            <w:vAlign w:val="center"/>
          </w:tcPr>
          <w:p w14:paraId="1F70EA45">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 xml:space="preserve">防火意识薄弱，火源管理不严格，居民、游客不按规定用火等可能导致火灾 </w:t>
            </w:r>
          </w:p>
        </w:tc>
        <w:tc>
          <w:tcPr>
            <w:tcW w:w="247" w:type="pct"/>
            <w:vAlign w:val="center"/>
          </w:tcPr>
          <w:p w14:paraId="49D82D83">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0556C945">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6D7404E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16ECEB8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5B2F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24D2A486">
            <w:pPr>
              <w:jc w:val="center"/>
              <w:rPr>
                <w:rFonts w:hint="default" w:ascii="Times New Roman" w:hAnsi="Times New Roman" w:cs="Times New Roman"/>
                <w:color w:val="auto"/>
                <w:szCs w:val="21"/>
                <w:highlight w:val="none"/>
                <w:shd w:val="clear" w:color="auto" w:fill="FFFFFF"/>
              </w:rPr>
            </w:pPr>
          </w:p>
        </w:tc>
        <w:tc>
          <w:tcPr>
            <w:tcW w:w="433" w:type="pct"/>
            <w:vAlign w:val="center"/>
          </w:tcPr>
          <w:p w14:paraId="3FFE75C8">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外来物种</w:t>
            </w:r>
          </w:p>
          <w:p w14:paraId="1FF94FFA">
            <w:pPr>
              <w:jc w:val="left"/>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入侵</w:t>
            </w:r>
          </w:p>
        </w:tc>
        <w:tc>
          <w:tcPr>
            <w:tcW w:w="2874" w:type="pct"/>
            <w:vAlign w:val="center"/>
          </w:tcPr>
          <w:p w14:paraId="3A7DE6E3">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携带外来物种进入度假区内或采用外地物种进行植被恢复可能导致外来物种入侵</w:t>
            </w:r>
          </w:p>
        </w:tc>
        <w:tc>
          <w:tcPr>
            <w:tcW w:w="247" w:type="pct"/>
            <w:vAlign w:val="center"/>
          </w:tcPr>
          <w:p w14:paraId="0B0F6DBB">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69F15B8C">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6B52080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450B3CFA">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204B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38CA584F">
            <w:pPr>
              <w:jc w:val="center"/>
              <w:rPr>
                <w:rFonts w:hint="default" w:ascii="Times New Roman" w:hAnsi="Times New Roman" w:cs="Times New Roman"/>
                <w:b/>
                <w:color w:val="auto"/>
                <w:szCs w:val="21"/>
                <w:highlight w:val="none"/>
                <w:shd w:val="clear" w:color="auto" w:fill="FFFFFF"/>
              </w:rPr>
            </w:pPr>
          </w:p>
        </w:tc>
        <w:tc>
          <w:tcPr>
            <w:tcW w:w="433" w:type="pct"/>
            <w:vMerge w:val="restart"/>
            <w:vAlign w:val="center"/>
          </w:tcPr>
          <w:p w14:paraId="45AAA8B0">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高山草甸</w:t>
            </w:r>
          </w:p>
        </w:tc>
        <w:tc>
          <w:tcPr>
            <w:tcW w:w="2874" w:type="pct"/>
            <w:vAlign w:val="center"/>
          </w:tcPr>
          <w:p w14:paraId="3F16478C">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规划实施期，临时占地范围草地清理导致草甸资源减少</w:t>
            </w:r>
          </w:p>
        </w:tc>
        <w:tc>
          <w:tcPr>
            <w:tcW w:w="247" w:type="pct"/>
            <w:vAlign w:val="center"/>
          </w:tcPr>
          <w:p w14:paraId="54C39701">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6E84F6B3">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7DF91C1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58B7DAA6">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0744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1E5B3A56">
            <w:pPr>
              <w:jc w:val="center"/>
              <w:rPr>
                <w:rFonts w:hint="default" w:ascii="Times New Roman" w:hAnsi="Times New Roman" w:cs="Times New Roman"/>
                <w:b/>
                <w:color w:val="auto"/>
                <w:szCs w:val="21"/>
                <w:highlight w:val="none"/>
                <w:shd w:val="clear" w:color="auto" w:fill="FFFFFF"/>
              </w:rPr>
            </w:pPr>
          </w:p>
        </w:tc>
        <w:tc>
          <w:tcPr>
            <w:tcW w:w="433" w:type="pct"/>
            <w:vMerge w:val="continue"/>
            <w:vAlign w:val="center"/>
          </w:tcPr>
          <w:p w14:paraId="2CD9B8E7">
            <w:pPr>
              <w:rPr>
                <w:rFonts w:hint="default" w:ascii="Times New Roman" w:hAnsi="Times New Roman" w:cs="Times New Roman"/>
                <w:color w:val="auto"/>
                <w:szCs w:val="21"/>
                <w:highlight w:val="none"/>
                <w:shd w:val="clear" w:color="auto" w:fill="FFFFFF"/>
              </w:rPr>
            </w:pPr>
          </w:p>
        </w:tc>
        <w:tc>
          <w:tcPr>
            <w:tcW w:w="2874" w:type="pct"/>
            <w:vAlign w:val="center"/>
          </w:tcPr>
          <w:p w14:paraId="37975095">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运营期，永久占地导致草甸资源减少</w:t>
            </w:r>
          </w:p>
        </w:tc>
        <w:tc>
          <w:tcPr>
            <w:tcW w:w="247" w:type="pct"/>
            <w:vAlign w:val="center"/>
          </w:tcPr>
          <w:p w14:paraId="42FB35BA">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3A48F2FE">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1B9ECC9F">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361CBB2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5049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5C15B3E3">
            <w:pPr>
              <w:jc w:val="center"/>
              <w:rPr>
                <w:rFonts w:hint="default" w:ascii="Times New Roman" w:hAnsi="Times New Roman" w:cs="Times New Roman"/>
                <w:b/>
                <w:color w:val="auto"/>
                <w:szCs w:val="21"/>
                <w:highlight w:val="none"/>
                <w:shd w:val="clear" w:color="auto" w:fill="FFFFFF"/>
              </w:rPr>
            </w:pPr>
          </w:p>
        </w:tc>
        <w:tc>
          <w:tcPr>
            <w:tcW w:w="433" w:type="pct"/>
            <w:vAlign w:val="center"/>
          </w:tcPr>
          <w:p w14:paraId="47A30479">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地质灾害隐患点</w:t>
            </w:r>
          </w:p>
        </w:tc>
        <w:tc>
          <w:tcPr>
            <w:tcW w:w="2874" w:type="pct"/>
            <w:vAlign w:val="center"/>
          </w:tcPr>
          <w:p w14:paraId="53EF7D35">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 xml:space="preserve">若不能对有灾害隐患的工程建设点采取控制措施，可能导致发生地质灾害 </w:t>
            </w:r>
          </w:p>
        </w:tc>
        <w:tc>
          <w:tcPr>
            <w:tcW w:w="247" w:type="pct"/>
            <w:vAlign w:val="center"/>
          </w:tcPr>
          <w:p w14:paraId="25A33FA2">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02CCFA7A">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0CB1DEE2">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1EC03F4D">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pacing w:val="4"/>
                <w:szCs w:val="21"/>
                <w:highlight w:val="none"/>
              </w:rPr>
              <w:t>≠</w:t>
            </w:r>
          </w:p>
        </w:tc>
      </w:tr>
      <w:tr w14:paraId="16F8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20FB2B24">
            <w:pPr>
              <w:jc w:val="center"/>
              <w:rPr>
                <w:rFonts w:hint="default" w:ascii="Times New Roman" w:hAnsi="Times New Roman" w:cs="Times New Roman"/>
                <w:b/>
                <w:color w:val="auto"/>
                <w:szCs w:val="21"/>
                <w:highlight w:val="none"/>
                <w:shd w:val="clear" w:color="auto" w:fill="FFFFFF"/>
              </w:rPr>
            </w:pPr>
          </w:p>
        </w:tc>
        <w:tc>
          <w:tcPr>
            <w:tcW w:w="433" w:type="pct"/>
            <w:vMerge w:val="restart"/>
            <w:vAlign w:val="center"/>
          </w:tcPr>
          <w:p w14:paraId="5EB2C185">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文物古迹</w:t>
            </w:r>
          </w:p>
        </w:tc>
        <w:tc>
          <w:tcPr>
            <w:tcW w:w="2874" w:type="pct"/>
            <w:vAlign w:val="center"/>
          </w:tcPr>
          <w:p w14:paraId="0AB6E310">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规划实施期不按照工程设计范围和程序施工，可能破坏文物古迹</w:t>
            </w:r>
          </w:p>
        </w:tc>
        <w:tc>
          <w:tcPr>
            <w:tcW w:w="247" w:type="pct"/>
            <w:vAlign w:val="center"/>
          </w:tcPr>
          <w:p w14:paraId="253184D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77C16C57">
            <w:pPr>
              <w:jc w:val="center"/>
              <w:rPr>
                <w:rFonts w:hint="default" w:ascii="Times New Roman" w:hAnsi="Times New Roman" w:cs="Times New Roman"/>
                <w:color w:val="auto"/>
                <w:szCs w:val="21"/>
                <w:highlight w:val="none"/>
                <w:shd w:val="clear" w:color="auto" w:fill="FFFFFF"/>
                <w:lang w:val="en-GB"/>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52662FB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Sh</w:t>
            </w:r>
          </w:p>
        </w:tc>
        <w:tc>
          <w:tcPr>
            <w:tcW w:w="347" w:type="pct"/>
            <w:vAlign w:val="center"/>
          </w:tcPr>
          <w:p w14:paraId="3540EE06">
            <w:pPr>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w:t>
            </w:r>
          </w:p>
        </w:tc>
      </w:tr>
      <w:tr w14:paraId="0336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365" w:type="pct"/>
            <w:vMerge w:val="continue"/>
            <w:vAlign w:val="center"/>
          </w:tcPr>
          <w:p w14:paraId="4962E4D4">
            <w:pPr>
              <w:jc w:val="center"/>
              <w:rPr>
                <w:rFonts w:hint="default" w:ascii="Times New Roman" w:hAnsi="Times New Roman" w:cs="Times New Roman"/>
                <w:b/>
                <w:color w:val="auto"/>
                <w:szCs w:val="21"/>
                <w:highlight w:val="none"/>
                <w:shd w:val="clear" w:color="auto" w:fill="FFFFFF"/>
              </w:rPr>
            </w:pPr>
          </w:p>
        </w:tc>
        <w:tc>
          <w:tcPr>
            <w:tcW w:w="433" w:type="pct"/>
            <w:vMerge w:val="continue"/>
            <w:vAlign w:val="center"/>
          </w:tcPr>
          <w:p w14:paraId="71F167D6">
            <w:pPr>
              <w:rPr>
                <w:rFonts w:hint="default" w:ascii="Times New Roman" w:hAnsi="Times New Roman" w:cs="Times New Roman"/>
                <w:color w:val="auto"/>
                <w:szCs w:val="21"/>
                <w:highlight w:val="none"/>
                <w:shd w:val="clear" w:color="auto" w:fill="FFFFFF"/>
              </w:rPr>
            </w:pPr>
          </w:p>
        </w:tc>
        <w:tc>
          <w:tcPr>
            <w:tcW w:w="2874" w:type="pct"/>
            <w:vAlign w:val="center"/>
          </w:tcPr>
          <w:p w14:paraId="5529803E">
            <w:pP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运营期，游客不文明游览行为可能破坏文物古迹</w:t>
            </w:r>
          </w:p>
        </w:tc>
        <w:tc>
          <w:tcPr>
            <w:tcW w:w="247" w:type="pct"/>
            <w:vAlign w:val="center"/>
          </w:tcPr>
          <w:p w14:paraId="34299BF9">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N</w:t>
            </w:r>
          </w:p>
        </w:tc>
        <w:tc>
          <w:tcPr>
            <w:tcW w:w="386" w:type="pct"/>
            <w:vAlign w:val="center"/>
          </w:tcPr>
          <w:p w14:paraId="3B5163F1">
            <w:pPr>
              <w:jc w:val="center"/>
              <w:rPr>
                <w:rFonts w:hint="default" w:ascii="Times New Roman" w:hAnsi="Times New Roman" w:cs="Times New Roman"/>
                <w:color w:val="auto"/>
                <w:szCs w:val="21"/>
                <w:highlight w:val="none"/>
                <w:shd w:val="clear" w:color="auto" w:fill="FFFFFF"/>
                <w:lang w:val="en-GB"/>
              </w:rPr>
            </w:pPr>
            <w:r>
              <w:rPr>
                <w:rFonts w:hint="default" w:ascii="Times New Roman" w:hAnsi="Times New Roman" w:cs="Times New Roman"/>
                <w:color w:val="auto"/>
                <w:szCs w:val="21"/>
                <w:highlight w:val="none"/>
                <w:shd w:val="clear" w:color="auto" w:fill="FFFFFF"/>
                <w:lang w:val="en-GB"/>
              </w:rPr>
              <w:t>★★★</w:t>
            </w:r>
          </w:p>
        </w:tc>
        <w:tc>
          <w:tcPr>
            <w:tcW w:w="348" w:type="pct"/>
            <w:vAlign w:val="center"/>
          </w:tcPr>
          <w:p w14:paraId="3C73EF24">
            <w:pPr>
              <w:jc w:val="center"/>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shd w:val="clear" w:color="auto" w:fill="FFFFFF"/>
              </w:rPr>
              <w:t>L</w:t>
            </w:r>
          </w:p>
        </w:tc>
        <w:tc>
          <w:tcPr>
            <w:tcW w:w="347" w:type="pct"/>
            <w:vAlign w:val="center"/>
          </w:tcPr>
          <w:p w14:paraId="46AA02B5">
            <w:pPr>
              <w:jc w:val="center"/>
              <w:rPr>
                <w:rFonts w:hint="default" w:ascii="Times New Roman" w:hAnsi="Times New Roman" w:cs="Times New Roman"/>
                <w:color w:val="auto"/>
                <w:spacing w:val="4"/>
                <w:szCs w:val="21"/>
                <w:highlight w:val="none"/>
              </w:rPr>
            </w:pPr>
            <w:r>
              <w:rPr>
                <w:rFonts w:hint="default" w:ascii="Times New Roman" w:hAnsi="Times New Roman" w:cs="Times New Roman"/>
                <w:color w:val="auto"/>
                <w:spacing w:val="4"/>
                <w:szCs w:val="21"/>
                <w:highlight w:val="none"/>
              </w:rPr>
              <w:t>≠</w:t>
            </w:r>
          </w:p>
        </w:tc>
      </w:tr>
    </w:tbl>
    <w:p w14:paraId="7BFF76B5">
      <w:pPr>
        <w:pStyle w:val="728"/>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注：B -有利影响，N -不利影响；★ -较小，★★ -中等，★★★ -显著；L-长期影响，Sh- 短期影响；∽、≠分别表示影响为可逆、不可逆。</w:t>
      </w:r>
      <w:bookmarkEnd w:id="137"/>
      <w:bookmarkEnd w:id="138"/>
    </w:p>
    <w:p w14:paraId="0D44D2A0">
      <w:pPr>
        <w:pStyle w:val="728"/>
        <w:ind w:firstLine="480"/>
        <w:rPr>
          <w:rFonts w:hint="default" w:ascii="Times New Roman" w:hAnsi="Times New Roman" w:cs="Times New Roman"/>
          <w:color w:val="auto"/>
          <w:highlight w:val="none"/>
        </w:rPr>
      </w:pPr>
    </w:p>
    <w:p w14:paraId="7FB5DB8B">
      <w:pPr>
        <w:pStyle w:val="728"/>
        <w:ind w:firstLine="480"/>
        <w:rPr>
          <w:rFonts w:hint="default" w:ascii="Times New Roman" w:hAnsi="Times New Roman" w:cs="Times New Roman"/>
          <w:color w:val="auto"/>
          <w:highlight w:val="none"/>
        </w:rPr>
        <w:sectPr>
          <w:pgSz w:w="16838" w:h="11906" w:orient="landscape"/>
          <w:pgMar w:top="1474" w:right="1474" w:bottom="1474" w:left="1474" w:header="1134" w:footer="850" w:gutter="0"/>
          <w:pgBorders>
            <w:top w:val="none" w:sz="0" w:space="0"/>
            <w:left w:val="none" w:sz="0" w:space="0"/>
            <w:bottom w:val="none" w:sz="0" w:space="0"/>
            <w:right w:val="none" w:sz="0" w:space="0"/>
          </w:pgBorders>
          <w:cols w:space="720" w:num="1"/>
          <w:docGrid w:type="lines" w:linePitch="312" w:charSpace="0"/>
        </w:sectPr>
      </w:pPr>
    </w:p>
    <w:p w14:paraId="53CB6F8A">
      <w:pPr>
        <w:pStyle w:val="3"/>
        <w:spacing w:before="156" w:after="156"/>
        <w:rPr>
          <w:rFonts w:hint="default" w:ascii="Times New Roman" w:hAnsi="Times New Roman" w:cs="Times New Roman"/>
          <w:color w:val="auto"/>
          <w:highlight w:val="none"/>
        </w:rPr>
      </w:pPr>
      <w:bookmarkStart w:id="139" w:name="_Toc12822"/>
      <w:bookmarkStart w:id="140" w:name="_Toc126663247"/>
      <w:r>
        <w:rPr>
          <w:rFonts w:hint="default" w:ascii="Times New Roman" w:hAnsi="Times New Roman" w:cs="Times New Roman"/>
          <w:color w:val="auto"/>
          <w:highlight w:val="none"/>
          <w:lang w:val="en-US"/>
        </w:rPr>
        <w:t>规划环境目标与评价指标体系</w:t>
      </w:r>
      <w:bookmarkEnd w:id="139"/>
      <w:bookmarkEnd w:id="140"/>
    </w:p>
    <w:p w14:paraId="3E82D221">
      <w:pPr>
        <w:pStyle w:val="4"/>
        <w:spacing w:before="156" w:after="156"/>
        <w:rPr>
          <w:rFonts w:hint="default" w:ascii="Times New Roman" w:hAnsi="Times New Roman" w:cs="Times New Roman"/>
          <w:color w:val="auto"/>
          <w:highlight w:val="none"/>
        </w:rPr>
      </w:pPr>
      <w:bookmarkStart w:id="141" w:name="_Toc126663248"/>
      <w:r>
        <w:rPr>
          <w:rFonts w:hint="default" w:ascii="Times New Roman" w:hAnsi="Times New Roman" w:cs="Times New Roman"/>
          <w:color w:val="auto"/>
          <w:highlight w:val="none"/>
          <w:lang w:val="en-US"/>
        </w:rPr>
        <w:t>环境目标和评价指标确定原则</w:t>
      </w:r>
      <w:bookmarkEnd w:id="141"/>
    </w:p>
    <w:p w14:paraId="6BDAFB2F">
      <w:pPr>
        <w:pStyle w:val="72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1、科学客观性原则：所筛选或确定的规划评价指标具有一定的具体的科学内涵；指标以客观存在的事实为基础，客观地反映规划对区域环境质量的影响。</w:t>
      </w:r>
    </w:p>
    <w:p w14:paraId="4AE33C60">
      <w:pPr>
        <w:pStyle w:val="72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2、全面性和代表性原则：规划环境影响评价涉及面广，包括资源、社会经济和环境等多方面，要求评价指标具有全面性和代表性，以准确、简洁地表述规划方案对生态环境产生的影响。</w:t>
      </w:r>
    </w:p>
    <w:p w14:paraId="0A9003EC">
      <w:pPr>
        <w:pStyle w:val="72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3、可操作性原则：指标应力求简洁、明确、界限清楚，具有可比性。指标所要求的数据资料能够及时、准确的获得，计算、分析和评价时易于操作。</w:t>
      </w:r>
    </w:p>
    <w:p w14:paraId="51F32E6E">
      <w:pPr>
        <w:pStyle w:val="72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4、定量与定性指标相结合：规划环境影响评价中，因为某些规划项目的不确定性，有些环境影响难以定量，无法按模型去精确量化，采取定量与定性相结合，以解决单纯定量评价中数据不足的问题。</w:t>
      </w:r>
    </w:p>
    <w:p w14:paraId="7949068D">
      <w:pPr>
        <w:pStyle w:val="72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5、间接评价的原则：在规划环境影响评价中，由于缺乏详细的数据或保护对象的不确定性而无法使用与项目环评阶段相同的评价指标，利用其他指标间接反应规划实施过程中的影响。</w:t>
      </w:r>
    </w:p>
    <w:p w14:paraId="018D5234">
      <w:pPr>
        <w:pStyle w:val="72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6、相对评价的原则：部分规划项目无法确定具体项目污染源的具体位置、所处地形条件、污染物的准确排放量等，依照相同工艺、同类规模的污染源，采用估算模式估算规划项目对环境的影响程度。</w:t>
      </w:r>
    </w:p>
    <w:p w14:paraId="7FA758AD">
      <w:pPr>
        <w:pStyle w:val="72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按照上述原则，本评价按照规划环境影响评价的工作特点确定环境保护目标和评价指标。</w:t>
      </w:r>
    </w:p>
    <w:p w14:paraId="5201E6EC">
      <w:pPr>
        <w:pStyle w:val="4"/>
        <w:spacing w:before="156" w:after="156"/>
        <w:rPr>
          <w:rFonts w:hint="default" w:ascii="Times New Roman" w:hAnsi="Times New Roman" w:cs="Times New Roman"/>
          <w:color w:val="auto"/>
          <w:highlight w:val="none"/>
        </w:rPr>
      </w:pPr>
      <w:bookmarkStart w:id="142" w:name="_Toc126663249"/>
      <w:r>
        <w:rPr>
          <w:rFonts w:hint="default" w:ascii="Times New Roman" w:hAnsi="Times New Roman" w:cs="Times New Roman"/>
          <w:color w:val="auto"/>
          <w:highlight w:val="none"/>
          <w:lang w:val="en-US"/>
        </w:rPr>
        <w:t>环境目标和评价指标的确立</w:t>
      </w:r>
      <w:bookmarkEnd w:id="142"/>
    </w:p>
    <w:p w14:paraId="2E04D22A">
      <w:pPr>
        <w:pStyle w:val="72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识别的环境影响、规划可能涉及的环境敏感问题，结合本规划的主要内容及环境背景调查情况和规划目标，结合尊重自然、顺应自然、保护自然的生态文明理念，建立本规划环评的环境目标及主要评价指标体系，详见表4.2-1。</w:t>
      </w:r>
    </w:p>
    <w:p w14:paraId="52EE0B23">
      <w:pPr>
        <w:pStyle w:val="720"/>
        <w:rPr>
          <w:rFonts w:hint="default" w:ascii="Times New Roman" w:hAnsi="Times New Roman" w:cs="Times New Roman"/>
          <w:color w:val="auto"/>
          <w:szCs w:val="24"/>
          <w:highlight w:val="none"/>
        </w:rPr>
        <w:sectPr>
          <w:pgSz w:w="11906" w:h="16838"/>
          <w:pgMar w:top="1474" w:right="1474" w:bottom="1474" w:left="1474" w:header="1134" w:footer="850" w:gutter="0"/>
          <w:pgBorders>
            <w:top w:val="none" w:sz="0" w:space="0"/>
            <w:left w:val="none" w:sz="0" w:space="0"/>
            <w:bottom w:val="none" w:sz="0" w:space="0"/>
            <w:right w:val="none" w:sz="0" w:space="0"/>
          </w:pgBorders>
          <w:cols w:space="720" w:num="1"/>
          <w:docGrid w:type="lines" w:linePitch="312" w:charSpace="0"/>
        </w:sectPr>
      </w:pPr>
    </w:p>
    <w:p w14:paraId="6DDAFBCB">
      <w:pPr>
        <w:pStyle w:val="666"/>
        <w:spacing w:line="360" w:lineRule="auto"/>
        <w:ind w:firstLine="0"/>
        <w:jc w:val="center"/>
        <w:rPr>
          <w:rFonts w:hint="default" w:ascii="Times New Roman" w:hAnsi="Times New Roman" w:eastAsia="黑体" w:cs="Times New Roman"/>
          <w:color w:val="auto"/>
          <w:kern w:val="0"/>
          <w:highlight w:val="none"/>
        </w:rPr>
      </w:pPr>
      <w:r>
        <w:rPr>
          <w:rFonts w:hint="default" w:ascii="Times New Roman" w:hAnsi="Times New Roman" w:eastAsia="黑体" w:cs="Times New Roman"/>
          <w:color w:val="auto"/>
          <w:kern w:val="0"/>
          <w:highlight w:val="none"/>
        </w:rPr>
        <w:t>表4.2-1  规划环境影响评价指标体系</w:t>
      </w:r>
    </w:p>
    <w:tbl>
      <w:tblPr>
        <w:tblStyle w:val="58"/>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525"/>
        <w:gridCol w:w="1417"/>
        <w:gridCol w:w="1004"/>
        <w:gridCol w:w="4801"/>
        <w:gridCol w:w="5562"/>
      </w:tblGrid>
      <w:tr w14:paraId="004B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14:paraId="7175EC6A">
            <w:pPr>
              <w:pStyle w:val="57"/>
              <w:adjustRightInd w:val="0"/>
              <w:spacing w:after="0"/>
              <w:ind w:left="0" w:leftChars="0" w:firstLine="0" w:firstLineChars="0"/>
              <w:contextualSpacing/>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环境要素</w:t>
            </w:r>
          </w:p>
        </w:tc>
        <w:tc>
          <w:tcPr>
            <w:tcW w:w="1942" w:type="dxa"/>
            <w:gridSpan w:val="2"/>
            <w:vAlign w:val="center"/>
          </w:tcPr>
          <w:p w14:paraId="53FB8D40">
            <w:pPr>
              <w:pStyle w:val="57"/>
              <w:adjustRightInd w:val="0"/>
              <w:spacing w:after="0"/>
              <w:ind w:left="0" w:leftChars="0" w:firstLine="0" w:firstLineChars="0"/>
              <w:contextualSpacing/>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评价指标</w:t>
            </w:r>
          </w:p>
        </w:tc>
        <w:tc>
          <w:tcPr>
            <w:tcW w:w="1004" w:type="dxa"/>
            <w:vAlign w:val="center"/>
          </w:tcPr>
          <w:p w14:paraId="7466BC12">
            <w:pPr>
              <w:pStyle w:val="57"/>
              <w:adjustRightInd w:val="0"/>
              <w:spacing w:after="0"/>
              <w:ind w:left="0" w:leftChars="0" w:firstLine="0" w:firstLineChars="0"/>
              <w:contextualSpacing/>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指标</w:t>
            </w:r>
          </w:p>
          <w:p w14:paraId="2449E6FE">
            <w:pPr>
              <w:pStyle w:val="57"/>
              <w:adjustRightInd w:val="0"/>
              <w:spacing w:after="0"/>
              <w:ind w:left="0" w:leftChars="0" w:firstLine="0" w:firstLineChars="0"/>
              <w:contextualSpacing/>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属性</w:t>
            </w:r>
          </w:p>
        </w:tc>
        <w:tc>
          <w:tcPr>
            <w:tcW w:w="4801" w:type="dxa"/>
            <w:vAlign w:val="center"/>
          </w:tcPr>
          <w:p w14:paraId="422F59D7">
            <w:pPr>
              <w:pStyle w:val="57"/>
              <w:adjustRightInd w:val="0"/>
              <w:spacing w:after="0"/>
              <w:ind w:left="0" w:leftChars="0" w:firstLine="0" w:firstLineChars="0"/>
              <w:contextualSpacing/>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目标值或要求</w:t>
            </w:r>
          </w:p>
        </w:tc>
        <w:tc>
          <w:tcPr>
            <w:tcW w:w="5562" w:type="dxa"/>
            <w:vAlign w:val="center"/>
          </w:tcPr>
          <w:p w14:paraId="2D967675">
            <w:pPr>
              <w:pStyle w:val="57"/>
              <w:adjustRightInd w:val="0"/>
              <w:spacing w:after="0"/>
              <w:ind w:left="0" w:leftChars="0" w:firstLine="0" w:firstLineChars="0"/>
              <w:contextualSpacing/>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可达性分析</w:t>
            </w:r>
          </w:p>
        </w:tc>
      </w:tr>
      <w:tr w14:paraId="445F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65" w:type="dxa"/>
            <w:vMerge w:val="restart"/>
            <w:vAlign w:val="center"/>
          </w:tcPr>
          <w:p w14:paraId="5E69AA3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16B5284E">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tc>
        <w:tc>
          <w:tcPr>
            <w:tcW w:w="1942" w:type="dxa"/>
            <w:gridSpan w:val="2"/>
            <w:vAlign w:val="center"/>
          </w:tcPr>
          <w:p w14:paraId="3ED7EC09">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大气环境质量</w:t>
            </w:r>
          </w:p>
        </w:tc>
        <w:tc>
          <w:tcPr>
            <w:tcW w:w="1004" w:type="dxa"/>
            <w:vAlign w:val="center"/>
          </w:tcPr>
          <w:p w14:paraId="7C86FBD8">
            <w:pPr>
              <w:pStyle w:val="57"/>
              <w:tabs>
                <w:tab w:val="left" w:pos="2008"/>
              </w:tabs>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Align w:val="center"/>
          </w:tcPr>
          <w:p w14:paraId="617880DB">
            <w:pPr>
              <w:pStyle w:val="57"/>
              <w:adjustRightInd w:val="0"/>
              <w:spacing w:after="0"/>
              <w:ind w:left="0" w:leftChars="0" w:firstLine="0" w:firstLineChars="0"/>
              <w:contextualSpacing/>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维护区域内环境空气质量，规划区内满足《环境空气质量标准》(GB3095-20</w:t>
            </w:r>
            <w:r>
              <w:rPr>
                <w:rFonts w:hint="default" w:ascii="Times New Roman" w:hAnsi="Times New Roman" w:cs="Times New Roman"/>
                <w:color w:val="auto"/>
                <w:kern w:val="0"/>
                <w:szCs w:val="21"/>
                <w:highlight w:val="none"/>
                <w:lang w:val="en-US" w:eastAsia="zh-CN"/>
              </w:rPr>
              <w:t>26</w:t>
            </w:r>
            <w:r>
              <w:rPr>
                <w:rFonts w:hint="default" w:ascii="Times New Roman" w:hAnsi="Times New Roman" w:cs="Times New Roman"/>
                <w:color w:val="auto"/>
                <w:kern w:val="0"/>
                <w:szCs w:val="21"/>
                <w:highlight w:val="none"/>
              </w:rPr>
              <w:t>)一类功能要求。</w:t>
            </w:r>
          </w:p>
        </w:tc>
        <w:tc>
          <w:tcPr>
            <w:tcW w:w="5562" w:type="dxa"/>
            <w:vAlign w:val="center"/>
          </w:tcPr>
          <w:p w14:paraId="66F4474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可达，区域大气环境容量较大，本规划实施新增汽车尾气、餐饮油烟污染源，经采取措施治理后达标排放，不会明显改变区域环境空气质量。</w:t>
            </w:r>
          </w:p>
        </w:tc>
      </w:tr>
      <w:tr w14:paraId="2F69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5" w:type="dxa"/>
            <w:vMerge w:val="continue"/>
            <w:vAlign w:val="center"/>
          </w:tcPr>
          <w:p w14:paraId="0D00CD4A">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72D0500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地表水环境质量</w:t>
            </w:r>
          </w:p>
        </w:tc>
        <w:tc>
          <w:tcPr>
            <w:tcW w:w="1004" w:type="dxa"/>
            <w:vAlign w:val="center"/>
          </w:tcPr>
          <w:p w14:paraId="3C9ABC3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Align w:val="center"/>
          </w:tcPr>
          <w:p w14:paraId="173443B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地表水环境质量标准（GB3838-2002）</w:t>
            </w:r>
            <w:r>
              <w:rPr>
                <w:rFonts w:hint="default" w:ascii="Times New Roman" w:hAnsi="Times New Roman" w:eastAsia="宋体" w:cs="Times New Roman"/>
                <w:color w:val="auto"/>
                <w:kern w:val="0"/>
                <w:szCs w:val="21"/>
                <w:highlight w:val="none"/>
              </w:rPr>
              <w:t>Ⅱ</w:t>
            </w:r>
            <w:r>
              <w:rPr>
                <w:rFonts w:hint="default" w:ascii="Times New Roman" w:hAnsi="Times New Roman" w:cs="Times New Roman"/>
                <w:color w:val="auto"/>
                <w:kern w:val="0"/>
                <w:szCs w:val="21"/>
                <w:highlight w:val="none"/>
              </w:rPr>
              <w:t>类水域功能要求；</w:t>
            </w:r>
          </w:p>
        </w:tc>
        <w:tc>
          <w:tcPr>
            <w:tcW w:w="5562" w:type="dxa"/>
            <w:vAlign w:val="center"/>
          </w:tcPr>
          <w:p w14:paraId="4B163E89">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可达，规划实施后对村庄污染源进行治理，减少村庄生活污染源对地表水的影响，地表水水质会上升。</w:t>
            </w:r>
          </w:p>
        </w:tc>
      </w:tr>
      <w:tr w14:paraId="5FE1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0CF85C92">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2F040DB4">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声环境质量</w:t>
            </w:r>
          </w:p>
        </w:tc>
        <w:tc>
          <w:tcPr>
            <w:tcW w:w="1004" w:type="dxa"/>
            <w:vAlign w:val="center"/>
          </w:tcPr>
          <w:p w14:paraId="498E82D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Align w:val="center"/>
          </w:tcPr>
          <w:p w14:paraId="7B3F354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1类标准</w:t>
            </w:r>
          </w:p>
        </w:tc>
        <w:tc>
          <w:tcPr>
            <w:tcW w:w="5562" w:type="dxa"/>
            <w:vAlign w:val="center"/>
          </w:tcPr>
          <w:p w14:paraId="42EB81DE">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可达，规划实施后主要新增交通噪声，通过限速、限鸣可有效控制。</w:t>
            </w:r>
          </w:p>
        </w:tc>
      </w:tr>
      <w:tr w14:paraId="12BE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78775EB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167A7053">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地下水环境质量</w:t>
            </w:r>
          </w:p>
        </w:tc>
        <w:tc>
          <w:tcPr>
            <w:tcW w:w="1004" w:type="dxa"/>
            <w:vAlign w:val="center"/>
          </w:tcPr>
          <w:p w14:paraId="7233D6C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Align w:val="center"/>
          </w:tcPr>
          <w:p w14:paraId="49C353BA">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Ⅲ类</w:t>
            </w:r>
          </w:p>
        </w:tc>
        <w:tc>
          <w:tcPr>
            <w:tcW w:w="5562" w:type="dxa"/>
            <w:vAlign w:val="center"/>
          </w:tcPr>
          <w:p w14:paraId="656FF2B1">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可达，规划建设内容不会对地下水造成污染，不会改变环境质量。</w:t>
            </w:r>
          </w:p>
        </w:tc>
      </w:tr>
      <w:tr w14:paraId="42CE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29CD31A4">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3FF6172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土壤环境质量</w:t>
            </w:r>
          </w:p>
        </w:tc>
        <w:tc>
          <w:tcPr>
            <w:tcW w:w="1004" w:type="dxa"/>
            <w:vAlign w:val="center"/>
          </w:tcPr>
          <w:p w14:paraId="5EE20974">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Align w:val="center"/>
          </w:tcPr>
          <w:p w14:paraId="20919763">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建设用地土壤监测点位各污染物浓度限值均满足《土壤环境质量 建设用地土壤污染风险管控标准（试行）》（GB36600-2018）中第一、二类建设用地的筛选值；农用地土壤监测点位各污染物浓度限值均满足《土壤环境质量 农用地土壤污染风险管控标准（试行）》（GB15618-2018）中的风险筛选值要求。</w:t>
            </w:r>
          </w:p>
        </w:tc>
        <w:tc>
          <w:tcPr>
            <w:tcW w:w="5562" w:type="dxa"/>
            <w:vAlign w:val="center"/>
          </w:tcPr>
          <w:p w14:paraId="0C696831">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可达，规划建设内容不会对土壤造成污染，不会改变土壤环境质量。</w:t>
            </w:r>
          </w:p>
        </w:tc>
      </w:tr>
      <w:tr w14:paraId="0580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restart"/>
            <w:vAlign w:val="center"/>
          </w:tcPr>
          <w:p w14:paraId="12CB8522">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生态</w:t>
            </w:r>
          </w:p>
          <w:p w14:paraId="24BF23F3">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tc>
        <w:tc>
          <w:tcPr>
            <w:tcW w:w="1942" w:type="dxa"/>
            <w:gridSpan w:val="2"/>
            <w:shd w:val="clear" w:color="auto" w:fill="auto"/>
            <w:vAlign w:val="center"/>
          </w:tcPr>
          <w:p w14:paraId="53D2D667">
            <w:pPr>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lang w:eastAsia="zh-CN"/>
              </w:rPr>
              <w:t>雅鲁藏布大峡谷国家级自然保护区</w:t>
            </w:r>
          </w:p>
        </w:tc>
        <w:tc>
          <w:tcPr>
            <w:tcW w:w="1004" w:type="dxa"/>
            <w:vAlign w:val="center"/>
          </w:tcPr>
          <w:p w14:paraId="5A77FEF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Merge w:val="restart"/>
            <w:vAlign w:val="center"/>
          </w:tcPr>
          <w:p w14:paraId="487C2F01">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遵守</w:t>
            </w:r>
            <w:r>
              <w:rPr>
                <w:rFonts w:hint="default" w:ascii="Times New Roman" w:hAnsi="Times New Roman" w:cs="Times New Roman"/>
                <w:color w:val="auto"/>
                <w:kern w:val="0"/>
                <w:szCs w:val="21"/>
                <w:highlight w:val="none"/>
                <w:lang w:eastAsia="zh-CN"/>
              </w:rPr>
              <w:t>自然保护区、国家湿地公园、</w:t>
            </w:r>
            <w:r>
              <w:rPr>
                <w:rFonts w:hint="default" w:ascii="Times New Roman" w:hAnsi="Times New Roman" w:cs="Times New Roman"/>
                <w:color w:val="auto"/>
                <w:kern w:val="0"/>
                <w:szCs w:val="21"/>
                <w:highlight w:val="none"/>
              </w:rPr>
              <w:t>生态保护红线</w:t>
            </w:r>
            <w:r>
              <w:rPr>
                <w:rFonts w:hint="default" w:ascii="Times New Roman" w:hAnsi="Times New Roman" w:cs="Times New Roman"/>
                <w:color w:val="auto"/>
                <w:kern w:val="0"/>
                <w:szCs w:val="21"/>
                <w:highlight w:val="none"/>
                <w:lang w:val="en-US" w:eastAsia="zh-CN"/>
              </w:rPr>
              <w:t>相关法律法规要求</w:t>
            </w:r>
            <w:r>
              <w:rPr>
                <w:rFonts w:hint="default" w:ascii="Times New Roman" w:hAnsi="Times New Roman" w:cs="Times New Roman"/>
                <w:color w:val="auto"/>
                <w:kern w:val="0"/>
                <w:szCs w:val="21"/>
                <w:highlight w:val="none"/>
              </w:rPr>
              <w:t>，保证生态功能不降低、面积不减少、性质不改变。</w:t>
            </w:r>
          </w:p>
        </w:tc>
        <w:tc>
          <w:tcPr>
            <w:tcW w:w="5562" w:type="dxa"/>
            <w:vMerge w:val="restart"/>
            <w:vAlign w:val="center"/>
          </w:tcPr>
          <w:p w14:paraId="5F240FD4">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r>
              <w:rPr>
                <w:rFonts w:hint="default" w:ascii="Times New Roman" w:hAnsi="Times New Roman" w:cs="Times New Roman"/>
                <w:color w:val="auto"/>
                <w:kern w:val="0"/>
                <w:szCs w:val="21"/>
                <w:highlight w:val="none"/>
                <w:lang w:val="en-US" w:eastAsia="zh-CN"/>
              </w:rPr>
              <w:t>经前文分析，本规划的实施不违背</w:t>
            </w:r>
            <w:r>
              <w:rPr>
                <w:rFonts w:hint="default" w:ascii="Times New Roman" w:hAnsi="Times New Roman" w:cs="Times New Roman"/>
                <w:color w:val="auto"/>
                <w:kern w:val="0"/>
                <w:szCs w:val="21"/>
                <w:highlight w:val="none"/>
                <w:lang w:eastAsia="zh-CN"/>
              </w:rPr>
              <w:t>自然保护区、国家湿地公园、</w:t>
            </w:r>
            <w:r>
              <w:rPr>
                <w:rFonts w:hint="default" w:ascii="Times New Roman" w:hAnsi="Times New Roman" w:cs="Times New Roman"/>
                <w:color w:val="auto"/>
                <w:kern w:val="0"/>
                <w:szCs w:val="21"/>
                <w:highlight w:val="none"/>
              </w:rPr>
              <w:t>生态保护红线</w:t>
            </w:r>
            <w:r>
              <w:rPr>
                <w:rFonts w:hint="default" w:ascii="Times New Roman" w:hAnsi="Times New Roman" w:cs="Times New Roman"/>
                <w:color w:val="auto"/>
                <w:kern w:val="0"/>
                <w:szCs w:val="21"/>
                <w:highlight w:val="none"/>
                <w:lang w:val="en-US" w:eastAsia="zh-CN"/>
              </w:rPr>
              <w:t>相关法律法规要求</w:t>
            </w:r>
            <w:r>
              <w:rPr>
                <w:rFonts w:hint="default" w:ascii="Times New Roman" w:hAnsi="Times New Roman" w:cs="Times New Roman"/>
                <w:color w:val="auto"/>
                <w:kern w:val="0"/>
                <w:szCs w:val="21"/>
                <w:highlight w:val="none"/>
              </w:rPr>
              <w:t>。</w:t>
            </w:r>
          </w:p>
        </w:tc>
      </w:tr>
      <w:tr w14:paraId="0AA9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7FB68E8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shd w:val="clear" w:color="auto" w:fill="auto"/>
            <w:vAlign w:val="center"/>
          </w:tcPr>
          <w:p w14:paraId="3D7173E4">
            <w:pPr>
              <w:adjustRightIn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西藏嘎朗国家湿地公园</w:t>
            </w:r>
          </w:p>
        </w:tc>
        <w:tc>
          <w:tcPr>
            <w:tcW w:w="1004" w:type="dxa"/>
            <w:vAlign w:val="center"/>
          </w:tcPr>
          <w:p w14:paraId="4F3AE28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Merge w:val="continue"/>
            <w:vAlign w:val="center"/>
          </w:tcPr>
          <w:p w14:paraId="32B5689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5562" w:type="dxa"/>
            <w:vMerge w:val="continue"/>
            <w:vAlign w:val="center"/>
          </w:tcPr>
          <w:p w14:paraId="6E1C8DEE">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r>
      <w:tr w14:paraId="0D7F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0578F34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shd w:val="clear" w:color="auto" w:fill="auto"/>
            <w:vAlign w:val="center"/>
          </w:tcPr>
          <w:p w14:paraId="483DA9E5">
            <w:pPr>
              <w:adjustRightIn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生态保护红线</w:t>
            </w:r>
          </w:p>
        </w:tc>
        <w:tc>
          <w:tcPr>
            <w:tcW w:w="1004" w:type="dxa"/>
            <w:vAlign w:val="center"/>
          </w:tcPr>
          <w:p w14:paraId="2987AA4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Merge w:val="continue"/>
            <w:vAlign w:val="center"/>
          </w:tcPr>
          <w:p w14:paraId="00E3BBB4">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5562" w:type="dxa"/>
            <w:vMerge w:val="continue"/>
            <w:vAlign w:val="center"/>
          </w:tcPr>
          <w:p w14:paraId="6674CF54">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r>
      <w:tr w14:paraId="0611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79DE222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1054227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森林覆盖率</w:t>
            </w:r>
          </w:p>
        </w:tc>
        <w:tc>
          <w:tcPr>
            <w:tcW w:w="1004" w:type="dxa"/>
            <w:vAlign w:val="center"/>
          </w:tcPr>
          <w:p w14:paraId="06BC0C8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参考性</w:t>
            </w:r>
          </w:p>
        </w:tc>
        <w:tc>
          <w:tcPr>
            <w:tcW w:w="4801" w:type="dxa"/>
            <w:vAlign w:val="center"/>
          </w:tcPr>
          <w:p w14:paraId="773A295A">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不降低</w:t>
            </w:r>
          </w:p>
        </w:tc>
        <w:tc>
          <w:tcPr>
            <w:tcW w:w="5562" w:type="dxa"/>
            <w:vMerge w:val="restart"/>
            <w:vAlign w:val="center"/>
          </w:tcPr>
          <w:p w14:paraId="0D51616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可达，规划包括绿地景观规划及生态恢复，具体项目实施后，区域植被、林草覆盖率会上升。</w:t>
            </w:r>
          </w:p>
        </w:tc>
      </w:tr>
      <w:tr w14:paraId="4A65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64AE5339">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0EBBA3A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植被覆盖率</w:t>
            </w:r>
          </w:p>
        </w:tc>
        <w:tc>
          <w:tcPr>
            <w:tcW w:w="1004" w:type="dxa"/>
            <w:vAlign w:val="center"/>
          </w:tcPr>
          <w:p w14:paraId="4F82E1E3">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参考性</w:t>
            </w:r>
          </w:p>
        </w:tc>
        <w:tc>
          <w:tcPr>
            <w:tcW w:w="4801" w:type="dxa"/>
            <w:vAlign w:val="center"/>
          </w:tcPr>
          <w:p w14:paraId="6B20AA9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不降低</w:t>
            </w:r>
          </w:p>
        </w:tc>
        <w:tc>
          <w:tcPr>
            <w:tcW w:w="5562" w:type="dxa"/>
            <w:vMerge w:val="continue"/>
            <w:vAlign w:val="center"/>
          </w:tcPr>
          <w:p w14:paraId="5F3D36A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r>
      <w:tr w14:paraId="0760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865" w:type="dxa"/>
            <w:vMerge w:val="continue"/>
            <w:vAlign w:val="center"/>
          </w:tcPr>
          <w:p w14:paraId="3144DD3B">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39E7EE6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珍稀动植</w:t>
            </w:r>
          </w:p>
          <w:p w14:paraId="11B2F58A">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物种数</w:t>
            </w:r>
          </w:p>
        </w:tc>
        <w:tc>
          <w:tcPr>
            <w:tcW w:w="1004" w:type="dxa"/>
            <w:vAlign w:val="center"/>
          </w:tcPr>
          <w:p w14:paraId="1982611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参考性</w:t>
            </w:r>
          </w:p>
        </w:tc>
        <w:tc>
          <w:tcPr>
            <w:tcW w:w="4801" w:type="dxa"/>
            <w:vAlign w:val="center"/>
          </w:tcPr>
          <w:p w14:paraId="39D44EEE">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不下降</w:t>
            </w:r>
          </w:p>
        </w:tc>
        <w:tc>
          <w:tcPr>
            <w:tcW w:w="5562" w:type="dxa"/>
            <w:vMerge w:val="restart"/>
            <w:vAlign w:val="center"/>
          </w:tcPr>
          <w:p w14:paraId="20E4DF8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可达，规划建设旅游基础设施，对生态系统影响有限。</w:t>
            </w:r>
          </w:p>
        </w:tc>
      </w:tr>
      <w:tr w14:paraId="2DDD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65" w:type="dxa"/>
            <w:vMerge w:val="continue"/>
            <w:vAlign w:val="center"/>
          </w:tcPr>
          <w:p w14:paraId="2662C0AE">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3586954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生物多样性和生态系统完整性</w:t>
            </w:r>
          </w:p>
        </w:tc>
        <w:tc>
          <w:tcPr>
            <w:tcW w:w="1004" w:type="dxa"/>
            <w:vAlign w:val="center"/>
          </w:tcPr>
          <w:p w14:paraId="071A666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Align w:val="center"/>
          </w:tcPr>
          <w:p w14:paraId="1AD6E5BE">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全区生物多样性和生态系统总体保持稳定</w:t>
            </w:r>
          </w:p>
        </w:tc>
        <w:tc>
          <w:tcPr>
            <w:tcW w:w="5562" w:type="dxa"/>
            <w:vMerge w:val="continue"/>
            <w:vAlign w:val="center"/>
          </w:tcPr>
          <w:p w14:paraId="41387494">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r>
      <w:tr w14:paraId="2F32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5" w:type="dxa"/>
            <w:vMerge w:val="restart"/>
            <w:vAlign w:val="center"/>
          </w:tcPr>
          <w:p w14:paraId="1754DCB3">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资源</w:t>
            </w:r>
          </w:p>
          <w:p w14:paraId="2DA38D8E">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利用</w:t>
            </w:r>
          </w:p>
        </w:tc>
        <w:tc>
          <w:tcPr>
            <w:tcW w:w="1942" w:type="dxa"/>
            <w:gridSpan w:val="2"/>
            <w:vAlign w:val="center"/>
          </w:tcPr>
          <w:p w14:paraId="767A41D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土地资源</w:t>
            </w:r>
          </w:p>
        </w:tc>
        <w:tc>
          <w:tcPr>
            <w:tcW w:w="1004" w:type="dxa"/>
            <w:vAlign w:val="center"/>
          </w:tcPr>
          <w:p w14:paraId="4B3D03B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Align w:val="center"/>
          </w:tcPr>
          <w:p w14:paraId="7EC3597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不超过区域土地资源承载力</w:t>
            </w:r>
          </w:p>
        </w:tc>
        <w:tc>
          <w:tcPr>
            <w:tcW w:w="5562" w:type="dxa"/>
            <w:vAlign w:val="center"/>
          </w:tcPr>
          <w:p w14:paraId="274C24F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可达，本规划主要进行旅游基础设施建设，占地较小，区域土地资源可以承载景区建设发展需求。</w:t>
            </w:r>
          </w:p>
        </w:tc>
      </w:tr>
      <w:tr w14:paraId="2179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4DB85EC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3517BCC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水资源</w:t>
            </w:r>
          </w:p>
        </w:tc>
        <w:tc>
          <w:tcPr>
            <w:tcW w:w="1004" w:type="dxa"/>
            <w:vAlign w:val="center"/>
          </w:tcPr>
          <w:p w14:paraId="6AB0D2C9">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Align w:val="center"/>
          </w:tcPr>
          <w:p w14:paraId="1C935C5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不超过区域水资源承载力</w:t>
            </w:r>
          </w:p>
        </w:tc>
        <w:tc>
          <w:tcPr>
            <w:tcW w:w="5562" w:type="dxa"/>
            <w:vAlign w:val="center"/>
          </w:tcPr>
          <w:p w14:paraId="5C4A179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可达，规划区外</w:t>
            </w:r>
            <w:r>
              <w:rPr>
                <w:rFonts w:hint="default" w:ascii="Times New Roman" w:hAnsi="Times New Roman" w:cs="Times New Roman"/>
                <w:color w:val="auto"/>
                <w:kern w:val="0"/>
                <w:szCs w:val="21"/>
                <w:highlight w:val="none"/>
                <w:lang w:val="en-US" w:eastAsia="zh-CN"/>
              </w:rPr>
              <w:t>北</w:t>
            </w:r>
            <w:r>
              <w:rPr>
                <w:rFonts w:hint="default" w:ascii="Times New Roman" w:hAnsi="Times New Roman" w:cs="Times New Roman"/>
                <w:color w:val="auto"/>
                <w:kern w:val="0"/>
                <w:szCs w:val="21"/>
                <w:highlight w:val="none"/>
              </w:rPr>
              <w:t>侧为</w:t>
            </w:r>
            <w:r>
              <w:rPr>
                <w:rFonts w:hint="default" w:ascii="Times New Roman" w:hAnsi="Times New Roman" w:cs="Times New Roman"/>
                <w:color w:val="auto"/>
                <w:kern w:val="0"/>
                <w:szCs w:val="21"/>
                <w:highlight w:val="none"/>
                <w:lang w:eastAsia="zh-CN"/>
              </w:rPr>
              <w:t>帕隆藏布</w:t>
            </w:r>
            <w:r>
              <w:rPr>
                <w:rFonts w:hint="default" w:ascii="Times New Roman" w:hAnsi="Times New Roman" w:cs="Times New Roman"/>
                <w:color w:val="auto"/>
                <w:kern w:val="0"/>
                <w:szCs w:val="21"/>
                <w:highlight w:val="none"/>
              </w:rPr>
              <w:t>，主要补给为降雨、冰雪融水，补给量较大，可满足本规划的实施。</w:t>
            </w:r>
          </w:p>
        </w:tc>
      </w:tr>
      <w:tr w14:paraId="417E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3DF7EED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6B9271C3">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旅游环境容量</w:t>
            </w:r>
          </w:p>
        </w:tc>
        <w:tc>
          <w:tcPr>
            <w:tcW w:w="1004" w:type="dxa"/>
            <w:vAlign w:val="center"/>
          </w:tcPr>
          <w:p w14:paraId="6C2346D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Align w:val="center"/>
          </w:tcPr>
          <w:p w14:paraId="2062846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不超过生态旅游环境容量</w:t>
            </w:r>
          </w:p>
        </w:tc>
        <w:tc>
          <w:tcPr>
            <w:tcW w:w="5562" w:type="dxa"/>
            <w:vAlign w:val="center"/>
          </w:tcPr>
          <w:p w14:paraId="7E7DF71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可达，计算得规划区理论容量为</w:t>
            </w:r>
            <w:r>
              <w:rPr>
                <w:rFonts w:hint="default" w:ascii="Times New Roman" w:hAnsi="Times New Roman" w:cs="Times New Roman"/>
                <w:color w:val="auto"/>
                <w:kern w:val="0"/>
                <w:szCs w:val="21"/>
                <w:highlight w:val="none"/>
                <w:lang w:val="en-US" w:eastAsia="zh-CN"/>
              </w:rPr>
              <w:t>98</w:t>
            </w:r>
            <w:r>
              <w:rPr>
                <w:rFonts w:hint="default" w:ascii="Times New Roman" w:hAnsi="Times New Roman" w:cs="Times New Roman"/>
                <w:color w:val="auto"/>
                <w:kern w:val="0"/>
                <w:szCs w:val="21"/>
                <w:highlight w:val="none"/>
              </w:rPr>
              <w:t>万人次/a，各种情景下旅游人口增长范围均未超出区域环境容量。</w:t>
            </w:r>
          </w:p>
        </w:tc>
      </w:tr>
      <w:tr w14:paraId="1D69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restart"/>
            <w:vAlign w:val="center"/>
          </w:tcPr>
          <w:p w14:paraId="26F7362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14:paraId="74E67FD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w:t>
            </w:r>
          </w:p>
        </w:tc>
        <w:tc>
          <w:tcPr>
            <w:tcW w:w="525" w:type="dxa"/>
            <w:vMerge w:val="restart"/>
            <w:vAlign w:val="center"/>
          </w:tcPr>
          <w:p w14:paraId="49C341FB">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废</w:t>
            </w:r>
          </w:p>
          <w:p w14:paraId="62C7232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气</w:t>
            </w:r>
          </w:p>
          <w:p w14:paraId="0C9CA1BB">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w:t>
            </w:r>
          </w:p>
          <w:p w14:paraId="6FF5417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w:t>
            </w:r>
          </w:p>
        </w:tc>
        <w:tc>
          <w:tcPr>
            <w:tcW w:w="1417" w:type="dxa"/>
            <w:vAlign w:val="center"/>
          </w:tcPr>
          <w:p w14:paraId="2EDE98A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清洁燃料使用率</w:t>
            </w:r>
          </w:p>
        </w:tc>
        <w:tc>
          <w:tcPr>
            <w:tcW w:w="1004" w:type="dxa"/>
            <w:vAlign w:val="center"/>
          </w:tcPr>
          <w:p w14:paraId="2C940249">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4528716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100% </w:t>
            </w:r>
          </w:p>
        </w:tc>
        <w:tc>
          <w:tcPr>
            <w:tcW w:w="5562" w:type="dxa"/>
            <w:vAlign w:val="center"/>
          </w:tcPr>
          <w:p w14:paraId="3B934FD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基本可达，除原住民外，规划实施项目均使用清洁能源。</w:t>
            </w:r>
          </w:p>
        </w:tc>
      </w:tr>
      <w:tr w14:paraId="0F7A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7CC86E1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525" w:type="dxa"/>
            <w:vMerge w:val="continue"/>
            <w:vAlign w:val="center"/>
          </w:tcPr>
          <w:p w14:paraId="30348974">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417" w:type="dxa"/>
            <w:vAlign w:val="center"/>
          </w:tcPr>
          <w:p w14:paraId="6A89EEF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餐饮油烟处理率</w:t>
            </w:r>
          </w:p>
        </w:tc>
        <w:tc>
          <w:tcPr>
            <w:tcW w:w="1004" w:type="dxa"/>
            <w:vAlign w:val="center"/>
          </w:tcPr>
          <w:p w14:paraId="48A28DE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1F2A5B31">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w:t>
            </w:r>
          </w:p>
        </w:tc>
        <w:tc>
          <w:tcPr>
            <w:tcW w:w="5562" w:type="dxa"/>
            <w:vAlign w:val="center"/>
          </w:tcPr>
          <w:p w14:paraId="36F927D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p>
        </w:tc>
      </w:tr>
      <w:tr w14:paraId="1284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5D9277D4">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525" w:type="dxa"/>
            <w:vMerge w:val="continue"/>
            <w:vAlign w:val="center"/>
          </w:tcPr>
          <w:p w14:paraId="570BEBB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417" w:type="dxa"/>
            <w:vAlign w:val="center"/>
          </w:tcPr>
          <w:p w14:paraId="7F5D9973">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大气污染物达标排放率</w:t>
            </w:r>
          </w:p>
        </w:tc>
        <w:tc>
          <w:tcPr>
            <w:tcW w:w="1004" w:type="dxa"/>
            <w:vAlign w:val="center"/>
          </w:tcPr>
          <w:p w14:paraId="44D4BAC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300F253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w:t>
            </w:r>
          </w:p>
        </w:tc>
        <w:tc>
          <w:tcPr>
            <w:tcW w:w="5562" w:type="dxa"/>
            <w:vAlign w:val="center"/>
          </w:tcPr>
          <w:p w14:paraId="5013612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p>
        </w:tc>
      </w:tr>
      <w:tr w14:paraId="76BD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705B339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525" w:type="dxa"/>
            <w:vMerge w:val="restart"/>
            <w:vAlign w:val="center"/>
          </w:tcPr>
          <w:p w14:paraId="75D73C6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废水控制</w:t>
            </w:r>
          </w:p>
        </w:tc>
        <w:tc>
          <w:tcPr>
            <w:tcW w:w="1417" w:type="dxa"/>
            <w:vAlign w:val="center"/>
          </w:tcPr>
          <w:p w14:paraId="5D36760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生活污水处理率 </w:t>
            </w:r>
          </w:p>
        </w:tc>
        <w:tc>
          <w:tcPr>
            <w:tcW w:w="1004" w:type="dxa"/>
            <w:vAlign w:val="center"/>
          </w:tcPr>
          <w:p w14:paraId="0D5A75D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62683CCE">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w:t>
            </w:r>
          </w:p>
        </w:tc>
        <w:tc>
          <w:tcPr>
            <w:tcW w:w="5562" w:type="dxa"/>
            <w:vAlign w:val="center"/>
          </w:tcPr>
          <w:p w14:paraId="53F19A6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p>
        </w:tc>
      </w:tr>
      <w:tr w14:paraId="63F2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574065F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525" w:type="dxa"/>
            <w:vMerge w:val="continue"/>
            <w:vAlign w:val="center"/>
          </w:tcPr>
          <w:p w14:paraId="5C95D5DB">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417" w:type="dxa"/>
            <w:vAlign w:val="center"/>
          </w:tcPr>
          <w:p w14:paraId="7B3A13D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达标处理率 </w:t>
            </w:r>
          </w:p>
        </w:tc>
        <w:tc>
          <w:tcPr>
            <w:tcW w:w="1004" w:type="dxa"/>
            <w:vAlign w:val="center"/>
          </w:tcPr>
          <w:p w14:paraId="7E1709EB">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54E48A3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w:t>
            </w:r>
          </w:p>
        </w:tc>
        <w:tc>
          <w:tcPr>
            <w:tcW w:w="5562" w:type="dxa"/>
            <w:vAlign w:val="center"/>
          </w:tcPr>
          <w:p w14:paraId="5E970D9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p>
        </w:tc>
      </w:tr>
      <w:tr w14:paraId="50FB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57A6F144">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525" w:type="dxa"/>
            <w:vAlign w:val="center"/>
          </w:tcPr>
          <w:p w14:paraId="3A829512">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噪</w:t>
            </w:r>
          </w:p>
          <w:p w14:paraId="3E9DA57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声</w:t>
            </w:r>
          </w:p>
          <w:p w14:paraId="40E0819E">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w:t>
            </w:r>
          </w:p>
          <w:p w14:paraId="7FD9729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w:t>
            </w:r>
          </w:p>
        </w:tc>
        <w:tc>
          <w:tcPr>
            <w:tcW w:w="1417" w:type="dxa"/>
            <w:vAlign w:val="center"/>
          </w:tcPr>
          <w:p w14:paraId="540F310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区域噪声达标排放率</w:t>
            </w:r>
          </w:p>
        </w:tc>
        <w:tc>
          <w:tcPr>
            <w:tcW w:w="1004" w:type="dxa"/>
            <w:vAlign w:val="center"/>
          </w:tcPr>
          <w:p w14:paraId="65D7B4E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1F44BF7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w:t>
            </w:r>
          </w:p>
        </w:tc>
        <w:tc>
          <w:tcPr>
            <w:tcW w:w="5562" w:type="dxa"/>
            <w:vAlign w:val="center"/>
          </w:tcPr>
          <w:p w14:paraId="2B720A21">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p>
        </w:tc>
      </w:tr>
      <w:tr w14:paraId="5439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56022E9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525" w:type="dxa"/>
            <w:vMerge w:val="restart"/>
            <w:vAlign w:val="center"/>
          </w:tcPr>
          <w:p w14:paraId="2CC2707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固</w:t>
            </w:r>
          </w:p>
          <w:p w14:paraId="3A61204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废</w:t>
            </w:r>
          </w:p>
          <w:p w14:paraId="3B20339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w:t>
            </w:r>
          </w:p>
          <w:p w14:paraId="5D67DBA1">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w:t>
            </w:r>
          </w:p>
        </w:tc>
        <w:tc>
          <w:tcPr>
            <w:tcW w:w="1417" w:type="dxa"/>
            <w:vAlign w:val="center"/>
          </w:tcPr>
          <w:p w14:paraId="74619D0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生活垃圾收集转运率</w:t>
            </w:r>
          </w:p>
        </w:tc>
        <w:tc>
          <w:tcPr>
            <w:tcW w:w="1004" w:type="dxa"/>
            <w:vAlign w:val="center"/>
          </w:tcPr>
          <w:p w14:paraId="5FD22B2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1CCF2D2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w:t>
            </w:r>
          </w:p>
        </w:tc>
        <w:tc>
          <w:tcPr>
            <w:tcW w:w="5562" w:type="dxa"/>
            <w:vAlign w:val="center"/>
          </w:tcPr>
          <w:p w14:paraId="5303CF7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可达，设置垃圾收集点，安排专人负责清运</w:t>
            </w:r>
          </w:p>
        </w:tc>
      </w:tr>
      <w:tr w14:paraId="7986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4BF4D45E">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525" w:type="dxa"/>
            <w:vMerge w:val="continue"/>
            <w:vAlign w:val="center"/>
          </w:tcPr>
          <w:p w14:paraId="0A83F172">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417" w:type="dxa"/>
            <w:vAlign w:val="center"/>
          </w:tcPr>
          <w:p w14:paraId="02D246F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餐厨垃圾收集转运率</w:t>
            </w:r>
          </w:p>
        </w:tc>
        <w:tc>
          <w:tcPr>
            <w:tcW w:w="1004" w:type="dxa"/>
            <w:vAlign w:val="center"/>
          </w:tcPr>
          <w:p w14:paraId="57F9D73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26C300A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w:t>
            </w:r>
          </w:p>
        </w:tc>
        <w:tc>
          <w:tcPr>
            <w:tcW w:w="5562" w:type="dxa"/>
            <w:vAlign w:val="center"/>
          </w:tcPr>
          <w:p w14:paraId="21FCC7B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可达、收集后交由有资质的单位</w:t>
            </w:r>
          </w:p>
        </w:tc>
      </w:tr>
      <w:tr w14:paraId="0DFB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2D13E323">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525" w:type="dxa"/>
            <w:vMerge w:val="continue"/>
            <w:vAlign w:val="center"/>
          </w:tcPr>
          <w:p w14:paraId="6EFD7B2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417" w:type="dxa"/>
            <w:vAlign w:val="center"/>
          </w:tcPr>
          <w:p w14:paraId="0D6B2F7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医疗固废 </w:t>
            </w:r>
          </w:p>
        </w:tc>
        <w:tc>
          <w:tcPr>
            <w:tcW w:w="1004" w:type="dxa"/>
            <w:vAlign w:val="center"/>
          </w:tcPr>
          <w:p w14:paraId="64079741">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124281F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100%</w:t>
            </w:r>
          </w:p>
        </w:tc>
        <w:tc>
          <w:tcPr>
            <w:tcW w:w="5562" w:type="dxa"/>
            <w:vAlign w:val="center"/>
          </w:tcPr>
          <w:p w14:paraId="1C80A30B">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可达、收集后交由有资质的单位</w:t>
            </w:r>
          </w:p>
        </w:tc>
      </w:tr>
      <w:tr w14:paraId="213B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restart"/>
            <w:vAlign w:val="center"/>
          </w:tcPr>
          <w:p w14:paraId="0B34F1D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风险</w:t>
            </w:r>
          </w:p>
          <w:p w14:paraId="092E90C9">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防控</w:t>
            </w:r>
          </w:p>
        </w:tc>
        <w:tc>
          <w:tcPr>
            <w:tcW w:w="1942" w:type="dxa"/>
            <w:gridSpan w:val="2"/>
            <w:vAlign w:val="center"/>
          </w:tcPr>
          <w:p w14:paraId="5A75340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生活污水事故排放率 </w:t>
            </w:r>
          </w:p>
        </w:tc>
        <w:tc>
          <w:tcPr>
            <w:tcW w:w="1004" w:type="dxa"/>
            <w:vAlign w:val="center"/>
          </w:tcPr>
          <w:p w14:paraId="5D59D58B">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约束性</w:t>
            </w:r>
          </w:p>
        </w:tc>
        <w:tc>
          <w:tcPr>
            <w:tcW w:w="4801" w:type="dxa"/>
            <w:vAlign w:val="center"/>
          </w:tcPr>
          <w:p w14:paraId="5A623001">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0 </w:t>
            </w:r>
          </w:p>
        </w:tc>
        <w:tc>
          <w:tcPr>
            <w:tcW w:w="5562" w:type="dxa"/>
            <w:vAlign w:val="center"/>
          </w:tcPr>
          <w:p w14:paraId="03D86F8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p>
        </w:tc>
      </w:tr>
      <w:tr w14:paraId="4310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7FED50AF">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4E3D3ACA">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外来物种侵入影响</w:t>
            </w:r>
          </w:p>
        </w:tc>
        <w:tc>
          <w:tcPr>
            <w:tcW w:w="1004" w:type="dxa"/>
            <w:vAlign w:val="center"/>
          </w:tcPr>
          <w:p w14:paraId="1E0542E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参考性</w:t>
            </w:r>
          </w:p>
        </w:tc>
        <w:tc>
          <w:tcPr>
            <w:tcW w:w="4801" w:type="dxa"/>
            <w:vAlign w:val="center"/>
          </w:tcPr>
          <w:p w14:paraId="4AE48AD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0 </w:t>
            </w:r>
          </w:p>
        </w:tc>
        <w:tc>
          <w:tcPr>
            <w:tcW w:w="5562" w:type="dxa"/>
            <w:vAlign w:val="center"/>
          </w:tcPr>
          <w:p w14:paraId="3CAFE5D3">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可达，绿化采用当地土著物种，防止外来物种入侵</w:t>
            </w:r>
          </w:p>
        </w:tc>
      </w:tr>
      <w:tr w14:paraId="43ED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restart"/>
            <w:vAlign w:val="center"/>
          </w:tcPr>
          <w:p w14:paraId="7145F85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245410B2">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管理</w:t>
            </w:r>
          </w:p>
        </w:tc>
        <w:tc>
          <w:tcPr>
            <w:tcW w:w="1942" w:type="dxa"/>
            <w:gridSpan w:val="2"/>
            <w:vAlign w:val="center"/>
          </w:tcPr>
          <w:p w14:paraId="48114B6A">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项目环评执行率 </w:t>
            </w:r>
          </w:p>
        </w:tc>
        <w:tc>
          <w:tcPr>
            <w:tcW w:w="1004" w:type="dxa"/>
            <w:vAlign w:val="center"/>
          </w:tcPr>
          <w:p w14:paraId="5A86F7A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06D87D5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100% </w:t>
            </w:r>
          </w:p>
        </w:tc>
        <w:tc>
          <w:tcPr>
            <w:tcW w:w="5562" w:type="dxa"/>
            <w:vAlign w:val="center"/>
          </w:tcPr>
          <w:p w14:paraId="3A4D561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p>
        </w:tc>
      </w:tr>
      <w:tr w14:paraId="0935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027F184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60D333FB">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环境信息公开率</w:t>
            </w:r>
          </w:p>
        </w:tc>
        <w:tc>
          <w:tcPr>
            <w:tcW w:w="1004" w:type="dxa"/>
            <w:vAlign w:val="center"/>
          </w:tcPr>
          <w:p w14:paraId="217E1C60">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参考性</w:t>
            </w:r>
          </w:p>
        </w:tc>
        <w:tc>
          <w:tcPr>
            <w:tcW w:w="4801" w:type="dxa"/>
            <w:vAlign w:val="center"/>
          </w:tcPr>
          <w:p w14:paraId="7E134079">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100% </w:t>
            </w:r>
          </w:p>
        </w:tc>
        <w:tc>
          <w:tcPr>
            <w:tcW w:w="5562" w:type="dxa"/>
            <w:vAlign w:val="center"/>
          </w:tcPr>
          <w:p w14:paraId="439D6B9A">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p>
        </w:tc>
      </w:tr>
      <w:tr w14:paraId="7B02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6E20E228">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7E9111D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环境管理机构 </w:t>
            </w:r>
          </w:p>
        </w:tc>
        <w:tc>
          <w:tcPr>
            <w:tcW w:w="1004" w:type="dxa"/>
            <w:vAlign w:val="center"/>
          </w:tcPr>
          <w:p w14:paraId="1E6641F2">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53FC967D">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建立环境管理机构，配备专职环境管理人员</w:t>
            </w:r>
          </w:p>
        </w:tc>
        <w:tc>
          <w:tcPr>
            <w:tcW w:w="5562" w:type="dxa"/>
            <w:vAlign w:val="center"/>
          </w:tcPr>
          <w:p w14:paraId="1C260E62">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p>
        </w:tc>
      </w:tr>
      <w:tr w14:paraId="3A05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Merge w:val="continue"/>
            <w:vAlign w:val="center"/>
          </w:tcPr>
          <w:p w14:paraId="28CF073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p>
        </w:tc>
        <w:tc>
          <w:tcPr>
            <w:tcW w:w="1942" w:type="dxa"/>
            <w:gridSpan w:val="2"/>
            <w:vAlign w:val="center"/>
          </w:tcPr>
          <w:p w14:paraId="29553EAC">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环境监测计划</w:t>
            </w:r>
          </w:p>
        </w:tc>
        <w:tc>
          <w:tcPr>
            <w:tcW w:w="1004" w:type="dxa"/>
            <w:vAlign w:val="center"/>
          </w:tcPr>
          <w:p w14:paraId="465216F7">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约束性 </w:t>
            </w:r>
          </w:p>
        </w:tc>
        <w:tc>
          <w:tcPr>
            <w:tcW w:w="4801" w:type="dxa"/>
            <w:vAlign w:val="center"/>
          </w:tcPr>
          <w:p w14:paraId="5647CA56">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制定环境监测计划并实施 </w:t>
            </w:r>
          </w:p>
        </w:tc>
        <w:tc>
          <w:tcPr>
            <w:tcW w:w="5562" w:type="dxa"/>
            <w:vAlign w:val="center"/>
          </w:tcPr>
          <w:p w14:paraId="1B2A1F75">
            <w:pPr>
              <w:pStyle w:val="57"/>
              <w:adjustRightInd w:val="0"/>
              <w:spacing w:after="0"/>
              <w:ind w:left="0" w:leftChars="0" w:firstLine="0" w:firstLineChars="0"/>
              <w:contextualSpacing/>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可达</w:t>
            </w:r>
          </w:p>
        </w:tc>
      </w:tr>
    </w:tbl>
    <w:p w14:paraId="3852DE4C">
      <w:pPr>
        <w:pStyle w:val="720"/>
        <w:rPr>
          <w:rFonts w:hint="default" w:ascii="Times New Roman" w:hAnsi="Times New Roman" w:cs="Times New Roman"/>
          <w:color w:val="auto"/>
          <w:szCs w:val="24"/>
          <w:highlight w:val="none"/>
        </w:rPr>
      </w:pPr>
    </w:p>
    <w:p w14:paraId="07184927">
      <w:pPr>
        <w:spacing w:line="360" w:lineRule="auto"/>
        <w:ind w:firstLine="480" w:firstLineChars="200"/>
        <w:rPr>
          <w:rFonts w:hint="default" w:ascii="Times New Roman" w:hAnsi="Times New Roman" w:cs="Times New Roman"/>
          <w:color w:val="auto"/>
          <w:sz w:val="24"/>
          <w:highlight w:val="none"/>
        </w:rPr>
        <w:sectPr>
          <w:pgSz w:w="16838" w:h="11906" w:orient="landscape"/>
          <w:pgMar w:top="1474" w:right="1474" w:bottom="1474" w:left="1474" w:header="1134" w:footer="850" w:gutter="0"/>
          <w:pgBorders>
            <w:top w:val="none" w:sz="0" w:space="0"/>
            <w:left w:val="none" w:sz="0" w:space="0"/>
            <w:bottom w:val="none" w:sz="0" w:space="0"/>
            <w:right w:val="none" w:sz="0" w:space="0"/>
          </w:pgBorders>
          <w:cols w:space="720" w:num="1"/>
          <w:docGrid w:type="lines" w:linePitch="312" w:charSpace="0"/>
        </w:sectPr>
      </w:pPr>
    </w:p>
    <w:p w14:paraId="49BB082D">
      <w:pPr>
        <w:pStyle w:val="2"/>
        <w:spacing w:before="312" w:after="312"/>
        <w:rPr>
          <w:rFonts w:hint="default" w:ascii="Times New Roman" w:hAnsi="Times New Roman" w:cs="Times New Roman"/>
          <w:color w:val="auto"/>
          <w:highlight w:val="none"/>
        </w:rPr>
      </w:pPr>
      <w:bookmarkStart w:id="143" w:name="_Toc19851"/>
      <w:r>
        <w:rPr>
          <w:rFonts w:hint="default" w:ascii="Times New Roman" w:hAnsi="Times New Roman" w:cs="Times New Roman"/>
          <w:color w:val="auto"/>
          <w:highlight w:val="none"/>
        </w:rPr>
        <w:t>环境影响预测与评价</w:t>
      </w:r>
      <w:bookmarkEnd w:id="143"/>
    </w:p>
    <w:p w14:paraId="27358A3B">
      <w:pPr>
        <w:pStyle w:val="3"/>
        <w:spacing w:before="156" w:after="156"/>
        <w:rPr>
          <w:rFonts w:hint="default" w:ascii="Times New Roman" w:hAnsi="Times New Roman" w:cs="Times New Roman"/>
          <w:color w:val="auto"/>
          <w:highlight w:val="none"/>
        </w:rPr>
      </w:pPr>
      <w:bookmarkStart w:id="144" w:name="_Toc1636"/>
      <w:r>
        <w:rPr>
          <w:rFonts w:hint="default" w:ascii="Times New Roman" w:hAnsi="Times New Roman" w:cs="Times New Roman"/>
          <w:color w:val="auto"/>
          <w:highlight w:val="none"/>
        </w:rPr>
        <w:t>预测情景设置</w:t>
      </w:r>
      <w:bookmarkEnd w:id="144"/>
    </w:p>
    <w:p w14:paraId="4C04B1C7">
      <w:pPr>
        <w:pStyle w:val="545"/>
        <w:adjustRightInd/>
        <w:spacing w:line="360" w:lineRule="auto"/>
        <w:ind w:firstLine="482"/>
        <w:jc w:val="both"/>
        <w:rPr>
          <w:rFonts w:hint="default" w:ascii="Times New Roman" w:hAnsi="Times New Roman" w:cs="Times New Roman"/>
          <w:b/>
          <w:color w:val="auto"/>
          <w:spacing w:val="0"/>
          <w:kern w:val="24"/>
          <w:highlight w:val="none"/>
        </w:rPr>
      </w:pPr>
      <w:bookmarkStart w:id="145" w:name="_Toc71388162"/>
      <w:r>
        <w:rPr>
          <w:rFonts w:hint="default" w:ascii="Times New Roman" w:hAnsi="Times New Roman" w:cs="Times New Roman"/>
          <w:b/>
          <w:color w:val="auto"/>
          <w:spacing w:val="0"/>
          <w:kern w:val="24"/>
          <w:highlight w:val="none"/>
        </w:rPr>
        <w:t>（一）基本思路和依据</w:t>
      </w:r>
    </w:p>
    <w:p w14:paraId="6B250FE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本次规划为</w:t>
      </w:r>
      <w:r>
        <w:rPr>
          <w:rFonts w:hint="default" w:ascii="Times New Roman" w:hAnsi="Times New Roman" w:cs="Times New Roman"/>
          <w:color w:val="auto"/>
          <w:spacing w:val="0"/>
          <w:kern w:val="24"/>
          <w:highlight w:val="none"/>
          <w:lang w:eastAsia="zh-CN"/>
        </w:rPr>
        <w:t>岗云杉林景区</w:t>
      </w:r>
      <w:r>
        <w:rPr>
          <w:rFonts w:hint="default" w:ascii="Times New Roman" w:hAnsi="Times New Roman" w:cs="Times New Roman"/>
          <w:color w:val="auto"/>
          <w:spacing w:val="0"/>
          <w:kern w:val="24"/>
          <w:highlight w:val="none"/>
        </w:rPr>
        <w:t>控制性详细规划，结合规划特点，景区污染源强预测主要分为3大类：常住居民污染源强预测、工作人员污染源预测、游客污染源强预测。</w:t>
      </w:r>
    </w:p>
    <w:p w14:paraId="07E037B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（1）常住居民污染源的预测主要依据现状常住居民人口数、人口平均增长率、单位人口生活污水、生活垃圾产生量及生活用气量来确定生活污水、生活垃圾、生活废气的产生量。</w:t>
      </w:r>
    </w:p>
    <w:p w14:paraId="3FC6017B">
      <w:pPr>
        <w:pStyle w:val="545"/>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（2）工作人员、游客污染源的预测主要依据人口规模（中远期）、单位人口生活污水、生活垃圾产生量及生活用气量来确定生活污水、生活垃圾、生活废气的产生量。</w:t>
      </w:r>
    </w:p>
    <w:p w14:paraId="2A33A6A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（3）在</w:t>
      </w:r>
      <w:r>
        <w:rPr>
          <w:rFonts w:hint="default" w:ascii="Times New Roman" w:hAnsi="Times New Roman" w:cs="Times New Roman"/>
          <w:color w:val="auto"/>
          <w:spacing w:val="0"/>
          <w:kern w:val="24"/>
          <w:highlight w:val="none"/>
          <w:lang w:eastAsia="zh-CN"/>
        </w:rPr>
        <w:t>岗云杉林景区</w:t>
      </w:r>
      <w:r>
        <w:rPr>
          <w:rFonts w:hint="default" w:ascii="Times New Roman" w:hAnsi="Times New Roman" w:cs="Times New Roman"/>
          <w:color w:val="auto"/>
          <w:spacing w:val="0"/>
          <w:kern w:val="24"/>
          <w:highlight w:val="none"/>
        </w:rPr>
        <w:t>采取以下污染控制措施基础上进行预测：</w:t>
      </w:r>
    </w:p>
    <w:p w14:paraId="1A8CF56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①生活废气在全部使用液化石油气清洁能源的基础进行分析；</w:t>
      </w:r>
    </w:p>
    <w:p w14:paraId="2CAFA57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②规划区内污水经市政污水管网</w:t>
      </w:r>
      <w:r>
        <w:rPr>
          <w:rFonts w:hint="default" w:ascii="Times New Roman" w:hAnsi="Times New Roman" w:cs="Times New Roman"/>
          <w:color w:val="auto"/>
          <w:spacing w:val="0"/>
          <w:kern w:val="24"/>
          <w:highlight w:val="none"/>
          <w:lang w:val="en-US" w:eastAsia="zh-CN"/>
        </w:rPr>
        <w:t>收集后进入一体化污水处理设施处理达标后用作周边林草地、耕地施肥</w:t>
      </w:r>
      <w:r>
        <w:rPr>
          <w:rFonts w:hint="default" w:ascii="Times New Roman" w:hAnsi="Times New Roman" w:cs="Times New Roman"/>
          <w:color w:val="auto"/>
          <w:spacing w:val="0"/>
          <w:kern w:val="24"/>
          <w:highlight w:val="none"/>
        </w:rPr>
        <w:t>；</w:t>
      </w:r>
    </w:p>
    <w:p w14:paraId="696ADA4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③固体废物全部实现分类无害化处置。</w:t>
      </w:r>
    </w:p>
    <w:p w14:paraId="4343F9A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（4）考虑到规划近期为20</w:t>
      </w:r>
      <w:r>
        <w:rPr>
          <w:rFonts w:hint="default" w:ascii="Times New Roman" w:hAnsi="Times New Roman" w:cs="Times New Roman"/>
          <w:color w:val="auto"/>
          <w:spacing w:val="0"/>
          <w:kern w:val="24"/>
          <w:highlight w:val="none"/>
          <w:lang w:val="en-US" w:eastAsia="zh-CN"/>
        </w:rPr>
        <w:t>25</w:t>
      </w:r>
      <w:r>
        <w:rPr>
          <w:rFonts w:hint="default" w:ascii="Times New Roman" w:hAnsi="Times New Roman" w:cs="Times New Roman"/>
          <w:color w:val="auto"/>
          <w:spacing w:val="0"/>
          <w:kern w:val="24"/>
          <w:highlight w:val="none"/>
        </w:rPr>
        <w:t>-202</w:t>
      </w:r>
      <w:r>
        <w:rPr>
          <w:rFonts w:hint="default" w:ascii="Times New Roman" w:hAnsi="Times New Roman" w:cs="Times New Roman"/>
          <w:color w:val="auto"/>
          <w:spacing w:val="0"/>
          <w:kern w:val="24"/>
          <w:highlight w:val="none"/>
          <w:lang w:val="en-US" w:eastAsia="zh-CN"/>
        </w:rPr>
        <w:t>7</w:t>
      </w:r>
      <w:r>
        <w:rPr>
          <w:rFonts w:hint="default" w:ascii="Times New Roman" w:hAnsi="Times New Roman" w:cs="Times New Roman"/>
          <w:color w:val="auto"/>
          <w:spacing w:val="0"/>
          <w:kern w:val="24"/>
          <w:highlight w:val="none"/>
        </w:rPr>
        <w:t>年（品牌构建阶段），</w:t>
      </w:r>
      <w:r>
        <w:rPr>
          <w:rFonts w:hint="default" w:ascii="Times New Roman" w:hAnsi="Times New Roman" w:cs="Times New Roman"/>
          <w:color w:val="auto"/>
          <w:spacing w:val="0"/>
          <w:kern w:val="24"/>
          <w:highlight w:val="none"/>
          <w:lang w:val="en-US" w:eastAsia="zh-CN"/>
        </w:rPr>
        <w:t>中</w:t>
      </w:r>
      <w:r>
        <w:rPr>
          <w:rFonts w:hint="default" w:ascii="Times New Roman" w:hAnsi="Times New Roman" w:cs="Times New Roman"/>
          <w:color w:val="auto"/>
          <w:spacing w:val="0"/>
          <w:kern w:val="24"/>
          <w:highlight w:val="none"/>
        </w:rPr>
        <w:t>期为202</w:t>
      </w:r>
      <w:r>
        <w:rPr>
          <w:rFonts w:hint="default" w:ascii="Times New Roman" w:hAnsi="Times New Roman" w:cs="Times New Roman"/>
          <w:color w:val="auto"/>
          <w:spacing w:val="0"/>
          <w:kern w:val="24"/>
          <w:highlight w:val="none"/>
          <w:lang w:val="en-US" w:eastAsia="zh-CN"/>
        </w:rPr>
        <w:t>8</w:t>
      </w:r>
      <w:r>
        <w:rPr>
          <w:rFonts w:hint="default" w:ascii="Times New Roman" w:hAnsi="Times New Roman" w:cs="Times New Roman"/>
          <w:color w:val="auto"/>
          <w:spacing w:val="0"/>
          <w:kern w:val="24"/>
          <w:highlight w:val="none"/>
        </w:rPr>
        <w:t>-20</w:t>
      </w:r>
      <w:r>
        <w:rPr>
          <w:rFonts w:hint="default" w:ascii="Times New Roman" w:hAnsi="Times New Roman" w:cs="Times New Roman"/>
          <w:color w:val="auto"/>
          <w:spacing w:val="0"/>
          <w:kern w:val="24"/>
          <w:highlight w:val="none"/>
          <w:lang w:val="en-US" w:eastAsia="zh-CN"/>
        </w:rPr>
        <w:t>30</w:t>
      </w:r>
      <w:r>
        <w:rPr>
          <w:rFonts w:hint="default" w:ascii="Times New Roman" w:hAnsi="Times New Roman" w:cs="Times New Roman"/>
          <w:color w:val="auto"/>
          <w:spacing w:val="0"/>
          <w:kern w:val="24"/>
          <w:highlight w:val="none"/>
        </w:rPr>
        <w:t>年（持续造势阶段），</w:t>
      </w:r>
      <w:r>
        <w:rPr>
          <w:rFonts w:hint="default" w:ascii="Times New Roman" w:hAnsi="Times New Roman" w:cs="Times New Roman"/>
          <w:color w:val="auto"/>
          <w:spacing w:val="0"/>
          <w:kern w:val="24"/>
          <w:highlight w:val="none"/>
          <w:lang w:val="en-US" w:eastAsia="zh-CN"/>
        </w:rPr>
        <w:t>远</w:t>
      </w:r>
      <w:r>
        <w:rPr>
          <w:rFonts w:hint="default" w:ascii="Times New Roman" w:hAnsi="Times New Roman" w:cs="Times New Roman"/>
          <w:color w:val="auto"/>
          <w:spacing w:val="0"/>
          <w:kern w:val="24"/>
          <w:highlight w:val="none"/>
        </w:rPr>
        <w:t>期为20</w:t>
      </w:r>
      <w:r>
        <w:rPr>
          <w:rFonts w:hint="default" w:ascii="Times New Roman" w:hAnsi="Times New Roman" w:cs="Times New Roman"/>
          <w:color w:val="auto"/>
          <w:spacing w:val="0"/>
          <w:kern w:val="24"/>
          <w:highlight w:val="none"/>
          <w:lang w:val="en-US" w:eastAsia="zh-CN"/>
        </w:rPr>
        <w:t>31</w:t>
      </w:r>
      <w:r>
        <w:rPr>
          <w:rFonts w:hint="default" w:ascii="Times New Roman" w:hAnsi="Times New Roman" w:cs="Times New Roman"/>
          <w:color w:val="auto"/>
          <w:spacing w:val="0"/>
          <w:kern w:val="24"/>
          <w:highlight w:val="none"/>
        </w:rPr>
        <w:t>-20</w:t>
      </w:r>
      <w:r>
        <w:rPr>
          <w:rFonts w:hint="default" w:ascii="Times New Roman" w:hAnsi="Times New Roman" w:cs="Times New Roman"/>
          <w:color w:val="auto"/>
          <w:spacing w:val="0"/>
          <w:kern w:val="24"/>
          <w:highlight w:val="none"/>
          <w:lang w:val="en-US" w:eastAsia="zh-CN"/>
        </w:rPr>
        <w:t>35</w:t>
      </w:r>
      <w:r>
        <w:rPr>
          <w:rFonts w:hint="default" w:ascii="Times New Roman" w:hAnsi="Times New Roman" w:cs="Times New Roman"/>
          <w:color w:val="auto"/>
          <w:spacing w:val="0"/>
          <w:kern w:val="24"/>
          <w:highlight w:val="none"/>
        </w:rPr>
        <w:t>年（</w:t>
      </w:r>
      <w:r>
        <w:rPr>
          <w:rFonts w:hint="default" w:ascii="Times New Roman" w:hAnsi="Times New Roman" w:cs="Times New Roman"/>
          <w:bCs/>
          <w:color w:val="auto"/>
          <w:sz w:val="24"/>
          <w:szCs w:val="20"/>
          <w:highlight w:val="none"/>
          <w:lang w:val="en-US" w:eastAsia="zh-CN"/>
        </w:rPr>
        <w:t>市场巩固阶段</w:t>
      </w:r>
      <w:r>
        <w:rPr>
          <w:rFonts w:hint="default" w:ascii="Times New Roman" w:hAnsi="Times New Roman" w:cs="Times New Roman"/>
          <w:color w:val="auto"/>
          <w:spacing w:val="0"/>
          <w:kern w:val="24"/>
          <w:highlight w:val="none"/>
        </w:rPr>
        <w:t>）；影响预测与评价中期以20</w:t>
      </w:r>
      <w:r>
        <w:rPr>
          <w:rFonts w:hint="default" w:ascii="Times New Roman" w:hAnsi="Times New Roman" w:cs="Times New Roman"/>
          <w:color w:val="auto"/>
          <w:spacing w:val="0"/>
          <w:kern w:val="24"/>
          <w:highlight w:val="none"/>
          <w:lang w:val="en-US" w:eastAsia="zh-CN"/>
        </w:rPr>
        <w:t>30</w:t>
      </w:r>
      <w:r>
        <w:rPr>
          <w:rFonts w:hint="default" w:ascii="Times New Roman" w:hAnsi="Times New Roman" w:cs="Times New Roman"/>
          <w:color w:val="auto"/>
          <w:spacing w:val="0"/>
          <w:kern w:val="24"/>
          <w:highlight w:val="none"/>
        </w:rPr>
        <w:t>年为基准，远期以规划项目全部实施的20</w:t>
      </w:r>
      <w:r>
        <w:rPr>
          <w:rFonts w:hint="default" w:ascii="Times New Roman" w:hAnsi="Times New Roman" w:cs="Times New Roman"/>
          <w:color w:val="auto"/>
          <w:spacing w:val="0"/>
          <w:kern w:val="24"/>
          <w:highlight w:val="none"/>
          <w:lang w:val="en-US" w:eastAsia="zh-CN"/>
        </w:rPr>
        <w:t>35</w:t>
      </w:r>
      <w:r>
        <w:rPr>
          <w:rFonts w:hint="default" w:ascii="Times New Roman" w:hAnsi="Times New Roman" w:cs="Times New Roman"/>
          <w:color w:val="auto"/>
          <w:spacing w:val="0"/>
          <w:kern w:val="24"/>
          <w:highlight w:val="none"/>
        </w:rPr>
        <w:t>年为基准进行计算。</w:t>
      </w:r>
    </w:p>
    <w:p w14:paraId="21CC85A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（5）根据本次规划，</w:t>
      </w:r>
      <w:r>
        <w:rPr>
          <w:rFonts w:hint="default" w:ascii="Times New Roman" w:hAnsi="Times New Roman" w:cs="Times New Roman"/>
          <w:color w:val="auto"/>
          <w:spacing w:val="0"/>
          <w:kern w:val="24"/>
          <w:highlight w:val="none"/>
          <w:lang w:eastAsia="zh-CN"/>
        </w:rPr>
        <w:t>岗云杉林景区</w:t>
      </w:r>
      <w:r>
        <w:rPr>
          <w:rFonts w:hint="default" w:ascii="Times New Roman" w:hAnsi="Times New Roman" w:cs="Times New Roman"/>
          <w:color w:val="auto"/>
          <w:spacing w:val="0"/>
          <w:kern w:val="24"/>
          <w:highlight w:val="none"/>
        </w:rPr>
        <w:t>设计旅游天数按照</w:t>
      </w:r>
      <w:r>
        <w:rPr>
          <w:rFonts w:hint="default" w:ascii="Times New Roman" w:hAnsi="Times New Roman" w:cs="Times New Roman"/>
          <w:color w:val="auto"/>
          <w:spacing w:val="0"/>
          <w:kern w:val="24"/>
          <w:highlight w:val="none"/>
          <w:lang w:val="en-US" w:eastAsia="zh-CN"/>
        </w:rPr>
        <w:t>24</w:t>
      </w:r>
      <w:r>
        <w:rPr>
          <w:rFonts w:hint="default" w:ascii="Times New Roman" w:hAnsi="Times New Roman" w:cs="Times New Roman"/>
          <w:color w:val="auto"/>
          <w:spacing w:val="0"/>
          <w:kern w:val="24"/>
          <w:highlight w:val="none"/>
        </w:rPr>
        <w:t>5d考虑（全年），其中6月、7月、8月以及五一、中秋、国庆假期为旺季，按照100d考虑，预计可接待年游客量的</w:t>
      </w:r>
      <w:r>
        <w:rPr>
          <w:rFonts w:hint="default" w:ascii="Times New Roman" w:hAnsi="Times New Roman" w:cs="Times New Roman"/>
          <w:color w:val="auto"/>
          <w:spacing w:val="0"/>
          <w:kern w:val="24"/>
          <w:highlight w:val="none"/>
          <w:lang w:val="en-US" w:eastAsia="zh-CN"/>
        </w:rPr>
        <w:t>6</w:t>
      </w:r>
      <w:r>
        <w:rPr>
          <w:rFonts w:hint="default" w:ascii="Times New Roman" w:hAnsi="Times New Roman" w:cs="Times New Roman"/>
          <w:color w:val="auto"/>
          <w:spacing w:val="0"/>
          <w:kern w:val="24"/>
          <w:highlight w:val="none"/>
        </w:rPr>
        <w:t>0%；其余时间为淡季，预计接待</w:t>
      </w:r>
      <w:r>
        <w:rPr>
          <w:rFonts w:hint="default" w:ascii="Times New Roman" w:hAnsi="Times New Roman" w:cs="Times New Roman"/>
          <w:color w:val="auto"/>
          <w:spacing w:val="0"/>
          <w:kern w:val="24"/>
          <w:highlight w:val="none"/>
          <w:lang w:val="en-US" w:eastAsia="zh-CN"/>
        </w:rPr>
        <w:t>4</w:t>
      </w:r>
      <w:r>
        <w:rPr>
          <w:rFonts w:hint="default" w:ascii="Times New Roman" w:hAnsi="Times New Roman" w:cs="Times New Roman"/>
          <w:color w:val="auto"/>
          <w:spacing w:val="0"/>
          <w:kern w:val="24"/>
          <w:highlight w:val="none"/>
        </w:rPr>
        <w:t>0%的游客。</w:t>
      </w:r>
    </w:p>
    <w:p w14:paraId="3E3054A6">
      <w:pPr>
        <w:pStyle w:val="545"/>
        <w:adjustRightInd/>
        <w:spacing w:line="360" w:lineRule="auto"/>
        <w:ind w:firstLine="482"/>
        <w:jc w:val="both"/>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（二）人口和旅客规模预测</w:t>
      </w:r>
    </w:p>
    <w:p w14:paraId="5F2C3D3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（1）常住居民：根据20</w:t>
      </w:r>
      <w:r>
        <w:rPr>
          <w:rFonts w:hint="default" w:ascii="Times New Roman" w:hAnsi="Times New Roman" w:cs="Times New Roman"/>
          <w:color w:val="auto"/>
          <w:spacing w:val="0"/>
          <w:kern w:val="24"/>
          <w:highlight w:val="none"/>
          <w:lang w:val="en-US" w:eastAsia="zh-CN"/>
        </w:rPr>
        <w:t>26</w:t>
      </w:r>
      <w:r>
        <w:rPr>
          <w:rFonts w:hint="default" w:ascii="Times New Roman" w:hAnsi="Times New Roman" w:cs="Times New Roman"/>
          <w:color w:val="auto"/>
          <w:spacing w:val="0"/>
          <w:kern w:val="24"/>
          <w:highlight w:val="none"/>
        </w:rPr>
        <w:t>年</w:t>
      </w:r>
      <w:r>
        <w:rPr>
          <w:rFonts w:hint="default" w:ascii="Times New Roman" w:hAnsi="Times New Roman" w:cs="Times New Roman"/>
          <w:color w:val="auto"/>
          <w:spacing w:val="0"/>
          <w:kern w:val="24"/>
          <w:highlight w:val="none"/>
          <w:lang w:val="en-US" w:eastAsia="zh-CN"/>
        </w:rPr>
        <w:t>4</w:t>
      </w:r>
      <w:r>
        <w:rPr>
          <w:rFonts w:hint="default" w:ascii="Times New Roman" w:hAnsi="Times New Roman" w:cs="Times New Roman"/>
          <w:color w:val="auto"/>
          <w:spacing w:val="0"/>
          <w:kern w:val="24"/>
          <w:highlight w:val="none"/>
        </w:rPr>
        <w:t>月现场调查，景区内现有常住居民</w:t>
      </w:r>
      <w:r>
        <w:rPr>
          <w:rFonts w:hint="default" w:ascii="Times New Roman" w:hAnsi="Times New Roman" w:cs="Times New Roman"/>
          <w:color w:val="auto"/>
          <w:spacing w:val="0"/>
          <w:kern w:val="24"/>
          <w:highlight w:val="none"/>
          <w:lang w:val="en-US" w:eastAsia="zh-CN"/>
        </w:rPr>
        <w:t>495</w:t>
      </w:r>
      <w:r>
        <w:rPr>
          <w:rFonts w:hint="default" w:ascii="Times New Roman" w:hAnsi="Times New Roman" w:cs="Times New Roman"/>
          <w:color w:val="auto"/>
          <w:spacing w:val="0"/>
          <w:kern w:val="24"/>
          <w:highlight w:val="none"/>
        </w:rPr>
        <w:t>人；因</w:t>
      </w:r>
      <w:r>
        <w:rPr>
          <w:rFonts w:hint="default" w:ascii="Times New Roman" w:hAnsi="Times New Roman" w:cs="Times New Roman"/>
          <w:color w:val="auto"/>
          <w:spacing w:val="0"/>
          <w:kern w:val="24"/>
          <w:highlight w:val="none"/>
          <w:lang w:eastAsia="zh-CN"/>
        </w:rPr>
        <w:t>规划区部分位于雅鲁藏布大峡谷国家级自然保护区、西藏嘎朗国家湿地公园、生态保护红线</w:t>
      </w:r>
      <w:r>
        <w:rPr>
          <w:rFonts w:hint="default" w:ascii="Times New Roman" w:hAnsi="Times New Roman" w:cs="Times New Roman"/>
          <w:color w:val="auto"/>
          <w:spacing w:val="0"/>
          <w:kern w:val="24"/>
          <w:highlight w:val="none"/>
        </w:rPr>
        <w:t>内，需</w:t>
      </w:r>
      <w:r>
        <w:rPr>
          <w:rFonts w:hint="default" w:ascii="Times New Roman" w:hAnsi="Times New Roman" w:cs="Times New Roman"/>
          <w:bCs/>
          <w:color w:val="auto"/>
          <w:highlight w:val="none"/>
        </w:rPr>
        <w:t>严格控制居民人口规模和居民点建设规模</w:t>
      </w:r>
      <w:r>
        <w:rPr>
          <w:rFonts w:hint="default" w:ascii="Times New Roman" w:hAnsi="Times New Roman" w:cs="Times New Roman"/>
          <w:color w:val="auto"/>
          <w:spacing w:val="0"/>
          <w:kern w:val="24"/>
          <w:highlight w:val="none"/>
        </w:rPr>
        <w:t>，</w:t>
      </w:r>
      <w:r>
        <w:rPr>
          <w:rFonts w:hint="default" w:ascii="Times New Roman" w:hAnsi="Times New Roman" w:cs="Times New Roman"/>
          <w:color w:val="auto"/>
          <w:spacing w:val="0"/>
          <w:kern w:val="24"/>
          <w:highlight w:val="none"/>
          <w:lang w:val="en-US" w:eastAsia="zh-CN"/>
        </w:rPr>
        <w:t>人口保持不变或减少</w:t>
      </w:r>
      <w:r>
        <w:rPr>
          <w:rFonts w:hint="default" w:ascii="Times New Roman" w:hAnsi="Times New Roman" w:cs="Times New Roman"/>
          <w:color w:val="auto"/>
          <w:spacing w:val="0"/>
          <w:kern w:val="24"/>
          <w:highlight w:val="none"/>
        </w:rPr>
        <w:t>，则20</w:t>
      </w:r>
      <w:r>
        <w:rPr>
          <w:rFonts w:hint="default" w:ascii="Times New Roman" w:hAnsi="Times New Roman" w:cs="Times New Roman"/>
          <w:color w:val="auto"/>
          <w:spacing w:val="0"/>
          <w:kern w:val="24"/>
          <w:highlight w:val="none"/>
          <w:lang w:val="en-US" w:eastAsia="zh-CN"/>
        </w:rPr>
        <w:t>35</w:t>
      </w:r>
      <w:r>
        <w:rPr>
          <w:rFonts w:hint="default" w:ascii="Times New Roman" w:hAnsi="Times New Roman" w:cs="Times New Roman"/>
          <w:color w:val="auto"/>
          <w:spacing w:val="0"/>
          <w:kern w:val="24"/>
          <w:highlight w:val="none"/>
        </w:rPr>
        <w:t>年景区内有常住居民</w:t>
      </w:r>
      <w:r>
        <w:rPr>
          <w:rFonts w:hint="default" w:ascii="Times New Roman" w:hAnsi="Times New Roman" w:cs="Times New Roman"/>
          <w:color w:val="auto"/>
          <w:spacing w:val="0"/>
          <w:kern w:val="24"/>
          <w:highlight w:val="none"/>
          <w:lang w:val="en-US" w:eastAsia="zh-CN"/>
        </w:rPr>
        <w:t>按495</w:t>
      </w:r>
      <w:r>
        <w:rPr>
          <w:rFonts w:hint="default" w:ascii="Times New Roman" w:hAnsi="Times New Roman" w:cs="Times New Roman"/>
          <w:color w:val="auto"/>
          <w:spacing w:val="0"/>
          <w:kern w:val="24"/>
          <w:highlight w:val="none"/>
        </w:rPr>
        <w:t>人</w:t>
      </w:r>
      <w:r>
        <w:rPr>
          <w:rFonts w:hint="default" w:ascii="Times New Roman" w:hAnsi="Times New Roman" w:cs="Times New Roman"/>
          <w:color w:val="auto"/>
          <w:spacing w:val="0"/>
          <w:kern w:val="24"/>
          <w:highlight w:val="none"/>
          <w:lang w:val="en-US" w:eastAsia="zh-CN"/>
        </w:rPr>
        <w:t>确定</w:t>
      </w:r>
      <w:r>
        <w:rPr>
          <w:rFonts w:hint="default" w:ascii="Times New Roman" w:hAnsi="Times New Roman" w:cs="Times New Roman"/>
          <w:color w:val="auto"/>
          <w:spacing w:val="0"/>
          <w:kern w:val="24"/>
          <w:highlight w:val="none"/>
        </w:rPr>
        <w:t>。</w:t>
      </w:r>
    </w:p>
    <w:p w14:paraId="3F3664A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（2）旅客和工作人员：根据规划，20</w:t>
      </w:r>
      <w:r>
        <w:rPr>
          <w:rFonts w:hint="default" w:ascii="Times New Roman" w:hAnsi="Times New Roman" w:cs="Times New Roman"/>
          <w:color w:val="auto"/>
          <w:spacing w:val="0"/>
          <w:kern w:val="24"/>
          <w:highlight w:val="none"/>
          <w:lang w:val="en-US" w:eastAsia="zh-CN"/>
        </w:rPr>
        <w:t>30</w:t>
      </w:r>
      <w:r>
        <w:rPr>
          <w:rFonts w:hint="default" w:ascii="Times New Roman" w:hAnsi="Times New Roman" w:cs="Times New Roman"/>
          <w:color w:val="auto"/>
          <w:spacing w:val="0"/>
          <w:kern w:val="24"/>
          <w:highlight w:val="none"/>
        </w:rPr>
        <w:t>年景区游客规模为</w:t>
      </w:r>
      <w:r>
        <w:rPr>
          <w:rFonts w:hint="default" w:ascii="Times New Roman" w:hAnsi="Times New Roman" w:cs="Times New Roman"/>
          <w:color w:val="auto"/>
          <w:spacing w:val="0"/>
          <w:kern w:val="24"/>
          <w:highlight w:val="none"/>
          <w:lang w:val="en-US" w:eastAsia="zh-CN"/>
        </w:rPr>
        <w:t>22.59</w:t>
      </w:r>
      <w:r>
        <w:rPr>
          <w:rFonts w:hint="default" w:ascii="Times New Roman" w:hAnsi="Times New Roman" w:cs="Times New Roman"/>
          <w:color w:val="auto"/>
          <w:spacing w:val="0"/>
          <w:kern w:val="24"/>
          <w:highlight w:val="none"/>
        </w:rPr>
        <w:t>万人，游客住宿率为10%，床位平均利用率</w:t>
      </w:r>
      <w:r>
        <w:rPr>
          <w:rFonts w:hint="default" w:ascii="Times New Roman" w:hAnsi="Times New Roman" w:cs="Times New Roman"/>
          <w:color w:val="auto"/>
          <w:spacing w:val="0"/>
          <w:kern w:val="24"/>
          <w:highlight w:val="none"/>
          <w:lang w:val="en-US" w:eastAsia="zh-CN"/>
        </w:rPr>
        <w:t>为6</w:t>
      </w:r>
      <w:r>
        <w:rPr>
          <w:rFonts w:hint="default" w:ascii="Times New Roman" w:hAnsi="Times New Roman" w:cs="Times New Roman"/>
          <w:color w:val="auto"/>
          <w:spacing w:val="0"/>
          <w:kern w:val="24"/>
          <w:highlight w:val="none"/>
        </w:rPr>
        <w:t>0%</w:t>
      </w:r>
      <w:r>
        <w:rPr>
          <w:rFonts w:hint="default" w:ascii="Times New Roman" w:hAnsi="Times New Roman" w:cs="Times New Roman"/>
          <w:color w:val="auto"/>
          <w:spacing w:val="0"/>
          <w:kern w:val="24"/>
          <w:highlight w:val="none"/>
          <w:lang w:eastAsia="zh-CN"/>
        </w:rPr>
        <w:t>，</w:t>
      </w:r>
      <w:r>
        <w:rPr>
          <w:rFonts w:hint="default" w:ascii="Times New Roman" w:hAnsi="Times New Roman" w:cs="Times New Roman"/>
          <w:color w:val="auto"/>
          <w:spacing w:val="0"/>
          <w:kern w:val="24"/>
          <w:highlight w:val="none"/>
        </w:rPr>
        <w:t>规划区内床位数为</w:t>
      </w:r>
      <w:r>
        <w:rPr>
          <w:rFonts w:hint="default" w:ascii="Times New Roman" w:hAnsi="Times New Roman" w:cs="Times New Roman"/>
          <w:color w:val="auto"/>
          <w:spacing w:val="0"/>
          <w:kern w:val="24"/>
          <w:highlight w:val="none"/>
          <w:lang w:val="en-US" w:eastAsia="zh-CN"/>
        </w:rPr>
        <w:t>232</w:t>
      </w:r>
      <w:r>
        <w:rPr>
          <w:rFonts w:hint="default" w:ascii="Times New Roman" w:hAnsi="Times New Roman" w:cs="Times New Roman"/>
          <w:color w:val="auto"/>
          <w:spacing w:val="0"/>
          <w:kern w:val="24"/>
          <w:highlight w:val="none"/>
        </w:rPr>
        <w:t>张，工作人员约</w:t>
      </w:r>
      <w:r>
        <w:rPr>
          <w:rFonts w:hint="default" w:ascii="Times New Roman" w:hAnsi="Times New Roman" w:cs="Times New Roman"/>
          <w:color w:val="auto"/>
          <w:spacing w:val="0"/>
          <w:kern w:val="24"/>
          <w:highlight w:val="none"/>
          <w:lang w:val="en-US" w:eastAsia="zh-CN"/>
        </w:rPr>
        <w:t>10</w:t>
      </w:r>
      <w:r>
        <w:rPr>
          <w:rFonts w:hint="default" w:ascii="Times New Roman" w:hAnsi="Times New Roman" w:cs="Times New Roman"/>
          <w:color w:val="auto"/>
          <w:spacing w:val="0"/>
          <w:kern w:val="24"/>
          <w:highlight w:val="none"/>
        </w:rPr>
        <w:t>0人；20</w:t>
      </w:r>
      <w:r>
        <w:rPr>
          <w:rFonts w:hint="default" w:ascii="Times New Roman" w:hAnsi="Times New Roman" w:cs="Times New Roman"/>
          <w:color w:val="auto"/>
          <w:spacing w:val="0"/>
          <w:kern w:val="24"/>
          <w:highlight w:val="none"/>
          <w:lang w:val="en-US" w:eastAsia="zh-CN"/>
        </w:rPr>
        <w:t>35</w:t>
      </w:r>
      <w:r>
        <w:rPr>
          <w:rFonts w:hint="default" w:ascii="Times New Roman" w:hAnsi="Times New Roman" w:cs="Times New Roman"/>
          <w:color w:val="auto"/>
          <w:spacing w:val="0"/>
          <w:kern w:val="24"/>
          <w:highlight w:val="none"/>
        </w:rPr>
        <w:t>年景区游客规模为</w:t>
      </w:r>
      <w:r>
        <w:rPr>
          <w:rFonts w:hint="default" w:ascii="Times New Roman" w:hAnsi="Times New Roman" w:cs="Times New Roman"/>
          <w:color w:val="auto"/>
          <w:spacing w:val="0"/>
          <w:kern w:val="24"/>
          <w:highlight w:val="none"/>
          <w:lang w:val="en-US" w:eastAsia="zh-CN"/>
        </w:rPr>
        <w:t>50.12</w:t>
      </w:r>
      <w:r>
        <w:rPr>
          <w:rFonts w:hint="default" w:ascii="Times New Roman" w:hAnsi="Times New Roman" w:cs="Times New Roman"/>
          <w:color w:val="auto"/>
          <w:spacing w:val="0"/>
          <w:kern w:val="24"/>
          <w:highlight w:val="none"/>
        </w:rPr>
        <w:t>万人，游客住宿率为1</w:t>
      </w:r>
      <w:r>
        <w:rPr>
          <w:rFonts w:hint="default" w:ascii="Times New Roman" w:hAnsi="Times New Roman" w:cs="Times New Roman"/>
          <w:color w:val="auto"/>
          <w:spacing w:val="0"/>
          <w:kern w:val="24"/>
          <w:highlight w:val="none"/>
          <w:lang w:val="en-US" w:eastAsia="zh-CN"/>
        </w:rPr>
        <w:t>2</w:t>
      </w:r>
      <w:r>
        <w:rPr>
          <w:rFonts w:hint="default" w:ascii="Times New Roman" w:hAnsi="Times New Roman" w:cs="Times New Roman"/>
          <w:color w:val="auto"/>
          <w:spacing w:val="0"/>
          <w:kern w:val="24"/>
          <w:highlight w:val="none"/>
        </w:rPr>
        <w:t>%，床位平均利用率</w:t>
      </w:r>
      <w:r>
        <w:rPr>
          <w:rFonts w:hint="default" w:ascii="Times New Roman" w:hAnsi="Times New Roman" w:cs="Times New Roman"/>
          <w:color w:val="auto"/>
          <w:spacing w:val="0"/>
          <w:kern w:val="24"/>
          <w:highlight w:val="none"/>
          <w:lang w:val="en-US" w:eastAsia="zh-CN"/>
        </w:rPr>
        <w:t>为9</w:t>
      </w:r>
      <w:r>
        <w:rPr>
          <w:rFonts w:hint="default" w:ascii="Times New Roman" w:hAnsi="Times New Roman" w:cs="Times New Roman"/>
          <w:color w:val="auto"/>
          <w:spacing w:val="0"/>
          <w:kern w:val="24"/>
          <w:highlight w:val="none"/>
        </w:rPr>
        <w:t>0%</w:t>
      </w:r>
      <w:r>
        <w:rPr>
          <w:rFonts w:hint="default" w:ascii="Times New Roman" w:hAnsi="Times New Roman" w:cs="Times New Roman"/>
          <w:color w:val="auto"/>
          <w:spacing w:val="0"/>
          <w:kern w:val="24"/>
          <w:highlight w:val="none"/>
          <w:lang w:eastAsia="zh-CN"/>
        </w:rPr>
        <w:t>，</w:t>
      </w:r>
      <w:r>
        <w:rPr>
          <w:rFonts w:hint="default" w:ascii="Times New Roman" w:hAnsi="Times New Roman" w:cs="Times New Roman"/>
          <w:color w:val="auto"/>
          <w:spacing w:val="0"/>
          <w:kern w:val="24"/>
          <w:highlight w:val="none"/>
        </w:rPr>
        <w:t>规划区内床位数为</w:t>
      </w:r>
      <w:r>
        <w:rPr>
          <w:rFonts w:hint="default" w:ascii="Times New Roman" w:hAnsi="Times New Roman" w:cs="Times New Roman"/>
          <w:color w:val="auto"/>
          <w:spacing w:val="0"/>
          <w:kern w:val="24"/>
          <w:highlight w:val="none"/>
          <w:lang w:val="en-US" w:eastAsia="zh-CN"/>
        </w:rPr>
        <w:t>556</w:t>
      </w:r>
      <w:r>
        <w:rPr>
          <w:rFonts w:hint="default" w:ascii="Times New Roman" w:hAnsi="Times New Roman" w:cs="Times New Roman"/>
          <w:color w:val="auto"/>
          <w:spacing w:val="0"/>
          <w:kern w:val="24"/>
          <w:highlight w:val="none"/>
        </w:rPr>
        <w:t>张，工作人员约</w:t>
      </w:r>
      <w:r>
        <w:rPr>
          <w:rFonts w:hint="default" w:ascii="Times New Roman" w:hAnsi="Times New Roman" w:cs="Times New Roman"/>
          <w:color w:val="auto"/>
          <w:spacing w:val="0"/>
          <w:kern w:val="24"/>
          <w:highlight w:val="none"/>
          <w:lang w:val="en-US" w:eastAsia="zh-CN"/>
        </w:rPr>
        <w:t>300</w:t>
      </w:r>
      <w:r>
        <w:rPr>
          <w:rFonts w:hint="default" w:ascii="Times New Roman" w:hAnsi="Times New Roman" w:cs="Times New Roman"/>
          <w:color w:val="auto"/>
          <w:spacing w:val="0"/>
          <w:kern w:val="24"/>
          <w:highlight w:val="none"/>
        </w:rPr>
        <w:t>人。</w:t>
      </w:r>
    </w:p>
    <w:p w14:paraId="24C0B23D">
      <w:pPr>
        <w:pStyle w:val="545"/>
        <w:adjustRightInd/>
        <w:spacing w:line="360" w:lineRule="auto"/>
        <w:ind w:firstLine="482"/>
        <w:jc w:val="both"/>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（三）情景设置</w:t>
      </w:r>
    </w:p>
    <w:p w14:paraId="0F8297E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结合规划依托的资源环境和基础设施建设条件、区域生态功能维护和环境质量改善要求等，通过论证规划的规模、布局、结构、建设时序、游客规模等因素，只有游客规模受到经济、市场、季节、疫情等多种因素影响，具有明显的不确定性。本次评价以游客规模作为驱动因子进行预测情景设置，设置情景包括一般情况和特殊情况下的游客规模：其中一般情况游客规模为规划中远期的相应游客量；特殊情况游客规模为旅游旺季时的游客量。</w:t>
      </w:r>
      <w:bookmarkStart w:id="146" w:name="_Hlk63601220"/>
      <w:r>
        <w:rPr>
          <w:rFonts w:hint="default" w:ascii="Times New Roman" w:hAnsi="Times New Roman" w:cs="Times New Roman"/>
          <w:color w:val="auto"/>
          <w:spacing w:val="0"/>
          <w:kern w:val="24"/>
          <w:highlight w:val="none"/>
        </w:rPr>
        <w:t>预测情景设置情况详见表5.1-1。</w:t>
      </w:r>
    </w:p>
    <w:p w14:paraId="2009D57B">
      <w:pPr>
        <w:pStyle w:val="666"/>
        <w:spacing w:line="360" w:lineRule="auto"/>
        <w:ind w:firstLine="0"/>
        <w:jc w:val="center"/>
        <w:rPr>
          <w:rFonts w:hint="default" w:ascii="Times New Roman" w:hAnsi="Times New Roman" w:eastAsia="黑体" w:cs="Times New Roman"/>
          <w:color w:val="auto"/>
          <w:kern w:val="0"/>
          <w:highlight w:val="none"/>
        </w:rPr>
      </w:pPr>
      <w:r>
        <w:rPr>
          <w:rFonts w:hint="default" w:ascii="Times New Roman" w:hAnsi="Times New Roman" w:eastAsia="黑体" w:cs="Times New Roman"/>
          <w:color w:val="auto"/>
          <w:kern w:val="0"/>
          <w:highlight w:val="none"/>
        </w:rPr>
        <w:t>表5.1-1  预测情景设置一览表</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47"/>
        <w:gridCol w:w="954"/>
        <w:gridCol w:w="1339"/>
        <w:gridCol w:w="1140"/>
        <w:gridCol w:w="1159"/>
        <w:gridCol w:w="1389"/>
        <w:gridCol w:w="1090"/>
        <w:gridCol w:w="1159"/>
      </w:tblGrid>
      <w:tr w14:paraId="41A8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Align w:val="center"/>
          </w:tcPr>
          <w:p w14:paraId="344F866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序号</w:t>
            </w:r>
          </w:p>
        </w:tc>
        <w:tc>
          <w:tcPr>
            <w:tcW w:w="0" w:type="auto"/>
            <w:vAlign w:val="center"/>
          </w:tcPr>
          <w:p w14:paraId="69E3280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情景类型</w:t>
            </w:r>
          </w:p>
        </w:tc>
        <w:tc>
          <w:tcPr>
            <w:tcW w:w="0" w:type="auto"/>
            <w:gridSpan w:val="3"/>
            <w:vAlign w:val="center"/>
          </w:tcPr>
          <w:p w14:paraId="4A82965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0" w:type="auto"/>
            <w:gridSpan w:val="3"/>
            <w:vAlign w:val="center"/>
          </w:tcPr>
          <w:p w14:paraId="0ECF4C2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r>
      <w:tr w14:paraId="7BC8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Merge w:val="restart"/>
            <w:vAlign w:val="center"/>
          </w:tcPr>
          <w:p w14:paraId="6755BAF0">
            <w:pPr>
              <w:pStyle w:val="545"/>
              <w:adjustRightInd/>
              <w:spacing w:line="240" w:lineRule="auto"/>
              <w:ind w:firstLine="0" w:firstLineChars="0"/>
              <w:jc w:val="center"/>
              <w:rPr>
                <w:rFonts w:hint="default" w:ascii="Times New Roman" w:hAnsi="Times New Roman" w:cs="Times New Roman" w:eastAsiaTheme="minorEastAsia"/>
                <w:b/>
                <w:color w:val="auto"/>
                <w:spacing w:val="0"/>
                <w:kern w:val="24"/>
                <w:sz w:val="21"/>
                <w:szCs w:val="21"/>
                <w:highlight w:val="none"/>
              </w:rPr>
            </w:pPr>
            <w:r>
              <w:rPr>
                <w:rFonts w:hint="default" w:ascii="Times New Roman" w:hAnsi="Times New Roman" w:cs="Times New Roman" w:eastAsiaTheme="minorEastAsia"/>
                <w:b/>
                <w:color w:val="auto"/>
                <w:spacing w:val="0"/>
                <w:kern w:val="24"/>
                <w:sz w:val="21"/>
                <w:szCs w:val="21"/>
                <w:highlight w:val="none"/>
              </w:rPr>
              <w:t>情景一</w:t>
            </w:r>
          </w:p>
        </w:tc>
        <w:tc>
          <w:tcPr>
            <w:tcW w:w="0" w:type="auto"/>
            <w:vMerge w:val="restart"/>
            <w:vAlign w:val="center"/>
          </w:tcPr>
          <w:p w14:paraId="5EF16DE4">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一般情况</w:t>
            </w:r>
          </w:p>
        </w:tc>
        <w:tc>
          <w:tcPr>
            <w:tcW w:w="0" w:type="auto"/>
            <w:gridSpan w:val="2"/>
            <w:vAlign w:val="center"/>
          </w:tcPr>
          <w:p w14:paraId="6F11A276">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一日游客</w:t>
            </w:r>
          </w:p>
        </w:tc>
        <w:tc>
          <w:tcPr>
            <w:tcW w:w="0" w:type="auto"/>
            <w:vAlign w:val="center"/>
          </w:tcPr>
          <w:p w14:paraId="1292728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20331</w:t>
            </w:r>
            <w:r>
              <w:rPr>
                <w:rFonts w:hint="default" w:ascii="Times New Roman" w:hAnsi="Times New Roman" w:cs="Times New Roman"/>
                <w:color w:val="auto"/>
                <w:szCs w:val="21"/>
                <w:highlight w:val="none"/>
              </w:rPr>
              <w:t>0人/a</w:t>
            </w:r>
          </w:p>
        </w:tc>
        <w:tc>
          <w:tcPr>
            <w:tcW w:w="0" w:type="auto"/>
            <w:gridSpan w:val="2"/>
            <w:vAlign w:val="center"/>
          </w:tcPr>
          <w:p w14:paraId="1740104A">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一日游客</w:t>
            </w:r>
          </w:p>
        </w:tc>
        <w:tc>
          <w:tcPr>
            <w:tcW w:w="0" w:type="auto"/>
            <w:vAlign w:val="center"/>
          </w:tcPr>
          <w:p w14:paraId="0FBDB4A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441056</w:t>
            </w:r>
            <w:r>
              <w:rPr>
                <w:rFonts w:hint="default" w:ascii="Times New Roman" w:hAnsi="Times New Roman" w:cs="Times New Roman"/>
                <w:color w:val="auto"/>
                <w:szCs w:val="21"/>
                <w:highlight w:val="none"/>
              </w:rPr>
              <w:t>人/a</w:t>
            </w:r>
          </w:p>
        </w:tc>
      </w:tr>
      <w:tr w14:paraId="7227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Merge w:val="continue"/>
            <w:vAlign w:val="center"/>
          </w:tcPr>
          <w:p w14:paraId="55D7DABB">
            <w:pPr>
              <w:pStyle w:val="545"/>
              <w:adjustRightInd/>
              <w:spacing w:line="240" w:lineRule="auto"/>
              <w:ind w:firstLine="0" w:firstLineChars="0"/>
              <w:jc w:val="center"/>
              <w:rPr>
                <w:rFonts w:hint="default" w:ascii="Times New Roman" w:hAnsi="Times New Roman" w:cs="Times New Roman" w:eastAsiaTheme="minorEastAsia"/>
                <w:b/>
                <w:color w:val="auto"/>
                <w:spacing w:val="0"/>
                <w:kern w:val="24"/>
                <w:sz w:val="21"/>
                <w:szCs w:val="21"/>
                <w:highlight w:val="none"/>
              </w:rPr>
            </w:pPr>
          </w:p>
        </w:tc>
        <w:tc>
          <w:tcPr>
            <w:tcW w:w="0" w:type="auto"/>
            <w:vMerge w:val="continue"/>
            <w:vAlign w:val="center"/>
          </w:tcPr>
          <w:p w14:paraId="54EF1691">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0" w:type="auto"/>
            <w:gridSpan w:val="2"/>
            <w:vAlign w:val="center"/>
          </w:tcPr>
          <w:p w14:paraId="7341A252">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留宿游客（规划区内）</w:t>
            </w:r>
          </w:p>
        </w:tc>
        <w:tc>
          <w:tcPr>
            <w:tcW w:w="0" w:type="auto"/>
            <w:vAlign w:val="center"/>
          </w:tcPr>
          <w:p w14:paraId="37FD285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22590</w:t>
            </w:r>
            <w:r>
              <w:rPr>
                <w:rFonts w:hint="default" w:ascii="Times New Roman" w:hAnsi="Times New Roman" w:cs="Times New Roman"/>
                <w:color w:val="auto"/>
                <w:szCs w:val="21"/>
                <w:highlight w:val="none"/>
              </w:rPr>
              <w:t>人/a</w:t>
            </w:r>
          </w:p>
        </w:tc>
        <w:tc>
          <w:tcPr>
            <w:tcW w:w="0" w:type="auto"/>
            <w:gridSpan w:val="2"/>
            <w:vAlign w:val="center"/>
          </w:tcPr>
          <w:p w14:paraId="06015186">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留宿游客（规划区内）</w:t>
            </w:r>
          </w:p>
        </w:tc>
        <w:tc>
          <w:tcPr>
            <w:tcW w:w="0" w:type="auto"/>
            <w:vAlign w:val="center"/>
          </w:tcPr>
          <w:p w14:paraId="7BA132D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60144</w:t>
            </w:r>
            <w:r>
              <w:rPr>
                <w:rFonts w:hint="default" w:ascii="Times New Roman" w:hAnsi="Times New Roman" w:cs="Times New Roman"/>
                <w:color w:val="auto"/>
                <w:szCs w:val="21"/>
                <w:highlight w:val="none"/>
              </w:rPr>
              <w:t>人/a</w:t>
            </w:r>
          </w:p>
        </w:tc>
      </w:tr>
      <w:tr w14:paraId="3B26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Merge w:val="restart"/>
            <w:vAlign w:val="center"/>
          </w:tcPr>
          <w:p w14:paraId="01F6FEC0">
            <w:pPr>
              <w:pStyle w:val="545"/>
              <w:adjustRightInd/>
              <w:spacing w:line="240" w:lineRule="auto"/>
              <w:ind w:firstLine="0" w:firstLineChars="0"/>
              <w:jc w:val="center"/>
              <w:rPr>
                <w:rFonts w:hint="default" w:ascii="Times New Roman" w:hAnsi="Times New Roman" w:cs="Times New Roman" w:eastAsiaTheme="minorEastAsia"/>
                <w:b/>
                <w:color w:val="auto"/>
                <w:spacing w:val="0"/>
                <w:kern w:val="24"/>
                <w:sz w:val="21"/>
                <w:szCs w:val="21"/>
                <w:highlight w:val="none"/>
              </w:rPr>
            </w:pPr>
            <w:r>
              <w:rPr>
                <w:rFonts w:hint="default" w:ascii="Times New Roman" w:hAnsi="Times New Roman" w:cs="Times New Roman" w:eastAsiaTheme="minorEastAsia"/>
                <w:b/>
                <w:color w:val="auto"/>
                <w:spacing w:val="0"/>
                <w:kern w:val="24"/>
                <w:sz w:val="21"/>
                <w:szCs w:val="21"/>
                <w:highlight w:val="none"/>
              </w:rPr>
              <w:t>情景二</w:t>
            </w:r>
          </w:p>
        </w:tc>
        <w:tc>
          <w:tcPr>
            <w:tcW w:w="0" w:type="auto"/>
            <w:vMerge w:val="restart"/>
            <w:vAlign w:val="center"/>
          </w:tcPr>
          <w:p w14:paraId="7B97AF0A">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特殊情况</w:t>
            </w:r>
          </w:p>
        </w:tc>
        <w:tc>
          <w:tcPr>
            <w:tcW w:w="1339" w:type="dxa"/>
            <w:vMerge w:val="restart"/>
            <w:vAlign w:val="center"/>
          </w:tcPr>
          <w:p w14:paraId="052301A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旺季（100天）</w:t>
            </w:r>
          </w:p>
          <w:p w14:paraId="2B04421C">
            <w:pPr>
              <w:pStyle w:val="3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135600</w:t>
            </w:r>
            <w:r>
              <w:rPr>
                <w:rFonts w:hint="default" w:ascii="Times New Roman" w:hAnsi="Times New Roman" w:cs="Times New Roman"/>
                <w:color w:val="auto"/>
                <w:sz w:val="21"/>
                <w:szCs w:val="21"/>
                <w:highlight w:val="none"/>
              </w:rPr>
              <w:t>人</w:t>
            </w:r>
          </w:p>
        </w:tc>
        <w:tc>
          <w:tcPr>
            <w:tcW w:w="1140" w:type="dxa"/>
            <w:vAlign w:val="center"/>
          </w:tcPr>
          <w:p w14:paraId="5D68F41A">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一日游客</w:t>
            </w:r>
          </w:p>
        </w:tc>
        <w:tc>
          <w:tcPr>
            <w:tcW w:w="0" w:type="auto"/>
            <w:vAlign w:val="center"/>
          </w:tcPr>
          <w:p w14:paraId="1E6971A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1220</w:t>
            </w:r>
            <w:r>
              <w:rPr>
                <w:rFonts w:hint="default" w:ascii="Times New Roman" w:hAnsi="Times New Roman" w:cs="Times New Roman"/>
                <w:color w:val="auto"/>
                <w:szCs w:val="21"/>
                <w:highlight w:val="none"/>
              </w:rPr>
              <w:t>人/d</w:t>
            </w:r>
          </w:p>
        </w:tc>
        <w:tc>
          <w:tcPr>
            <w:tcW w:w="1389" w:type="dxa"/>
            <w:vMerge w:val="restart"/>
            <w:vAlign w:val="center"/>
          </w:tcPr>
          <w:p w14:paraId="4E3AA05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旺季（100天）</w:t>
            </w:r>
          </w:p>
          <w:p w14:paraId="3A26D133">
            <w:pPr>
              <w:pStyle w:val="3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3007</w:t>
            </w:r>
            <w:r>
              <w:rPr>
                <w:rFonts w:hint="default" w:ascii="Times New Roman" w:hAnsi="Times New Roman" w:cs="Times New Roman"/>
                <w:color w:val="auto"/>
                <w:sz w:val="21"/>
                <w:szCs w:val="21"/>
                <w:highlight w:val="none"/>
              </w:rPr>
              <w:t>00人</w:t>
            </w:r>
          </w:p>
        </w:tc>
        <w:tc>
          <w:tcPr>
            <w:tcW w:w="1090" w:type="dxa"/>
            <w:vAlign w:val="center"/>
          </w:tcPr>
          <w:p w14:paraId="7E345AF4">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一日游客</w:t>
            </w:r>
          </w:p>
        </w:tc>
        <w:tc>
          <w:tcPr>
            <w:tcW w:w="0" w:type="auto"/>
            <w:vAlign w:val="center"/>
          </w:tcPr>
          <w:p w14:paraId="3992432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2646</w:t>
            </w:r>
            <w:r>
              <w:rPr>
                <w:rFonts w:hint="default" w:ascii="Times New Roman" w:hAnsi="Times New Roman" w:cs="Times New Roman"/>
                <w:color w:val="auto"/>
                <w:szCs w:val="21"/>
                <w:highlight w:val="none"/>
              </w:rPr>
              <w:t>人/d</w:t>
            </w:r>
          </w:p>
        </w:tc>
      </w:tr>
      <w:tr w14:paraId="666D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Merge w:val="continue"/>
            <w:vAlign w:val="center"/>
          </w:tcPr>
          <w:p w14:paraId="554907E6">
            <w:pPr>
              <w:pStyle w:val="545"/>
              <w:adjustRightInd/>
              <w:spacing w:line="240" w:lineRule="auto"/>
              <w:ind w:firstLine="0" w:firstLineChars="0"/>
              <w:jc w:val="center"/>
              <w:rPr>
                <w:rFonts w:hint="default" w:ascii="Times New Roman" w:hAnsi="Times New Roman" w:cs="Times New Roman" w:eastAsiaTheme="minorEastAsia"/>
                <w:b/>
                <w:color w:val="auto"/>
                <w:spacing w:val="0"/>
                <w:kern w:val="24"/>
                <w:sz w:val="21"/>
                <w:szCs w:val="21"/>
                <w:highlight w:val="none"/>
              </w:rPr>
            </w:pPr>
          </w:p>
        </w:tc>
        <w:tc>
          <w:tcPr>
            <w:tcW w:w="0" w:type="auto"/>
            <w:vMerge w:val="continue"/>
            <w:vAlign w:val="center"/>
          </w:tcPr>
          <w:p w14:paraId="6DC0F485">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1339" w:type="dxa"/>
            <w:vMerge w:val="continue"/>
            <w:vAlign w:val="center"/>
          </w:tcPr>
          <w:p w14:paraId="1E7176B9">
            <w:pPr>
              <w:jc w:val="center"/>
              <w:rPr>
                <w:rFonts w:hint="default" w:ascii="Times New Roman" w:hAnsi="Times New Roman" w:cs="Times New Roman"/>
                <w:color w:val="auto"/>
                <w:szCs w:val="21"/>
                <w:highlight w:val="none"/>
              </w:rPr>
            </w:pPr>
          </w:p>
        </w:tc>
        <w:tc>
          <w:tcPr>
            <w:tcW w:w="1140" w:type="dxa"/>
            <w:vAlign w:val="center"/>
          </w:tcPr>
          <w:p w14:paraId="01E459F9">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留宿游客</w:t>
            </w:r>
          </w:p>
        </w:tc>
        <w:tc>
          <w:tcPr>
            <w:tcW w:w="0" w:type="auto"/>
            <w:vAlign w:val="center"/>
          </w:tcPr>
          <w:p w14:paraId="305C52D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136</w:t>
            </w:r>
            <w:r>
              <w:rPr>
                <w:rFonts w:hint="default" w:ascii="Times New Roman" w:hAnsi="Times New Roman" w:cs="Times New Roman"/>
                <w:color w:val="auto"/>
                <w:szCs w:val="21"/>
                <w:highlight w:val="none"/>
              </w:rPr>
              <w:t>人/d</w:t>
            </w:r>
          </w:p>
        </w:tc>
        <w:tc>
          <w:tcPr>
            <w:tcW w:w="1389" w:type="dxa"/>
            <w:vMerge w:val="continue"/>
            <w:vAlign w:val="center"/>
          </w:tcPr>
          <w:p w14:paraId="60E3C4F9">
            <w:pPr>
              <w:jc w:val="center"/>
              <w:rPr>
                <w:rFonts w:hint="default" w:ascii="Times New Roman" w:hAnsi="Times New Roman" w:cs="Times New Roman"/>
                <w:color w:val="auto"/>
                <w:szCs w:val="21"/>
                <w:highlight w:val="none"/>
              </w:rPr>
            </w:pPr>
          </w:p>
        </w:tc>
        <w:tc>
          <w:tcPr>
            <w:tcW w:w="1090" w:type="dxa"/>
            <w:vAlign w:val="center"/>
          </w:tcPr>
          <w:p w14:paraId="1D086963">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留宿游客</w:t>
            </w:r>
          </w:p>
        </w:tc>
        <w:tc>
          <w:tcPr>
            <w:tcW w:w="0" w:type="auto"/>
            <w:vAlign w:val="center"/>
          </w:tcPr>
          <w:p w14:paraId="66BFC82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361</w:t>
            </w:r>
            <w:r>
              <w:rPr>
                <w:rFonts w:hint="default" w:ascii="Times New Roman" w:hAnsi="Times New Roman" w:cs="Times New Roman"/>
                <w:color w:val="auto"/>
                <w:szCs w:val="21"/>
                <w:highlight w:val="none"/>
              </w:rPr>
              <w:t>人/d</w:t>
            </w:r>
          </w:p>
        </w:tc>
      </w:tr>
      <w:tr w14:paraId="7848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Merge w:val="continue"/>
            <w:vAlign w:val="center"/>
          </w:tcPr>
          <w:p w14:paraId="21C4D119">
            <w:pPr>
              <w:pStyle w:val="545"/>
              <w:adjustRightInd/>
              <w:spacing w:line="240" w:lineRule="auto"/>
              <w:ind w:firstLine="0" w:firstLineChars="0"/>
              <w:jc w:val="center"/>
              <w:rPr>
                <w:rFonts w:hint="default" w:ascii="Times New Roman" w:hAnsi="Times New Roman" w:cs="Times New Roman" w:eastAsiaTheme="minorEastAsia"/>
                <w:b/>
                <w:color w:val="auto"/>
                <w:spacing w:val="0"/>
                <w:kern w:val="24"/>
                <w:sz w:val="21"/>
                <w:szCs w:val="21"/>
                <w:highlight w:val="none"/>
              </w:rPr>
            </w:pPr>
          </w:p>
        </w:tc>
        <w:tc>
          <w:tcPr>
            <w:tcW w:w="0" w:type="auto"/>
            <w:vMerge w:val="continue"/>
            <w:vAlign w:val="center"/>
          </w:tcPr>
          <w:p w14:paraId="1696615C">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1339" w:type="dxa"/>
            <w:vMerge w:val="restart"/>
            <w:vAlign w:val="center"/>
          </w:tcPr>
          <w:p w14:paraId="2221BF8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淡季（</w:t>
            </w:r>
            <w:r>
              <w:rPr>
                <w:rFonts w:hint="default" w:ascii="Times New Roman" w:hAnsi="Times New Roman" w:cs="Times New Roman"/>
                <w:color w:val="auto"/>
                <w:szCs w:val="21"/>
                <w:highlight w:val="none"/>
                <w:lang w:val="en-US" w:eastAsia="zh-CN"/>
              </w:rPr>
              <w:t>14</w:t>
            </w:r>
            <w:r>
              <w:rPr>
                <w:rFonts w:hint="default" w:ascii="Times New Roman" w:hAnsi="Times New Roman" w:cs="Times New Roman"/>
                <w:color w:val="auto"/>
                <w:szCs w:val="21"/>
                <w:highlight w:val="none"/>
              </w:rPr>
              <w:t>5天）</w:t>
            </w:r>
          </w:p>
          <w:p w14:paraId="03BD1488">
            <w:pPr>
              <w:pStyle w:val="3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90335</w:t>
            </w:r>
            <w:r>
              <w:rPr>
                <w:rFonts w:hint="default" w:ascii="Times New Roman" w:hAnsi="Times New Roman" w:cs="Times New Roman"/>
                <w:color w:val="auto"/>
                <w:sz w:val="21"/>
                <w:szCs w:val="21"/>
                <w:highlight w:val="none"/>
              </w:rPr>
              <w:t>人</w:t>
            </w:r>
          </w:p>
        </w:tc>
        <w:tc>
          <w:tcPr>
            <w:tcW w:w="1140" w:type="dxa"/>
            <w:vAlign w:val="center"/>
          </w:tcPr>
          <w:p w14:paraId="07C95643">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一日游客</w:t>
            </w:r>
          </w:p>
        </w:tc>
        <w:tc>
          <w:tcPr>
            <w:tcW w:w="0" w:type="auto"/>
            <w:vAlign w:val="center"/>
          </w:tcPr>
          <w:p w14:paraId="51FF0C4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561</w:t>
            </w:r>
            <w:r>
              <w:rPr>
                <w:rFonts w:hint="default" w:ascii="Times New Roman" w:hAnsi="Times New Roman" w:cs="Times New Roman"/>
                <w:color w:val="auto"/>
                <w:szCs w:val="21"/>
                <w:highlight w:val="none"/>
              </w:rPr>
              <w:t>人/d</w:t>
            </w:r>
          </w:p>
        </w:tc>
        <w:tc>
          <w:tcPr>
            <w:tcW w:w="1389" w:type="dxa"/>
            <w:vMerge w:val="restart"/>
            <w:vAlign w:val="center"/>
          </w:tcPr>
          <w:p w14:paraId="4087B62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淡季（</w:t>
            </w:r>
            <w:r>
              <w:rPr>
                <w:rFonts w:hint="default" w:ascii="Times New Roman" w:hAnsi="Times New Roman" w:cs="Times New Roman"/>
                <w:color w:val="auto"/>
                <w:szCs w:val="21"/>
                <w:highlight w:val="none"/>
                <w:lang w:val="en-US" w:eastAsia="zh-CN"/>
              </w:rPr>
              <w:t>14</w:t>
            </w:r>
            <w:r>
              <w:rPr>
                <w:rFonts w:hint="default" w:ascii="Times New Roman" w:hAnsi="Times New Roman" w:cs="Times New Roman"/>
                <w:color w:val="auto"/>
                <w:szCs w:val="21"/>
                <w:highlight w:val="none"/>
              </w:rPr>
              <w:t>5天）</w:t>
            </w:r>
          </w:p>
          <w:p w14:paraId="316390EB">
            <w:pPr>
              <w:pStyle w:val="3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200535</w:t>
            </w:r>
            <w:r>
              <w:rPr>
                <w:rFonts w:hint="default" w:ascii="Times New Roman" w:hAnsi="Times New Roman" w:cs="Times New Roman"/>
                <w:color w:val="auto"/>
                <w:sz w:val="21"/>
                <w:szCs w:val="21"/>
                <w:highlight w:val="none"/>
              </w:rPr>
              <w:t>人</w:t>
            </w:r>
          </w:p>
        </w:tc>
        <w:tc>
          <w:tcPr>
            <w:tcW w:w="1090" w:type="dxa"/>
            <w:vAlign w:val="center"/>
          </w:tcPr>
          <w:p w14:paraId="53BB5B4A">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一日游客</w:t>
            </w:r>
          </w:p>
        </w:tc>
        <w:tc>
          <w:tcPr>
            <w:tcW w:w="0" w:type="auto"/>
            <w:vAlign w:val="center"/>
          </w:tcPr>
          <w:p w14:paraId="55AA108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1217</w:t>
            </w:r>
            <w:r>
              <w:rPr>
                <w:rFonts w:hint="default" w:ascii="Times New Roman" w:hAnsi="Times New Roman" w:cs="Times New Roman"/>
                <w:color w:val="auto"/>
                <w:szCs w:val="21"/>
                <w:highlight w:val="none"/>
              </w:rPr>
              <w:t>人/d</w:t>
            </w:r>
          </w:p>
        </w:tc>
      </w:tr>
      <w:tr w14:paraId="0504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Merge w:val="continue"/>
            <w:vAlign w:val="center"/>
          </w:tcPr>
          <w:p w14:paraId="7FBD91A2">
            <w:pPr>
              <w:pStyle w:val="545"/>
              <w:adjustRightInd/>
              <w:spacing w:line="240" w:lineRule="auto"/>
              <w:ind w:firstLine="0" w:firstLineChars="0"/>
              <w:jc w:val="center"/>
              <w:rPr>
                <w:rFonts w:hint="default" w:ascii="Times New Roman" w:hAnsi="Times New Roman" w:cs="Times New Roman" w:eastAsiaTheme="minorEastAsia"/>
                <w:b/>
                <w:color w:val="auto"/>
                <w:spacing w:val="0"/>
                <w:kern w:val="24"/>
                <w:sz w:val="21"/>
                <w:szCs w:val="21"/>
                <w:highlight w:val="none"/>
              </w:rPr>
            </w:pPr>
          </w:p>
        </w:tc>
        <w:tc>
          <w:tcPr>
            <w:tcW w:w="0" w:type="auto"/>
            <w:vMerge w:val="continue"/>
            <w:vAlign w:val="center"/>
          </w:tcPr>
          <w:p w14:paraId="2688EFB6">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1339" w:type="dxa"/>
            <w:vMerge w:val="continue"/>
            <w:vAlign w:val="center"/>
          </w:tcPr>
          <w:p w14:paraId="6E60D655">
            <w:pPr>
              <w:jc w:val="center"/>
              <w:rPr>
                <w:rFonts w:hint="default" w:ascii="Times New Roman" w:hAnsi="Times New Roman" w:cs="Times New Roman"/>
                <w:color w:val="auto"/>
                <w:szCs w:val="21"/>
                <w:highlight w:val="none"/>
              </w:rPr>
            </w:pPr>
          </w:p>
        </w:tc>
        <w:tc>
          <w:tcPr>
            <w:tcW w:w="1140" w:type="dxa"/>
            <w:vAlign w:val="center"/>
          </w:tcPr>
          <w:p w14:paraId="140B6415">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留宿游客</w:t>
            </w:r>
          </w:p>
        </w:tc>
        <w:tc>
          <w:tcPr>
            <w:tcW w:w="0" w:type="auto"/>
            <w:vAlign w:val="center"/>
          </w:tcPr>
          <w:p w14:paraId="140B2E0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62</w:t>
            </w:r>
            <w:r>
              <w:rPr>
                <w:rFonts w:hint="default" w:ascii="Times New Roman" w:hAnsi="Times New Roman" w:cs="Times New Roman"/>
                <w:color w:val="auto"/>
                <w:szCs w:val="21"/>
                <w:highlight w:val="none"/>
              </w:rPr>
              <w:t>人/d</w:t>
            </w:r>
          </w:p>
        </w:tc>
        <w:tc>
          <w:tcPr>
            <w:tcW w:w="1389" w:type="dxa"/>
            <w:vMerge w:val="continue"/>
            <w:vAlign w:val="center"/>
          </w:tcPr>
          <w:p w14:paraId="0BF0B4EF">
            <w:pPr>
              <w:jc w:val="center"/>
              <w:rPr>
                <w:rFonts w:hint="default" w:ascii="Times New Roman" w:hAnsi="Times New Roman" w:cs="Times New Roman"/>
                <w:color w:val="auto"/>
                <w:szCs w:val="21"/>
                <w:highlight w:val="none"/>
              </w:rPr>
            </w:pPr>
          </w:p>
        </w:tc>
        <w:tc>
          <w:tcPr>
            <w:tcW w:w="1090" w:type="dxa"/>
            <w:vAlign w:val="center"/>
          </w:tcPr>
          <w:p w14:paraId="2C59DCC3">
            <w:pPr>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color w:val="auto"/>
                <w:kern w:val="24"/>
                <w:szCs w:val="21"/>
                <w:highlight w:val="none"/>
              </w:rPr>
              <w:t>留宿游客</w:t>
            </w:r>
          </w:p>
        </w:tc>
        <w:tc>
          <w:tcPr>
            <w:tcW w:w="0" w:type="auto"/>
            <w:vAlign w:val="center"/>
          </w:tcPr>
          <w:p w14:paraId="0E76F79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166</w:t>
            </w:r>
            <w:r>
              <w:rPr>
                <w:rFonts w:hint="default" w:ascii="Times New Roman" w:hAnsi="Times New Roman" w:cs="Times New Roman"/>
                <w:color w:val="auto"/>
                <w:szCs w:val="21"/>
                <w:highlight w:val="none"/>
              </w:rPr>
              <w:t>人/d</w:t>
            </w:r>
          </w:p>
        </w:tc>
      </w:tr>
    </w:tbl>
    <w:p w14:paraId="08F9ADE2">
      <w:pPr>
        <w:pStyle w:val="36"/>
        <w:snapToGrid/>
        <w:ind w:firstLine="361" w:firstLineChars="200"/>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注：</w:t>
      </w:r>
      <w:r>
        <w:rPr>
          <w:rFonts w:hint="default" w:ascii="Times New Roman" w:hAnsi="Times New Roman" w:cs="Times New Roman"/>
          <w:b/>
          <w:bCs/>
          <w:color w:val="auto"/>
          <w:highlight w:val="none"/>
        </w:rPr>
        <w:t>①</w:t>
      </w:r>
      <w:r>
        <w:rPr>
          <w:rFonts w:hint="default" w:ascii="Times New Roman" w:hAnsi="Times New Roman" w:cs="Times New Roman" w:eastAsiaTheme="minorEastAsia"/>
          <w:b/>
          <w:bCs/>
          <w:color w:val="auto"/>
          <w:highlight w:val="none"/>
        </w:rPr>
        <w:t>此情景设置仅给出两情景下的游客规模，未给出的常住居民、服务人员等规模在两情景下相同；</w:t>
      </w:r>
      <w:r>
        <w:rPr>
          <w:rFonts w:hint="default" w:ascii="Times New Roman" w:hAnsi="Times New Roman" w:cs="Times New Roman"/>
          <w:b/>
          <w:bCs/>
          <w:color w:val="auto"/>
          <w:highlight w:val="none"/>
        </w:rPr>
        <w:t>②</w:t>
      </w:r>
      <w:r>
        <w:rPr>
          <w:rFonts w:hint="default" w:ascii="Times New Roman" w:hAnsi="Times New Roman" w:cs="Times New Roman" w:eastAsiaTheme="minorEastAsia"/>
          <w:b/>
          <w:bCs/>
          <w:color w:val="auto"/>
          <w:highlight w:val="none"/>
        </w:rPr>
        <w:t>情景一（一般情况）主要考虑中远期年游客量及其污染物计算；情景二（特殊情况）主要考虑中远期旅游旺季日游客量及其污染物计算</w:t>
      </w:r>
      <w:bookmarkEnd w:id="146"/>
      <w:r>
        <w:rPr>
          <w:rFonts w:hint="default" w:ascii="Times New Roman" w:hAnsi="Times New Roman" w:cs="Times New Roman" w:eastAsiaTheme="minorEastAsia"/>
          <w:b/>
          <w:bCs/>
          <w:color w:val="auto"/>
          <w:highlight w:val="none"/>
        </w:rPr>
        <w:t>；</w:t>
      </w:r>
      <w:r>
        <w:rPr>
          <w:rFonts w:hint="default" w:ascii="Times New Roman" w:hAnsi="Times New Roman" w:cs="Times New Roman" w:eastAsiaTheme="minorEastAsia"/>
          <w:b/>
          <w:bCs/>
          <w:color w:val="auto"/>
          <w:highlight w:val="none"/>
        </w:rPr>
        <w:fldChar w:fldCharType="begin"/>
      </w:r>
      <w:r>
        <w:rPr>
          <w:rFonts w:hint="default" w:ascii="Times New Roman" w:hAnsi="Times New Roman" w:cs="Times New Roman" w:eastAsiaTheme="minorEastAsia"/>
          <w:b/>
          <w:bCs/>
          <w:color w:val="auto"/>
          <w:highlight w:val="none"/>
        </w:rPr>
        <w:instrText xml:space="preserve">= 3 \* GB3</w:instrText>
      </w:r>
      <w:r>
        <w:rPr>
          <w:rFonts w:hint="default" w:ascii="Times New Roman" w:hAnsi="Times New Roman" w:cs="Times New Roman" w:eastAsiaTheme="minorEastAsia"/>
          <w:b/>
          <w:bCs/>
          <w:color w:val="auto"/>
          <w:highlight w:val="none"/>
        </w:rPr>
        <w:fldChar w:fldCharType="separate"/>
      </w:r>
      <w:r>
        <w:rPr>
          <w:rFonts w:hint="default" w:ascii="Times New Roman" w:hAnsi="Times New Roman" w:cs="Times New Roman"/>
          <w:b/>
          <w:bCs/>
          <w:color w:val="auto"/>
          <w:highlight w:val="none"/>
        </w:rPr>
        <w:t>③</w:t>
      </w:r>
      <w:r>
        <w:rPr>
          <w:rFonts w:hint="default" w:ascii="Times New Roman" w:hAnsi="Times New Roman" w:cs="Times New Roman" w:eastAsiaTheme="minorEastAsia"/>
          <w:b/>
          <w:bCs/>
          <w:color w:val="auto"/>
          <w:highlight w:val="none"/>
        </w:rPr>
        <w:fldChar w:fldCharType="end"/>
      </w:r>
      <w:r>
        <w:rPr>
          <w:rFonts w:hint="default" w:ascii="Times New Roman" w:hAnsi="Times New Roman" w:cs="Times New Roman" w:eastAsiaTheme="minorEastAsia"/>
          <w:b/>
          <w:bCs/>
          <w:color w:val="auto"/>
          <w:highlight w:val="none"/>
        </w:rPr>
        <w:t>留宿游客数量为在规划范围内留宿游客。</w:t>
      </w:r>
    </w:p>
    <w:p w14:paraId="6D9061BC">
      <w:pPr>
        <w:pStyle w:val="3"/>
        <w:spacing w:before="156" w:after="156"/>
        <w:rPr>
          <w:rFonts w:hint="default" w:ascii="Times New Roman" w:hAnsi="Times New Roman" w:cs="Times New Roman"/>
          <w:color w:val="auto"/>
          <w:highlight w:val="none"/>
        </w:rPr>
      </w:pPr>
      <w:bookmarkStart w:id="147" w:name="_Toc14049"/>
      <w:r>
        <w:rPr>
          <w:rFonts w:hint="default" w:ascii="Times New Roman" w:hAnsi="Times New Roman" w:cs="Times New Roman"/>
          <w:color w:val="auto"/>
          <w:highlight w:val="none"/>
        </w:rPr>
        <w:t>规划实施生态环境压力分析</w:t>
      </w:r>
      <w:bookmarkEnd w:id="145"/>
      <w:bookmarkEnd w:id="147"/>
    </w:p>
    <w:p w14:paraId="12D1700C">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本次规划环评规划实施对生态环境的压力分析采用的主要方式和方法为情景分析、负荷分析、趋势分析、弹性系数法、类比分析、对比分析、供需平衡分析等。</w:t>
      </w:r>
    </w:p>
    <w:p w14:paraId="570250B2">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资源需求量估算</w:t>
      </w:r>
    </w:p>
    <w:p w14:paraId="0EDEAFFB">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水资源需求量估算</w:t>
      </w:r>
    </w:p>
    <w:p w14:paraId="1011F89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景区规划范围内用水主要包括常住居民用水、工作人员用水、游客用水。</w:t>
      </w:r>
    </w:p>
    <w:p w14:paraId="1C7997FD">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（1）用水定额确定</w:t>
      </w:r>
    </w:p>
    <w:p w14:paraId="7FC8790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西藏自治区用水定额》（2019年修订版），农村居民生活用水量为70L/（人·d）；工作人员参照公共管理、社会保障和社会组织用水量（有食堂）为80L/（人·d）；一日游客参照快餐店的用水量为10L/（人·d）；留宿游客用水量参照一般旅馆先进用水定额，标准为35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/（床·a），折算后约为200L/（人·d）。城市绿化用水定额为1.5m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/（m</w:t>
      </w:r>
      <w:r>
        <w:rPr>
          <w:rFonts w:hint="default" w:ascii="Times New Roman" w:hAnsi="Times New Roman" w:cs="Times New Roman"/>
          <w:color w:val="auto"/>
          <w:spacing w:val="0"/>
          <w:kern w:val="24"/>
          <w:highlight w:val="none"/>
          <w:vertAlign w:val="superscript"/>
        </w:rPr>
        <w:t>2</w:t>
      </w:r>
      <w:r>
        <w:rPr>
          <w:rFonts w:hint="default" w:ascii="Times New Roman" w:hAnsi="Times New Roman" w:cs="Times New Roman"/>
          <w:color w:val="auto"/>
          <w:spacing w:val="0"/>
          <w:kern w:val="24"/>
          <w:highlight w:val="none"/>
        </w:rPr>
        <w:t>·a）。</w:t>
      </w:r>
    </w:p>
    <w:p w14:paraId="48D91E79">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（2）用水规模确定</w:t>
      </w:r>
    </w:p>
    <w:p w14:paraId="4C72E2B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①常住居民：中期</w:t>
      </w:r>
      <w:r>
        <w:rPr>
          <w:rFonts w:hint="default" w:ascii="Times New Roman" w:hAnsi="Times New Roman" w:cs="Times New Roman"/>
          <w:color w:val="auto"/>
          <w:spacing w:val="0"/>
          <w:kern w:val="24"/>
          <w:highlight w:val="none"/>
          <w:lang w:val="en-US" w:eastAsia="zh-CN"/>
        </w:rPr>
        <w:t>495</w:t>
      </w:r>
      <w:r>
        <w:rPr>
          <w:rFonts w:hint="default" w:ascii="Times New Roman" w:hAnsi="Times New Roman" w:cs="Times New Roman"/>
          <w:color w:val="auto"/>
          <w:spacing w:val="0"/>
          <w:kern w:val="24"/>
          <w:highlight w:val="none"/>
        </w:rPr>
        <w:t>人，远期</w:t>
      </w:r>
      <w:r>
        <w:rPr>
          <w:rFonts w:hint="default" w:ascii="Times New Roman" w:hAnsi="Times New Roman" w:cs="Times New Roman"/>
          <w:color w:val="auto"/>
          <w:spacing w:val="0"/>
          <w:kern w:val="24"/>
          <w:highlight w:val="none"/>
          <w:lang w:val="en-US" w:eastAsia="zh-CN"/>
        </w:rPr>
        <w:t>495</w:t>
      </w:r>
      <w:r>
        <w:rPr>
          <w:rFonts w:hint="default" w:ascii="Times New Roman" w:hAnsi="Times New Roman" w:cs="Times New Roman"/>
          <w:color w:val="auto"/>
          <w:spacing w:val="0"/>
          <w:kern w:val="24"/>
          <w:highlight w:val="none"/>
        </w:rPr>
        <w:t>人。</w:t>
      </w:r>
    </w:p>
    <w:p w14:paraId="6E6F9F3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②工作人员：中期</w:t>
      </w:r>
      <w:r>
        <w:rPr>
          <w:rFonts w:hint="default" w:ascii="Times New Roman" w:hAnsi="Times New Roman" w:cs="Times New Roman"/>
          <w:color w:val="auto"/>
          <w:spacing w:val="0"/>
          <w:kern w:val="24"/>
          <w:highlight w:val="none"/>
          <w:lang w:val="en-US" w:eastAsia="zh-CN"/>
        </w:rPr>
        <w:t>10</w:t>
      </w:r>
      <w:r>
        <w:rPr>
          <w:rFonts w:hint="default" w:ascii="Times New Roman" w:hAnsi="Times New Roman" w:cs="Times New Roman"/>
          <w:color w:val="auto"/>
          <w:spacing w:val="0"/>
          <w:kern w:val="24"/>
          <w:highlight w:val="none"/>
        </w:rPr>
        <w:t>0人；远期</w:t>
      </w:r>
      <w:r>
        <w:rPr>
          <w:rFonts w:hint="default" w:ascii="Times New Roman" w:hAnsi="Times New Roman" w:cs="Times New Roman"/>
          <w:color w:val="auto"/>
          <w:spacing w:val="0"/>
          <w:kern w:val="24"/>
          <w:highlight w:val="none"/>
          <w:lang w:val="en-US" w:eastAsia="zh-CN"/>
        </w:rPr>
        <w:t>30</w:t>
      </w:r>
      <w:r>
        <w:rPr>
          <w:rFonts w:hint="default" w:ascii="Times New Roman" w:hAnsi="Times New Roman" w:cs="Times New Roman"/>
          <w:color w:val="auto"/>
          <w:spacing w:val="0"/>
          <w:kern w:val="24"/>
          <w:highlight w:val="none"/>
        </w:rPr>
        <w:t>0人。</w:t>
      </w:r>
    </w:p>
    <w:p w14:paraId="4B3C68B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③游客：两情景游客规模见表5.1-1。</w:t>
      </w:r>
    </w:p>
    <w:p w14:paraId="678AC717">
      <w:pPr>
        <w:pStyle w:val="545"/>
        <w:adjustRightInd/>
        <w:spacing w:line="360" w:lineRule="auto"/>
        <w:ind w:firstLineChars="0"/>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（3）用水需求量确定</w:t>
      </w:r>
    </w:p>
    <w:p w14:paraId="5204B28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依据上述用水定额和用水规模，两种预测情景下的景区用水情况见表5.2-1和表5.2-2。</w:t>
      </w:r>
    </w:p>
    <w:p w14:paraId="19425BA2">
      <w:pPr>
        <w:pStyle w:val="28"/>
        <w:tabs>
          <w:tab w:val="left" w:pos="840"/>
        </w:tabs>
        <w:spacing w:line="360" w:lineRule="auto"/>
        <w:jc w:val="center"/>
        <w:rPr>
          <w:rFonts w:hint="default" w:ascii="Times New Roman" w:hAnsi="Times New Roman" w:eastAsia="黑体" w:cs="Times New Roman"/>
          <w:color w:val="auto"/>
          <w:kern w:val="0"/>
          <w:szCs w:val="21"/>
          <w:highlight w:val="none"/>
        </w:rPr>
      </w:pPr>
      <w:bookmarkStart w:id="148" w:name="_Hlk63582713"/>
      <w:r>
        <w:rPr>
          <w:rFonts w:hint="default" w:ascii="Times New Roman" w:hAnsi="Times New Roman" w:eastAsia="黑体" w:cs="Times New Roman"/>
          <w:color w:val="auto"/>
          <w:kern w:val="0"/>
          <w:szCs w:val="21"/>
          <w:highlight w:val="none"/>
        </w:rPr>
        <w:t>表5.2-1  景区水资源需求量估算表（情景一：一般情况）</w:t>
      </w:r>
    </w:p>
    <w:tbl>
      <w:tblPr>
        <w:tblStyle w:val="58"/>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7"/>
        <w:gridCol w:w="1005"/>
        <w:gridCol w:w="1417"/>
        <w:gridCol w:w="1098"/>
        <w:gridCol w:w="969"/>
        <w:gridCol w:w="969"/>
        <w:gridCol w:w="1075"/>
        <w:gridCol w:w="862"/>
        <w:gridCol w:w="969"/>
      </w:tblGrid>
      <w:tr w14:paraId="4AAE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22" w:type="dxa"/>
            <w:gridSpan w:val="2"/>
            <w:vMerge w:val="restart"/>
            <w:vAlign w:val="center"/>
          </w:tcPr>
          <w:p w14:paraId="21C2273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用水主体</w:t>
            </w:r>
          </w:p>
        </w:tc>
        <w:tc>
          <w:tcPr>
            <w:tcW w:w="1417" w:type="dxa"/>
            <w:vMerge w:val="restart"/>
            <w:vAlign w:val="center"/>
          </w:tcPr>
          <w:p w14:paraId="3067999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用水定额</w:t>
            </w:r>
          </w:p>
        </w:tc>
        <w:tc>
          <w:tcPr>
            <w:tcW w:w="3036" w:type="dxa"/>
            <w:gridSpan w:val="3"/>
            <w:vAlign w:val="center"/>
          </w:tcPr>
          <w:p w14:paraId="117BEE3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2906" w:type="dxa"/>
            <w:gridSpan w:val="3"/>
            <w:vAlign w:val="center"/>
          </w:tcPr>
          <w:p w14:paraId="5A6E0B2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r>
      <w:tr w14:paraId="297B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22" w:type="dxa"/>
            <w:gridSpan w:val="2"/>
            <w:vMerge w:val="continue"/>
            <w:vAlign w:val="center"/>
          </w:tcPr>
          <w:p w14:paraId="1F528F7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417" w:type="dxa"/>
            <w:vMerge w:val="continue"/>
            <w:vAlign w:val="center"/>
          </w:tcPr>
          <w:p w14:paraId="3D55AF1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098" w:type="dxa"/>
            <w:vAlign w:val="center"/>
          </w:tcPr>
          <w:p w14:paraId="1B2A619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用水规模</w:t>
            </w:r>
          </w:p>
        </w:tc>
        <w:tc>
          <w:tcPr>
            <w:tcW w:w="969" w:type="dxa"/>
            <w:vAlign w:val="center"/>
          </w:tcPr>
          <w:p w14:paraId="43EFAB9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日用水量（m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/d）</w:t>
            </w:r>
          </w:p>
        </w:tc>
        <w:tc>
          <w:tcPr>
            <w:tcW w:w="969" w:type="dxa"/>
            <w:vAlign w:val="center"/>
          </w:tcPr>
          <w:p w14:paraId="5C96746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年用水量（m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/a）</w:t>
            </w:r>
          </w:p>
        </w:tc>
        <w:tc>
          <w:tcPr>
            <w:tcW w:w="1075" w:type="dxa"/>
            <w:vAlign w:val="center"/>
          </w:tcPr>
          <w:p w14:paraId="12FB93B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用水规模</w:t>
            </w:r>
          </w:p>
        </w:tc>
        <w:tc>
          <w:tcPr>
            <w:tcW w:w="862" w:type="dxa"/>
            <w:vAlign w:val="center"/>
          </w:tcPr>
          <w:p w14:paraId="585FA61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日用水量（m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/d）</w:t>
            </w:r>
          </w:p>
        </w:tc>
        <w:tc>
          <w:tcPr>
            <w:tcW w:w="969" w:type="dxa"/>
            <w:vAlign w:val="center"/>
          </w:tcPr>
          <w:p w14:paraId="6873471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年用水量（m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/a）</w:t>
            </w:r>
          </w:p>
        </w:tc>
      </w:tr>
      <w:tr w14:paraId="64BF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22" w:type="dxa"/>
            <w:gridSpan w:val="2"/>
            <w:vAlign w:val="center"/>
          </w:tcPr>
          <w:p w14:paraId="7FB4CF6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常住居民</w:t>
            </w:r>
          </w:p>
        </w:tc>
        <w:tc>
          <w:tcPr>
            <w:tcW w:w="1417" w:type="dxa"/>
            <w:vAlign w:val="center"/>
          </w:tcPr>
          <w:p w14:paraId="5684DDB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70L/（人·d）</w:t>
            </w:r>
          </w:p>
        </w:tc>
        <w:tc>
          <w:tcPr>
            <w:tcW w:w="1098" w:type="dxa"/>
            <w:vAlign w:val="center"/>
          </w:tcPr>
          <w:p w14:paraId="423A536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495</w:t>
            </w:r>
            <w:r>
              <w:rPr>
                <w:rFonts w:hint="default" w:ascii="Times New Roman" w:hAnsi="Times New Roman" w:cs="Times New Roman" w:eastAsiaTheme="minorEastAsia"/>
                <w:bCs/>
                <w:color w:val="auto"/>
                <w:spacing w:val="0"/>
                <w:kern w:val="24"/>
                <w:sz w:val="21"/>
                <w:szCs w:val="21"/>
                <w:highlight w:val="none"/>
              </w:rPr>
              <w:t>人</w:t>
            </w:r>
          </w:p>
        </w:tc>
        <w:tc>
          <w:tcPr>
            <w:tcW w:w="969" w:type="dxa"/>
            <w:vAlign w:val="center"/>
          </w:tcPr>
          <w:p w14:paraId="529D75EC">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34.65</w:t>
            </w:r>
          </w:p>
        </w:tc>
        <w:tc>
          <w:tcPr>
            <w:tcW w:w="969" w:type="dxa"/>
            <w:vAlign w:val="center"/>
          </w:tcPr>
          <w:p w14:paraId="7DC1B5B9">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12647.25</w:t>
            </w:r>
          </w:p>
        </w:tc>
        <w:tc>
          <w:tcPr>
            <w:tcW w:w="1075" w:type="dxa"/>
            <w:vAlign w:val="center"/>
          </w:tcPr>
          <w:p w14:paraId="0B6575F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495</w:t>
            </w:r>
            <w:r>
              <w:rPr>
                <w:rFonts w:hint="default" w:ascii="Times New Roman" w:hAnsi="Times New Roman" w:cs="Times New Roman" w:eastAsiaTheme="minorEastAsia"/>
                <w:bCs/>
                <w:color w:val="auto"/>
                <w:spacing w:val="0"/>
                <w:kern w:val="24"/>
                <w:sz w:val="21"/>
                <w:szCs w:val="21"/>
                <w:highlight w:val="none"/>
              </w:rPr>
              <w:t>人</w:t>
            </w:r>
          </w:p>
        </w:tc>
        <w:tc>
          <w:tcPr>
            <w:tcW w:w="862" w:type="dxa"/>
            <w:vAlign w:val="center"/>
          </w:tcPr>
          <w:p w14:paraId="4E6C4772">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34.65</w:t>
            </w:r>
          </w:p>
        </w:tc>
        <w:tc>
          <w:tcPr>
            <w:tcW w:w="969" w:type="dxa"/>
            <w:vAlign w:val="center"/>
          </w:tcPr>
          <w:p w14:paraId="2AFDC6C5">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12647.25</w:t>
            </w:r>
          </w:p>
        </w:tc>
      </w:tr>
      <w:tr w14:paraId="7697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22" w:type="dxa"/>
            <w:gridSpan w:val="2"/>
            <w:vAlign w:val="center"/>
          </w:tcPr>
          <w:p w14:paraId="14FBDAA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工作人员</w:t>
            </w:r>
          </w:p>
        </w:tc>
        <w:tc>
          <w:tcPr>
            <w:tcW w:w="1417" w:type="dxa"/>
            <w:vAlign w:val="center"/>
          </w:tcPr>
          <w:p w14:paraId="1CFFF8B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80L/（人·d）</w:t>
            </w:r>
          </w:p>
        </w:tc>
        <w:tc>
          <w:tcPr>
            <w:tcW w:w="1098" w:type="dxa"/>
            <w:vAlign w:val="center"/>
          </w:tcPr>
          <w:p w14:paraId="22F6036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10</w:t>
            </w:r>
            <w:r>
              <w:rPr>
                <w:rFonts w:hint="default" w:ascii="Times New Roman" w:hAnsi="Times New Roman" w:cs="Times New Roman" w:eastAsiaTheme="minorEastAsia"/>
                <w:bCs/>
                <w:color w:val="auto"/>
                <w:spacing w:val="0"/>
                <w:kern w:val="24"/>
                <w:sz w:val="21"/>
                <w:szCs w:val="21"/>
                <w:highlight w:val="none"/>
              </w:rPr>
              <w:t>0人</w:t>
            </w:r>
          </w:p>
        </w:tc>
        <w:tc>
          <w:tcPr>
            <w:tcW w:w="969" w:type="dxa"/>
            <w:vAlign w:val="center"/>
          </w:tcPr>
          <w:p w14:paraId="52ECC48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969" w:type="dxa"/>
            <w:vAlign w:val="center"/>
          </w:tcPr>
          <w:p w14:paraId="603D6263">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1960</w:t>
            </w:r>
          </w:p>
        </w:tc>
        <w:tc>
          <w:tcPr>
            <w:tcW w:w="1075" w:type="dxa"/>
            <w:vAlign w:val="center"/>
          </w:tcPr>
          <w:p w14:paraId="2DF451E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0人</w:t>
            </w:r>
          </w:p>
        </w:tc>
        <w:tc>
          <w:tcPr>
            <w:tcW w:w="862" w:type="dxa"/>
            <w:vAlign w:val="center"/>
          </w:tcPr>
          <w:p w14:paraId="10F6A78B">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969" w:type="dxa"/>
            <w:vAlign w:val="center"/>
          </w:tcPr>
          <w:p w14:paraId="618641C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5880</w:t>
            </w:r>
          </w:p>
        </w:tc>
      </w:tr>
      <w:tr w14:paraId="3D59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17" w:type="dxa"/>
            <w:vMerge w:val="restart"/>
            <w:vAlign w:val="center"/>
          </w:tcPr>
          <w:p w14:paraId="2B114DB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游客</w:t>
            </w:r>
          </w:p>
        </w:tc>
        <w:tc>
          <w:tcPr>
            <w:tcW w:w="1005" w:type="dxa"/>
            <w:vAlign w:val="center"/>
          </w:tcPr>
          <w:p w14:paraId="51DFCAA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一日游客</w:t>
            </w:r>
          </w:p>
        </w:tc>
        <w:tc>
          <w:tcPr>
            <w:tcW w:w="1417" w:type="dxa"/>
            <w:vAlign w:val="center"/>
          </w:tcPr>
          <w:p w14:paraId="116F8DE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10L/（人·d）</w:t>
            </w:r>
          </w:p>
        </w:tc>
        <w:tc>
          <w:tcPr>
            <w:tcW w:w="1098" w:type="dxa"/>
            <w:vAlign w:val="center"/>
          </w:tcPr>
          <w:p w14:paraId="7FA42AE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203310</w:t>
            </w:r>
            <w:r>
              <w:rPr>
                <w:rFonts w:hint="default" w:ascii="Times New Roman" w:hAnsi="Times New Roman" w:cs="Times New Roman" w:eastAsiaTheme="minorEastAsia"/>
                <w:bCs/>
                <w:color w:val="auto"/>
                <w:spacing w:val="0"/>
                <w:kern w:val="24"/>
                <w:sz w:val="21"/>
                <w:szCs w:val="21"/>
                <w:highlight w:val="none"/>
              </w:rPr>
              <w:t>人/a</w:t>
            </w:r>
          </w:p>
        </w:tc>
        <w:tc>
          <w:tcPr>
            <w:tcW w:w="969" w:type="dxa"/>
            <w:vAlign w:val="center"/>
          </w:tcPr>
          <w:p w14:paraId="580E415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8.30</w:t>
            </w:r>
          </w:p>
        </w:tc>
        <w:tc>
          <w:tcPr>
            <w:tcW w:w="969" w:type="dxa"/>
            <w:vAlign w:val="center"/>
          </w:tcPr>
          <w:p w14:paraId="35EDC8FA">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2033.1</w:t>
            </w:r>
          </w:p>
        </w:tc>
        <w:tc>
          <w:tcPr>
            <w:tcW w:w="1075" w:type="dxa"/>
            <w:vAlign w:val="center"/>
          </w:tcPr>
          <w:p w14:paraId="7E43E9E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441056</w:t>
            </w:r>
            <w:r>
              <w:rPr>
                <w:rFonts w:hint="default" w:ascii="Times New Roman" w:hAnsi="Times New Roman" w:cs="Times New Roman" w:eastAsiaTheme="minorEastAsia"/>
                <w:bCs/>
                <w:color w:val="auto"/>
                <w:spacing w:val="0"/>
                <w:kern w:val="24"/>
                <w:sz w:val="21"/>
                <w:szCs w:val="21"/>
                <w:highlight w:val="none"/>
              </w:rPr>
              <w:t>人/a</w:t>
            </w:r>
          </w:p>
        </w:tc>
        <w:tc>
          <w:tcPr>
            <w:tcW w:w="862" w:type="dxa"/>
            <w:vAlign w:val="center"/>
          </w:tcPr>
          <w:p w14:paraId="0E70F68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18.00</w:t>
            </w:r>
          </w:p>
        </w:tc>
        <w:tc>
          <w:tcPr>
            <w:tcW w:w="969" w:type="dxa"/>
            <w:vAlign w:val="center"/>
          </w:tcPr>
          <w:p w14:paraId="1EAF122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4410.56</w:t>
            </w:r>
          </w:p>
        </w:tc>
      </w:tr>
      <w:tr w14:paraId="1F3A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17" w:type="dxa"/>
            <w:vMerge w:val="continue"/>
            <w:vAlign w:val="center"/>
          </w:tcPr>
          <w:p w14:paraId="24FEFDD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005" w:type="dxa"/>
            <w:vAlign w:val="center"/>
          </w:tcPr>
          <w:p w14:paraId="655E191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留宿游客</w:t>
            </w:r>
          </w:p>
        </w:tc>
        <w:tc>
          <w:tcPr>
            <w:tcW w:w="1417" w:type="dxa"/>
            <w:vAlign w:val="center"/>
          </w:tcPr>
          <w:p w14:paraId="65F599B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200L/（人·d）</w:t>
            </w:r>
          </w:p>
        </w:tc>
        <w:tc>
          <w:tcPr>
            <w:tcW w:w="1098" w:type="dxa"/>
            <w:vAlign w:val="center"/>
          </w:tcPr>
          <w:p w14:paraId="1A15EB5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22590</w:t>
            </w:r>
            <w:r>
              <w:rPr>
                <w:rFonts w:hint="default" w:ascii="Times New Roman" w:hAnsi="Times New Roman" w:cs="Times New Roman" w:eastAsiaTheme="minorEastAsia"/>
                <w:bCs/>
                <w:color w:val="auto"/>
                <w:spacing w:val="0"/>
                <w:kern w:val="24"/>
                <w:sz w:val="21"/>
                <w:szCs w:val="21"/>
                <w:highlight w:val="none"/>
              </w:rPr>
              <w:t>人/a</w:t>
            </w:r>
          </w:p>
        </w:tc>
        <w:tc>
          <w:tcPr>
            <w:tcW w:w="969" w:type="dxa"/>
            <w:vAlign w:val="center"/>
          </w:tcPr>
          <w:p w14:paraId="55F1A8B1">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18.44</w:t>
            </w:r>
          </w:p>
        </w:tc>
        <w:tc>
          <w:tcPr>
            <w:tcW w:w="969" w:type="dxa"/>
            <w:vAlign w:val="center"/>
          </w:tcPr>
          <w:p w14:paraId="32E16A77">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4518</w:t>
            </w:r>
          </w:p>
        </w:tc>
        <w:tc>
          <w:tcPr>
            <w:tcW w:w="1075" w:type="dxa"/>
            <w:vAlign w:val="center"/>
          </w:tcPr>
          <w:p w14:paraId="0CBE1AB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60144</w:t>
            </w:r>
            <w:r>
              <w:rPr>
                <w:rFonts w:hint="default" w:ascii="Times New Roman" w:hAnsi="Times New Roman" w:cs="Times New Roman" w:eastAsiaTheme="minorEastAsia"/>
                <w:bCs/>
                <w:color w:val="auto"/>
                <w:spacing w:val="0"/>
                <w:kern w:val="24"/>
                <w:sz w:val="21"/>
                <w:szCs w:val="21"/>
                <w:highlight w:val="none"/>
              </w:rPr>
              <w:t>人/a</w:t>
            </w:r>
          </w:p>
        </w:tc>
        <w:tc>
          <w:tcPr>
            <w:tcW w:w="862" w:type="dxa"/>
            <w:vAlign w:val="center"/>
          </w:tcPr>
          <w:p w14:paraId="7414B7B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49.10</w:t>
            </w:r>
          </w:p>
        </w:tc>
        <w:tc>
          <w:tcPr>
            <w:tcW w:w="969" w:type="dxa"/>
            <w:vAlign w:val="center"/>
          </w:tcPr>
          <w:p w14:paraId="59DA1A96">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12028.8</w:t>
            </w:r>
          </w:p>
        </w:tc>
      </w:tr>
      <w:tr w14:paraId="5A80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39" w:type="dxa"/>
            <w:gridSpan w:val="3"/>
            <w:vAlign w:val="center"/>
          </w:tcPr>
          <w:p w14:paraId="3160C84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合计</w:t>
            </w:r>
          </w:p>
        </w:tc>
        <w:tc>
          <w:tcPr>
            <w:tcW w:w="1098" w:type="dxa"/>
            <w:vAlign w:val="center"/>
          </w:tcPr>
          <w:p w14:paraId="68F1227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969" w:type="dxa"/>
            <w:vAlign w:val="center"/>
          </w:tcPr>
          <w:p w14:paraId="05C3152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69.39</w:t>
            </w:r>
          </w:p>
        </w:tc>
        <w:tc>
          <w:tcPr>
            <w:tcW w:w="969" w:type="dxa"/>
            <w:vAlign w:val="center"/>
          </w:tcPr>
          <w:p w14:paraId="28104E2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21158.35</w:t>
            </w:r>
          </w:p>
        </w:tc>
        <w:tc>
          <w:tcPr>
            <w:tcW w:w="1075" w:type="dxa"/>
            <w:vAlign w:val="center"/>
          </w:tcPr>
          <w:p w14:paraId="149393E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w:t>
            </w:r>
          </w:p>
        </w:tc>
        <w:tc>
          <w:tcPr>
            <w:tcW w:w="862" w:type="dxa"/>
            <w:vAlign w:val="center"/>
          </w:tcPr>
          <w:p w14:paraId="7C9DB4F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125.75</w:t>
            </w:r>
          </w:p>
        </w:tc>
        <w:tc>
          <w:tcPr>
            <w:tcW w:w="969" w:type="dxa"/>
            <w:vAlign w:val="center"/>
          </w:tcPr>
          <w:p w14:paraId="4933925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34966.61</w:t>
            </w:r>
          </w:p>
        </w:tc>
      </w:tr>
      <w:tr w14:paraId="2135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81" w:type="dxa"/>
            <w:gridSpan w:val="9"/>
            <w:vAlign w:val="center"/>
          </w:tcPr>
          <w:p w14:paraId="5CB732C0">
            <w:pPr>
              <w:jc w:val="both"/>
              <w:rPr>
                <w:rFonts w:hint="default" w:ascii="Times New Roman" w:hAnsi="Times New Roman" w:cs="Times New Roman"/>
                <w:color w:val="auto"/>
                <w:szCs w:val="21"/>
                <w:highlight w:val="none"/>
              </w:rPr>
            </w:pPr>
            <w:bookmarkStart w:id="149" w:name="_Hlk63582720"/>
            <w:r>
              <w:rPr>
                <w:rFonts w:hint="default" w:ascii="Times New Roman" w:hAnsi="Times New Roman" w:cs="Times New Roman"/>
                <w:color w:val="auto"/>
                <w:szCs w:val="21"/>
                <w:highlight w:val="none"/>
                <w:lang w:val="en-US" w:eastAsia="zh-CN"/>
              </w:rPr>
              <w:t>注：常住居民年按365天/年计，工作人员与游客按245天/年计。</w:t>
            </w:r>
          </w:p>
        </w:tc>
      </w:tr>
      <w:bookmarkEnd w:id="148"/>
    </w:tbl>
    <w:p w14:paraId="6A48AAC0">
      <w:pPr>
        <w:pStyle w:val="28"/>
        <w:tabs>
          <w:tab w:val="left" w:pos="840"/>
        </w:tabs>
        <w:spacing w:line="360" w:lineRule="auto"/>
        <w:jc w:val="center"/>
        <w:rPr>
          <w:rFonts w:hint="default" w:ascii="Times New Roman" w:hAnsi="Times New Roman" w:eastAsia="黑体" w:cs="Times New Roman"/>
          <w:color w:val="auto"/>
          <w:kern w:val="0"/>
          <w:szCs w:val="21"/>
          <w:highlight w:val="none"/>
        </w:rPr>
      </w:pPr>
    </w:p>
    <w:p w14:paraId="1CD9543F">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表5.2-2  景区水资源需求量估算表（情景二：特殊情况）</w:t>
      </w:r>
    </w:p>
    <w:tbl>
      <w:tblPr>
        <w:tblStyle w:val="58"/>
        <w:tblW w:w="9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69"/>
        <w:gridCol w:w="992"/>
        <w:gridCol w:w="1074"/>
        <w:gridCol w:w="924"/>
        <w:gridCol w:w="971"/>
        <w:gridCol w:w="923"/>
        <w:gridCol w:w="922"/>
        <w:gridCol w:w="923"/>
        <w:gridCol w:w="922"/>
        <w:gridCol w:w="923"/>
      </w:tblGrid>
      <w:tr w14:paraId="2176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61" w:type="dxa"/>
            <w:gridSpan w:val="2"/>
            <w:vMerge w:val="restart"/>
            <w:vAlign w:val="center"/>
          </w:tcPr>
          <w:p w14:paraId="5881C92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用水主体</w:t>
            </w:r>
          </w:p>
        </w:tc>
        <w:tc>
          <w:tcPr>
            <w:tcW w:w="3892" w:type="dxa"/>
            <w:gridSpan w:val="4"/>
            <w:vAlign w:val="center"/>
          </w:tcPr>
          <w:p w14:paraId="060FD0D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3690" w:type="dxa"/>
            <w:gridSpan w:val="4"/>
            <w:vAlign w:val="center"/>
          </w:tcPr>
          <w:p w14:paraId="27CA930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r>
      <w:tr w14:paraId="607A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61" w:type="dxa"/>
            <w:gridSpan w:val="2"/>
            <w:vMerge w:val="continue"/>
            <w:vAlign w:val="center"/>
          </w:tcPr>
          <w:p w14:paraId="563CA93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998" w:type="dxa"/>
            <w:gridSpan w:val="2"/>
            <w:vAlign w:val="center"/>
          </w:tcPr>
          <w:p w14:paraId="7035981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旺季</w:t>
            </w:r>
          </w:p>
        </w:tc>
        <w:tc>
          <w:tcPr>
            <w:tcW w:w="1894" w:type="dxa"/>
            <w:gridSpan w:val="2"/>
            <w:vAlign w:val="center"/>
          </w:tcPr>
          <w:p w14:paraId="5319CCF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淡季</w:t>
            </w:r>
          </w:p>
        </w:tc>
        <w:tc>
          <w:tcPr>
            <w:tcW w:w="1845" w:type="dxa"/>
            <w:gridSpan w:val="2"/>
            <w:vAlign w:val="center"/>
          </w:tcPr>
          <w:p w14:paraId="1FD98C6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旺季</w:t>
            </w:r>
          </w:p>
        </w:tc>
        <w:tc>
          <w:tcPr>
            <w:tcW w:w="1845" w:type="dxa"/>
            <w:gridSpan w:val="2"/>
            <w:vAlign w:val="center"/>
          </w:tcPr>
          <w:p w14:paraId="77ED2A3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淡季</w:t>
            </w:r>
          </w:p>
        </w:tc>
      </w:tr>
      <w:tr w14:paraId="71F7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61" w:type="dxa"/>
            <w:gridSpan w:val="2"/>
            <w:vMerge w:val="continue"/>
            <w:vAlign w:val="center"/>
          </w:tcPr>
          <w:p w14:paraId="440038F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074" w:type="dxa"/>
            <w:vAlign w:val="center"/>
          </w:tcPr>
          <w:p w14:paraId="579597F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用水规模</w:t>
            </w:r>
          </w:p>
        </w:tc>
        <w:tc>
          <w:tcPr>
            <w:tcW w:w="924" w:type="dxa"/>
            <w:vAlign w:val="center"/>
          </w:tcPr>
          <w:p w14:paraId="20F4E3A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日用水量（m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/d）</w:t>
            </w:r>
          </w:p>
        </w:tc>
        <w:tc>
          <w:tcPr>
            <w:tcW w:w="971" w:type="dxa"/>
            <w:vAlign w:val="center"/>
          </w:tcPr>
          <w:p w14:paraId="6DCF867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用水规模</w:t>
            </w:r>
          </w:p>
        </w:tc>
        <w:tc>
          <w:tcPr>
            <w:tcW w:w="923" w:type="dxa"/>
            <w:vAlign w:val="center"/>
          </w:tcPr>
          <w:p w14:paraId="4D657D0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日用水量（m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/d）</w:t>
            </w:r>
          </w:p>
        </w:tc>
        <w:tc>
          <w:tcPr>
            <w:tcW w:w="922" w:type="dxa"/>
            <w:vAlign w:val="center"/>
          </w:tcPr>
          <w:p w14:paraId="497A8FF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用水规模</w:t>
            </w:r>
          </w:p>
        </w:tc>
        <w:tc>
          <w:tcPr>
            <w:tcW w:w="923" w:type="dxa"/>
            <w:vAlign w:val="center"/>
          </w:tcPr>
          <w:p w14:paraId="7DF204C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日用水量（m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/d）</w:t>
            </w:r>
          </w:p>
        </w:tc>
        <w:tc>
          <w:tcPr>
            <w:tcW w:w="922" w:type="dxa"/>
            <w:vAlign w:val="center"/>
          </w:tcPr>
          <w:p w14:paraId="48AEC89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用水规模</w:t>
            </w:r>
          </w:p>
        </w:tc>
        <w:tc>
          <w:tcPr>
            <w:tcW w:w="923" w:type="dxa"/>
            <w:vAlign w:val="center"/>
          </w:tcPr>
          <w:p w14:paraId="7451675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日用水量（m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/d）</w:t>
            </w:r>
          </w:p>
        </w:tc>
      </w:tr>
      <w:tr w14:paraId="207D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61" w:type="dxa"/>
            <w:gridSpan w:val="2"/>
            <w:vAlign w:val="center"/>
          </w:tcPr>
          <w:p w14:paraId="431B1E2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其他用水小计</w:t>
            </w:r>
          </w:p>
        </w:tc>
        <w:tc>
          <w:tcPr>
            <w:tcW w:w="1074" w:type="dxa"/>
            <w:vAlign w:val="center"/>
          </w:tcPr>
          <w:p w14:paraId="025F7DF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924" w:type="dxa"/>
            <w:vAlign w:val="center"/>
          </w:tcPr>
          <w:p w14:paraId="2470BD2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42.65</w:t>
            </w:r>
          </w:p>
        </w:tc>
        <w:tc>
          <w:tcPr>
            <w:tcW w:w="971" w:type="dxa"/>
            <w:vAlign w:val="center"/>
          </w:tcPr>
          <w:p w14:paraId="141673F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923" w:type="dxa"/>
            <w:vAlign w:val="center"/>
          </w:tcPr>
          <w:p w14:paraId="3C6C9F6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42.65</w:t>
            </w:r>
          </w:p>
        </w:tc>
        <w:tc>
          <w:tcPr>
            <w:tcW w:w="922" w:type="dxa"/>
            <w:vAlign w:val="center"/>
          </w:tcPr>
          <w:p w14:paraId="2E2D15B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923" w:type="dxa"/>
            <w:vAlign w:val="center"/>
          </w:tcPr>
          <w:p w14:paraId="12A7677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58.65</w:t>
            </w:r>
          </w:p>
        </w:tc>
        <w:tc>
          <w:tcPr>
            <w:tcW w:w="922" w:type="dxa"/>
            <w:vAlign w:val="center"/>
          </w:tcPr>
          <w:p w14:paraId="3B38695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923" w:type="dxa"/>
            <w:vAlign w:val="center"/>
          </w:tcPr>
          <w:p w14:paraId="7E2D074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58.65</w:t>
            </w:r>
          </w:p>
        </w:tc>
      </w:tr>
      <w:tr w14:paraId="58CB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69" w:type="dxa"/>
            <w:vMerge w:val="restart"/>
            <w:vAlign w:val="center"/>
          </w:tcPr>
          <w:p w14:paraId="0B47BFC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游客</w:t>
            </w:r>
          </w:p>
        </w:tc>
        <w:tc>
          <w:tcPr>
            <w:tcW w:w="992" w:type="dxa"/>
            <w:vAlign w:val="center"/>
          </w:tcPr>
          <w:p w14:paraId="5A94FDA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一日游客</w:t>
            </w:r>
          </w:p>
        </w:tc>
        <w:tc>
          <w:tcPr>
            <w:tcW w:w="1074" w:type="dxa"/>
            <w:vAlign w:val="center"/>
          </w:tcPr>
          <w:p w14:paraId="20D49B2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bCs/>
                <w:color w:val="auto"/>
                <w:sz w:val="21"/>
                <w:szCs w:val="21"/>
                <w:highlight w:val="none"/>
                <w:lang w:val="en-US" w:eastAsia="zh-CN"/>
              </w:rPr>
              <w:t>1220</w:t>
            </w:r>
            <w:r>
              <w:rPr>
                <w:rFonts w:hint="default" w:ascii="Times New Roman" w:hAnsi="Times New Roman" w:cs="Times New Roman"/>
                <w:bCs/>
                <w:color w:val="auto"/>
                <w:sz w:val="21"/>
                <w:szCs w:val="21"/>
                <w:highlight w:val="none"/>
              </w:rPr>
              <w:t>人/d</w:t>
            </w:r>
          </w:p>
        </w:tc>
        <w:tc>
          <w:tcPr>
            <w:tcW w:w="924" w:type="dxa"/>
            <w:vAlign w:val="center"/>
          </w:tcPr>
          <w:p w14:paraId="1751280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12.2</w:t>
            </w:r>
          </w:p>
        </w:tc>
        <w:tc>
          <w:tcPr>
            <w:tcW w:w="971" w:type="dxa"/>
            <w:vAlign w:val="center"/>
          </w:tcPr>
          <w:p w14:paraId="1F7A1806">
            <w:pPr>
              <w:pStyle w:val="545"/>
              <w:adjustRightInd/>
              <w:spacing w:line="240" w:lineRule="auto"/>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21"/>
                <w:szCs w:val="21"/>
                <w:highlight w:val="none"/>
                <w:lang w:val="en-US" w:eastAsia="zh-CN"/>
              </w:rPr>
              <w:t>561</w:t>
            </w:r>
            <w:r>
              <w:rPr>
                <w:rFonts w:hint="default" w:ascii="Times New Roman" w:hAnsi="Times New Roman" w:cs="Times New Roman"/>
                <w:bCs/>
                <w:color w:val="auto"/>
                <w:sz w:val="21"/>
                <w:szCs w:val="21"/>
                <w:highlight w:val="none"/>
              </w:rPr>
              <w:t>人/d</w:t>
            </w:r>
          </w:p>
        </w:tc>
        <w:tc>
          <w:tcPr>
            <w:tcW w:w="923" w:type="dxa"/>
            <w:vAlign w:val="center"/>
          </w:tcPr>
          <w:p w14:paraId="29F8527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5.61</w:t>
            </w:r>
          </w:p>
        </w:tc>
        <w:tc>
          <w:tcPr>
            <w:tcW w:w="922" w:type="dxa"/>
            <w:vAlign w:val="center"/>
          </w:tcPr>
          <w:p w14:paraId="36810A4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bCs/>
                <w:color w:val="auto"/>
                <w:sz w:val="18"/>
                <w:szCs w:val="18"/>
                <w:highlight w:val="none"/>
                <w:lang w:val="en-US" w:eastAsia="zh-CN"/>
              </w:rPr>
              <w:t>2646</w:t>
            </w:r>
            <w:r>
              <w:rPr>
                <w:rFonts w:hint="default" w:ascii="Times New Roman" w:hAnsi="Times New Roman" w:cs="Times New Roman"/>
                <w:bCs/>
                <w:color w:val="auto"/>
                <w:sz w:val="18"/>
                <w:szCs w:val="18"/>
                <w:highlight w:val="none"/>
              </w:rPr>
              <w:t>人/d</w:t>
            </w:r>
          </w:p>
        </w:tc>
        <w:tc>
          <w:tcPr>
            <w:tcW w:w="923" w:type="dxa"/>
            <w:vAlign w:val="center"/>
          </w:tcPr>
          <w:p w14:paraId="0F743E9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26.46</w:t>
            </w:r>
          </w:p>
        </w:tc>
        <w:tc>
          <w:tcPr>
            <w:tcW w:w="922" w:type="dxa"/>
            <w:vAlign w:val="center"/>
          </w:tcPr>
          <w:p w14:paraId="7991861C">
            <w:pPr>
              <w:pStyle w:val="545"/>
              <w:adjustRightInd/>
              <w:spacing w:line="240" w:lineRule="auto"/>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val="en-US" w:eastAsia="zh-CN"/>
              </w:rPr>
              <w:t>1217</w:t>
            </w:r>
            <w:r>
              <w:rPr>
                <w:rFonts w:hint="default" w:ascii="Times New Roman" w:hAnsi="Times New Roman" w:cs="Times New Roman"/>
                <w:bCs/>
                <w:color w:val="auto"/>
                <w:sz w:val="18"/>
                <w:szCs w:val="18"/>
                <w:highlight w:val="none"/>
              </w:rPr>
              <w:t>人/d</w:t>
            </w:r>
          </w:p>
        </w:tc>
        <w:tc>
          <w:tcPr>
            <w:tcW w:w="923" w:type="dxa"/>
            <w:vAlign w:val="center"/>
          </w:tcPr>
          <w:p w14:paraId="5ED2D1E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12.17</w:t>
            </w:r>
          </w:p>
        </w:tc>
      </w:tr>
      <w:tr w14:paraId="6DA5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69" w:type="dxa"/>
            <w:vMerge w:val="continue"/>
            <w:vAlign w:val="center"/>
          </w:tcPr>
          <w:p w14:paraId="1D9D831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992" w:type="dxa"/>
            <w:vAlign w:val="center"/>
          </w:tcPr>
          <w:p w14:paraId="3EBAFA1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留宿游客</w:t>
            </w:r>
          </w:p>
        </w:tc>
        <w:tc>
          <w:tcPr>
            <w:tcW w:w="1074" w:type="dxa"/>
            <w:vAlign w:val="center"/>
          </w:tcPr>
          <w:p w14:paraId="261A5F4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bCs/>
                <w:color w:val="auto"/>
                <w:sz w:val="21"/>
                <w:szCs w:val="21"/>
                <w:highlight w:val="none"/>
                <w:lang w:val="en-US" w:eastAsia="zh-CN"/>
              </w:rPr>
              <w:t>136</w:t>
            </w:r>
            <w:r>
              <w:rPr>
                <w:rFonts w:hint="default" w:ascii="Times New Roman" w:hAnsi="Times New Roman" w:cs="Times New Roman"/>
                <w:bCs/>
                <w:color w:val="auto"/>
                <w:sz w:val="21"/>
                <w:szCs w:val="21"/>
                <w:highlight w:val="none"/>
              </w:rPr>
              <w:t>人/d</w:t>
            </w:r>
          </w:p>
        </w:tc>
        <w:tc>
          <w:tcPr>
            <w:tcW w:w="924" w:type="dxa"/>
            <w:vAlign w:val="center"/>
          </w:tcPr>
          <w:p w14:paraId="5CC56BA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27</w:t>
            </w:r>
            <w:r>
              <w:rPr>
                <w:rFonts w:hint="default" w:ascii="Times New Roman" w:hAnsi="Times New Roman" w:cs="Times New Roman" w:eastAsiaTheme="minorEastAsia"/>
                <w:bCs/>
                <w:color w:val="auto"/>
                <w:spacing w:val="0"/>
                <w:kern w:val="24"/>
                <w:sz w:val="21"/>
                <w:szCs w:val="21"/>
                <w:highlight w:val="none"/>
              </w:rPr>
              <w:t>.2</w:t>
            </w:r>
          </w:p>
        </w:tc>
        <w:tc>
          <w:tcPr>
            <w:tcW w:w="971" w:type="dxa"/>
            <w:vAlign w:val="center"/>
          </w:tcPr>
          <w:p w14:paraId="1CC099A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bCs/>
                <w:color w:val="auto"/>
                <w:sz w:val="21"/>
                <w:szCs w:val="21"/>
                <w:highlight w:val="none"/>
                <w:lang w:val="en-US" w:eastAsia="zh-CN"/>
              </w:rPr>
              <w:t>62</w:t>
            </w:r>
            <w:r>
              <w:rPr>
                <w:rFonts w:hint="default" w:ascii="Times New Roman" w:hAnsi="Times New Roman" w:cs="Times New Roman"/>
                <w:bCs/>
                <w:color w:val="auto"/>
                <w:sz w:val="21"/>
                <w:szCs w:val="21"/>
                <w:highlight w:val="none"/>
              </w:rPr>
              <w:t>人/d</w:t>
            </w:r>
          </w:p>
        </w:tc>
        <w:tc>
          <w:tcPr>
            <w:tcW w:w="923" w:type="dxa"/>
            <w:vAlign w:val="center"/>
          </w:tcPr>
          <w:p w14:paraId="23D2576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12.4</w:t>
            </w:r>
          </w:p>
        </w:tc>
        <w:tc>
          <w:tcPr>
            <w:tcW w:w="922" w:type="dxa"/>
            <w:vAlign w:val="center"/>
          </w:tcPr>
          <w:p w14:paraId="5770FBA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bCs/>
                <w:color w:val="auto"/>
                <w:sz w:val="21"/>
                <w:szCs w:val="21"/>
                <w:highlight w:val="none"/>
                <w:lang w:val="en-US" w:eastAsia="zh-CN"/>
              </w:rPr>
              <w:t>361</w:t>
            </w:r>
            <w:r>
              <w:rPr>
                <w:rFonts w:hint="default" w:ascii="Times New Roman" w:hAnsi="Times New Roman" w:cs="Times New Roman"/>
                <w:bCs/>
                <w:color w:val="auto"/>
                <w:sz w:val="21"/>
                <w:szCs w:val="21"/>
                <w:highlight w:val="none"/>
              </w:rPr>
              <w:t>人/d</w:t>
            </w:r>
          </w:p>
        </w:tc>
        <w:tc>
          <w:tcPr>
            <w:tcW w:w="923" w:type="dxa"/>
            <w:vAlign w:val="center"/>
          </w:tcPr>
          <w:p w14:paraId="2473876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72.2</w:t>
            </w:r>
          </w:p>
        </w:tc>
        <w:tc>
          <w:tcPr>
            <w:tcW w:w="922" w:type="dxa"/>
            <w:vAlign w:val="center"/>
          </w:tcPr>
          <w:p w14:paraId="7F1DF0F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bCs/>
                <w:color w:val="auto"/>
                <w:sz w:val="21"/>
                <w:szCs w:val="21"/>
                <w:highlight w:val="none"/>
                <w:lang w:val="en-US" w:eastAsia="zh-CN"/>
              </w:rPr>
              <w:t>166</w:t>
            </w:r>
            <w:r>
              <w:rPr>
                <w:rFonts w:hint="default" w:ascii="Times New Roman" w:hAnsi="Times New Roman" w:cs="Times New Roman"/>
                <w:bCs/>
                <w:color w:val="auto"/>
                <w:sz w:val="21"/>
                <w:szCs w:val="21"/>
                <w:highlight w:val="none"/>
              </w:rPr>
              <w:t>人/d</w:t>
            </w:r>
          </w:p>
        </w:tc>
        <w:tc>
          <w:tcPr>
            <w:tcW w:w="923" w:type="dxa"/>
            <w:vAlign w:val="center"/>
          </w:tcPr>
          <w:p w14:paraId="3AB2850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33.2</w:t>
            </w:r>
          </w:p>
        </w:tc>
      </w:tr>
      <w:tr w14:paraId="5AC7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61" w:type="dxa"/>
            <w:gridSpan w:val="2"/>
            <w:vAlign w:val="center"/>
          </w:tcPr>
          <w:p w14:paraId="7C06341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合计</w:t>
            </w:r>
          </w:p>
        </w:tc>
        <w:tc>
          <w:tcPr>
            <w:tcW w:w="1074" w:type="dxa"/>
            <w:vAlign w:val="center"/>
          </w:tcPr>
          <w:p w14:paraId="15095C8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924" w:type="dxa"/>
            <w:vAlign w:val="center"/>
          </w:tcPr>
          <w:p w14:paraId="2330735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82.05</w:t>
            </w:r>
          </w:p>
        </w:tc>
        <w:tc>
          <w:tcPr>
            <w:tcW w:w="971" w:type="dxa"/>
            <w:vAlign w:val="center"/>
          </w:tcPr>
          <w:p w14:paraId="14C60D4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923" w:type="dxa"/>
            <w:vAlign w:val="center"/>
          </w:tcPr>
          <w:p w14:paraId="0CF81E8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60.66</w:t>
            </w:r>
          </w:p>
        </w:tc>
        <w:tc>
          <w:tcPr>
            <w:tcW w:w="922" w:type="dxa"/>
            <w:vAlign w:val="center"/>
          </w:tcPr>
          <w:p w14:paraId="25B7202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923" w:type="dxa"/>
            <w:vAlign w:val="center"/>
          </w:tcPr>
          <w:p w14:paraId="7D59DB4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157.31</w:t>
            </w:r>
          </w:p>
        </w:tc>
        <w:tc>
          <w:tcPr>
            <w:tcW w:w="922" w:type="dxa"/>
            <w:vAlign w:val="center"/>
          </w:tcPr>
          <w:p w14:paraId="7B3DFB7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923" w:type="dxa"/>
            <w:vAlign w:val="center"/>
          </w:tcPr>
          <w:p w14:paraId="13E5324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104.02</w:t>
            </w:r>
          </w:p>
        </w:tc>
      </w:tr>
      <w:bookmarkEnd w:id="149"/>
    </w:tbl>
    <w:p w14:paraId="2313FFF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根据以上表格，景区中期</w:t>
      </w:r>
      <w:bookmarkStart w:id="150" w:name="_Hlk63425450"/>
      <w:r>
        <w:rPr>
          <w:rFonts w:hint="default" w:ascii="Times New Roman" w:hAnsi="Times New Roman" w:cs="Times New Roman"/>
          <w:color w:val="auto"/>
          <w:spacing w:val="0"/>
          <w:kern w:val="24"/>
          <w:highlight w:val="none"/>
        </w:rPr>
        <w:t>水资源需求量为21158.35m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/a，</w:t>
      </w:r>
      <w:bookmarkEnd w:id="150"/>
      <w:r>
        <w:rPr>
          <w:rFonts w:hint="default" w:ascii="Times New Roman" w:hAnsi="Times New Roman" w:cs="Times New Roman"/>
          <w:color w:val="auto"/>
          <w:spacing w:val="0"/>
          <w:kern w:val="24"/>
          <w:highlight w:val="none"/>
        </w:rPr>
        <w:t>远期水资源需求量为</w:t>
      </w:r>
      <w:r>
        <w:rPr>
          <w:rFonts w:hint="default" w:ascii="Times New Roman" w:hAnsi="Times New Roman" w:eastAsia="宋体" w:cs="Times New Roman"/>
          <w:color w:val="auto"/>
          <w:spacing w:val="0"/>
          <w:kern w:val="24"/>
          <w:highlight w:val="none"/>
          <w:lang w:val="en-US" w:eastAsia="zh-CN"/>
        </w:rPr>
        <w:t>34966.61</w:t>
      </w:r>
      <w:r>
        <w:rPr>
          <w:rFonts w:hint="default" w:ascii="Times New Roman" w:hAnsi="Times New Roman" w:eastAsia="宋体" w:cs="Times New Roman"/>
          <w:color w:val="auto"/>
          <w:spacing w:val="0"/>
          <w:kern w:val="24"/>
          <w:highlight w:val="none"/>
        </w:rPr>
        <w:t>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/a；景区中期旅游旺季时水资源需求量为</w:t>
      </w:r>
      <w:r>
        <w:rPr>
          <w:rFonts w:hint="default" w:ascii="Times New Roman" w:hAnsi="Times New Roman" w:cs="Times New Roman"/>
          <w:color w:val="auto"/>
          <w:spacing w:val="0"/>
          <w:kern w:val="24"/>
          <w:highlight w:val="none"/>
          <w:lang w:val="en-US" w:eastAsia="zh-CN"/>
        </w:rPr>
        <w:t>82.05</w:t>
      </w:r>
      <w:r>
        <w:rPr>
          <w:rFonts w:hint="default" w:ascii="Times New Roman" w:hAnsi="Times New Roman" w:cs="Times New Roman"/>
          <w:color w:val="auto"/>
          <w:spacing w:val="0"/>
          <w:kern w:val="24"/>
          <w:highlight w:val="none"/>
        </w:rPr>
        <w:t>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/d，景区远期旅游旺季时水资源需求量为15</w:t>
      </w:r>
      <w:r>
        <w:rPr>
          <w:rFonts w:hint="default" w:ascii="Times New Roman" w:hAnsi="Times New Roman" w:cs="Times New Roman"/>
          <w:color w:val="auto"/>
          <w:spacing w:val="0"/>
          <w:kern w:val="24"/>
          <w:highlight w:val="none"/>
          <w:lang w:val="en-US" w:eastAsia="zh-CN"/>
        </w:rPr>
        <w:t>7.31</w:t>
      </w:r>
      <w:r>
        <w:rPr>
          <w:rFonts w:hint="default" w:ascii="Times New Roman" w:hAnsi="Times New Roman" w:cs="Times New Roman"/>
          <w:color w:val="auto"/>
          <w:spacing w:val="0"/>
          <w:kern w:val="24"/>
          <w:highlight w:val="none"/>
        </w:rPr>
        <w:t>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/d。</w:t>
      </w:r>
    </w:p>
    <w:p w14:paraId="51502FC0">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土地资源需求量估算</w:t>
      </w:r>
    </w:p>
    <w:p w14:paraId="0C44C45A">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规划实施后规划区土地利用变化情况见表5.2-3。</w:t>
      </w:r>
    </w:p>
    <w:p w14:paraId="1325F09C">
      <w:pPr>
        <w:pStyle w:val="724"/>
        <w:rPr>
          <w:rFonts w:hint="default" w:ascii="Times New Roman" w:hAnsi="Times New Roman" w:cs="Times New Roman"/>
          <w:color w:val="auto"/>
          <w:highlight w:val="none"/>
        </w:rPr>
      </w:pPr>
      <w:r>
        <w:rPr>
          <w:rFonts w:hint="default" w:ascii="Times New Roman" w:hAnsi="Times New Roman" w:cs="Times New Roman"/>
          <w:color w:val="auto"/>
          <w:highlight w:val="none"/>
        </w:rPr>
        <w:t>表5.2-3  土地利用变化情况</w:t>
      </w:r>
    </w:p>
    <w:tbl>
      <w:tblPr>
        <w:tblStyle w:val="5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92"/>
        <w:gridCol w:w="1653"/>
        <w:gridCol w:w="1511"/>
        <w:gridCol w:w="653"/>
        <w:gridCol w:w="1053"/>
        <w:gridCol w:w="763"/>
        <w:gridCol w:w="1053"/>
        <w:gridCol w:w="763"/>
        <w:gridCol w:w="723"/>
      </w:tblGrid>
      <w:tr w14:paraId="4EF1D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 w:hRule="atLeast"/>
        </w:trPr>
        <w:tc>
          <w:tcPr>
            <w:tcW w:w="442" w:type="pct"/>
            <w:vMerge w:val="restart"/>
            <w:tcBorders>
              <w:top w:val="single" w:color="000000" w:sz="4" w:space="0"/>
              <w:left w:val="single" w:color="000000" w:sz="4" w:space="0"/>
              <w:right w:val="single" w:color="000000" w:sz="4" w:space="0"/>
            </w:tcBorders>
            <w:shd w:val="clear" w:color="auto" w:fill="auto"/>
            <w:vAlign w:val="center"/>
          </w:tcPr>
          <w:p w14:paraId="572E8426">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土地三大类</w:t>
            </w:r>
          </w:p>
        </w:tc>
        <w:tc>
          <w:tcPr>
            <w:tcW w:w="2128" w:type="pct"/>
            <w:gridSpan w:val="3"/>
            <w:vMerge w:val="restart"/>
            <w:tcBorders>
              <w:top w:val="single" w:color="000000" w:sz="4" w:space="0"/>
              <w:left w:val="single" w:color="000000" w:sz="4" w:space="0"/>
              <w:right w:val="single" w:color="000000" w:sz="4" w:space="0"/>
            </w:tcBorders>
            <w:shd w:val="clear" w:color="auto" w:fill="auto"/>
            <w:vAlign w:val="center"/>
          </w:tcPr>
          <w:p w14:paraId="36A4C0F5">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名称</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11BC4">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现状</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F7F66">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规划</w:t>
            </w:r>
          </w:p>
        </w:tc>
        <w:tc>
          <w:tcPr>
            <w:tcW w:w="403" w:type="pct"/>
            <w:vMerge w:val="restart"/>
            <w:tcBorders>
              <w:top w:val="single" w:color="000000" w:sz="4" w:space="0"/>
              <w:left w:val="single" w:color="000000" w:sz="4" w:space="0"/>
              <w:right w:val="single" w:color="000000" w:sz="4" w:space="0"/>
            </w:tcBorders>
            <w:shd w:val="clear" w:color="auto" w:fill="auto"/>
            <w:vAlign w:val="center"/>
          </w:tcPr>
          <w:p w14:paraId="080F8DF1">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变化情况</w:t>
            </w:r>
          </w:p>
        </w:tc>
      </w:tr>
      <w:tr w14:paraId="76B2E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442" w:type="pct"/>
            <w:vMerge w:val="continue"/>
            <w:tcBorders>
              <w:left w:val="single" w:color="000000" w:sz="4" w:space="0"/>
              <w:bottom w:val="single" w:color="000000" w:sz="4" w:space="0"/>
              <w:right w:val="single" w:color="000000" w:sz="4" w:space="0"/>
            </w:tcBorders>
            <w:shd w:val="clear" w:color="auto" w:fill="auto"/>
            <w:vAlign w:val="center"/>
          </w:tcPr>
          <w:p w14:paraId="367E77D8">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2128" w:type="pct"/>
            <w:gridSpan w:val="3"/>
            <w:vMerge w:val="continue"/>
            <w:tcBorders>
              <w:left w:val="single" w:color="000000" w:sz="4" w:space="0"/>
              <w:bottom w:val="single" w:color="000000" w:sz="4" w:space="0"/>
              <w:right w:val="single" w:color="000000" w:sz="4" w:space="0"/>
            </w:tcBorders>
            <w:shd w:val="clear" w:color="auto" w:fill="auto"/>
            <w:vAlign w:val="center"/>
          </w:tcPr>
          <w:p w14:paraId="0921F007">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ABC3D">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面积（h</w:t>
            </w:r>
            <w:r>
              <w:rPr>
                <w:rFonts w:hint="default" w:ascii="Times New Roman" w:hAnsi="Times New Roman" w:eastAsia="宋体" w:cs="Times New Roman"/>
                <w:color w:val="auto"/>
                <w:kern w:val="0"/>
                <w:szCs w:val="21"/>
                <w:highlight w:val="none"/>
                <w:lang w:val="en-US" w:eastAsia="zh-CN"/>
              </w:rPr>
              <w:t>m</w:t>
            </w:r>
            <w:r>
              <w:rPr>
                <w:rFonts w:hint="default" w:ascii="Times New Roman" w:hAnsi="Times New Roman" w:eastAsia="宋体" w:cs="Times New Roman"/>
                <w:color w:val="auto"/>
                <w:kern w:val="0"/>
                <w:szCs w:val="21"/>
                <w:highlight w:val="none"/>
                <w:vertAlign w:val="superscript"/>
                <w:lang w:val="en-US" w:eastAsia="zh-CN"/>
              </w:rPr>
              <w:t>2</w:t>
            </w:r>
            <w:r>
              <w:rPr>
                <w:rFonts w:hint="default" w:ascii="Times New Roman" w:hAnsi="Times New Roman" w:eastAsia="宋体" w:cs="Times New Roman"/>
                <w:color w:val="auto"/>
                <w:kern w:val="0"/>
                <w:szCs w:val="21"/>
                <w:highlight w:val="none"/>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A96E4">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占比</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4D81E">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面积（h</w:t>
            </w:r>
            <w:r>
              <w:rPr>
                <w:rFonts w:hint="default" w:ascii="Times New Roman" w:hAnsi="Times New Roman" w:eastAsia="宋体" w:cs="Times New Roman"/>
                <w:color w:val="auto"/>
                <w:kern w:val="0"/>
                <w:szCs w:val="21"/>
                <w:highlight w:val="none"/>
                <w:lang w:val="en-US" w:eastAsia="zh-CN"/>
              </w:rPr>
              <w:t>m</w:t>
            </w:r>
            <w:r>
              <w:rPr>
                <w:rFonts w:hint="default" w:ascii="Times New Roman" w:hAnsi="Times New Roman" w:eastAsia="宋体" w:cs="Times New Roman"/>
                <w:color w:val="auto"/>
                <w:kern w:val="0"/>
                <w:szCs w:val="21"/>
                <w:highlight w:val="none"/>
                <w:vertAlign w:val="superscript"/>
                <w:lang w:val="en-US" w:eastAsia="zh-CN"/>
              </w:rPr>
              <w:t>2</w:t>
            </w:r>
            <w:r>
              <w:rPr>
                <w:rFonts w:hint="default" w:ascii="Times New Roman" w:hAnsi="Times New Roman" w:eastAsia="宋体" w:cs="Times New Roman"/>
                <w:color w:val="auto"/>
                <w:kern w:val="0"/>
                <w:szCs w:val="21"/>
                <w:highlight w:val="none"/>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92F2E">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占比</w:t>
            </w:r>
          </w:p>
        </w:tc>
        <w:tc>
          <w:tcPr>
            <w:tcW w:w="403" w:type="pct"/>
            <w:vMerge w:val="continue"/>
            <w:tcBorders>
              <w:left w:val="single" w:color="000000" w:sz="4" w:space="0"/>
              <w:bottom w:val="single" w:color="000000" w:sz="4" w:space="0"/>
              <w:right w:val="single" w:color="000000" w:sz="4" w:space="0"/>
            </w:tcBorders>
            <w:shd w:val="clear" w:color="auto" w:fill="auto"/>
            <w:vAlign w:val="center"/>
          </w:tcPr>
          <w:p w14:paraId="3CF67BD7">
            <w:pPr>
              <w:widowControl/>
              <w:jc w:val="center"/>
              <w:rPr>
                <w:rFonts w:hint="default" w:ascii="Times New Roman" w:hAnsi="Times New Roman" w:eastAsia="宋体" w:cs="Times New Roman"/>
                <w:color w:val="auto"/>
                <w:kern w:val="0"/>
                <w:szCs w:val="21"/>
                <w:highlight w:val="none"/>
              </w:rPr>
            </w:pPr>
          </w:p>
        </w:tc>
      </w:tr>
      <w:tr w14:paraId="6433C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5FD9B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农用地</w:t>
            </w:r>
          </w:p>
        </w:tc>
        <w:tc>
          <w:tcPr>
            <w:tcW w:w="9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9E5DC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耕地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CF3F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水浇地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3D58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AF47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58.46</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4842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8.58%</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49D3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58.46</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0470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8.58%</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9A83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7E833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113DB">
            <w:pPr>
              <w:widowControl/>
              <w:jc w:val="center"/>
              <w:rPr>
                <w:rFonts w:hint="default" w:ascii="Times New Roman" w:hAnsi="Times New Roman" w:eastAsia="宋体" w:cs="Times New Roman"/>
                <w:color w:val="auto"/>
                <w:kern w:val="0"/>
                <w:szCs w:val="21"/>
                <w:highlight w:val="none"/>
              </w:rPr>
            </w:pPr>
          </w:p>
        </w:tc>
        <w:tc>
          <w:tcPr>
            <w:tcW w:w="9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F5EDC">
            <w:pPr>
              <w:widowControl/>
              <w:jc w:val="center"/>
              <w:rPr>
                <w:rFonts w:hint="default" w:ascii="Times New Roman" w:hAnsi="Times New Roman" w:eastAsia="宋体" w:cs="Times New Roman"/>
                <w:color w:val="auto"/>
                <w:kern w:val="0"/>
                <w:szCs w:val="21"/>
                <w:highlight w:val="none"/>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662D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旱地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7A7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2BB3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43.34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F4EB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6.36%</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5A25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43.34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6FD8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6.36%</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D28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5AFA5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E060E">
            <w:pPr>
              <w:widowControl/>
              <w:jc w:val="center"/>
              <w:rPr>
                <w:rFonts w:hint="default" w:ascii="Times New Roman" w:hAnsi="Times New Roman" w:eastAsia="宋体" w:cs="Times New Roman"/>
                <w:color w:val="auto"/>
                <w:kern w:val="0"/>
                <w:szCs w:val="21"/>
                <w:highlight w:val="none"/>
              </w:rPr>
            </w:pP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8CD6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园地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70F7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果园</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4965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90A5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0.66</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7F0E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0.10%</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22FC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0.66</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6151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0.10%</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721D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57238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A04B4">
            <w:pPr>
              <w:widowControl/>
              <w:jc w:val="center"/>
              <w:rPr>
                <w:rFonts w:hint="default" w:ascii="Times New Roman" w:hAnsi="Times New Roman" w:eastAsia="宋体" w:cs="Times New Roman"/>
                <w:color w:val="auto"/>
                <w:kern w:val="0"/>
                <w:szCs w:val="21"/>
                <w:highlight w:val="none"/>
              </w:rPr>
            </w:pPr>
          </w:p>
        </w:tc>
        <w:tc>
          <w:tcPr>
            <w:tcW w:w="9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0145C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林地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9AA8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乔木林地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D763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0C645">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485.2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0DDD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71.22%</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2511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485.2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AAFC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71.22%</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48A7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72A63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8FCDF">
            <w:pPr>
              <w:widowControl/>
              <w:jc w:val="center"/>
              <w:rPr>
                <w:rFonts w:hint="default" w:ascii="Times New Roman" w:hAnsi="Times New Roman" w:eastAsia="宋体" w:cs="Times New Roman"/>
                <w:color w:val="auto"/>
                <w:kern w:val="0"/>
                <w:szCs w:val="21"/>
                <w:highlight w:val="none"/>
              </w:rPr>
            </w:pPr>
          </w:p>
        </w:tc>
        <w:tc>
          <w:tcPr>
            <w:tcW w:w="9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5ECDB">
            <w:pPr>
              <w:widowControl/>
              <w:jc w:val="center"/>
              <w:rPr>
                <w:rFonts w:hint="default" w:ascii="Times New Roman" w:hAnsi="Times New Roman" w:eastAsia="宋体" w:cs="Times New Roman"/>
                <w:color w:val="auto"/>
                <w:kern w:val="0"/>
                <w:szCs w:val="21"/>
                <w:highlight w:val="none"/>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7B3C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灌木林地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F664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3DCD7">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14.59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C005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2.14%</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EF01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13.47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1ABA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1.98%</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1620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-1.12</w:t>
            </w:r>
          </w:p>
        </w:tc>
      </w:tr>
      <w:tr w14:paraId="2C14F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AB5FB">
            <w:pPr>
              <w:widowControl/>
              <w:jc w:val="center"/>
              <w:rPr>
                <w:rFonts w:hint="default" w:ascii="Times New Roman" w:hAnsi="Times New Roman" w:eastAsia="宋体" w:cs="Times New Roman"/>
                <w:color w:val="auto"/>
                <w:kern w:val="0"/>
                <w:szCs w:val="21"/>
                <w:highlight w:val="none"/>
              </w:rPr>
            </w:pPr>
          </w:p>
        </w:tc>
        <w:tc>
          <w:tcPr>
            <w:tcW w:w="9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D8BA8">
            <w:pPr>
              <w:widowControl/>
              <w:jc w:val="center"/>
              <w:rPr>
                <w:rFonts w:hint="default" w:ascii="Times New Roman" w:hAnsi="Times New Roman" w:eastAsia="宋体" w:cs="Times New Roman"/>
                <w:color w:val="auto"/>
                <w:kern w:val="0"/>
                <w:szCs w:val="21"/>
                <w:highlight w:val="none"/>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E555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其他林地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F0C2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A079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F36D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0.09%</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AF1D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3F81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0.09%</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CE7E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7CFED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CE846">
            <w:pPr>
              <w:widowControl/>
              <w:jc w:val="center"/>
              <w:rPr>
                <w:rFonts w:hint="default" w:ascii="Times New Roman" w:hAnsi="Times New Roman" w:eastAsia="宋体" w:cs="Times New Roman"/>
                <w:color w:val="auto"/>
                <w:kern w:val="0"/>
                <w:szCs w:val="21"/>
                <w:highlight w:val="none"/>
              </w:rPr>
            </w:pPr>
          </w:p>
        </w:tc>
        <w:tc>
          <w:tcPr>
            <w:tcW w:w="9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1369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草地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6A4F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天然牧草地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D788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6ADE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42.78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09C7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6.28%</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1B79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42.78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AE4F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6.28%</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B50B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76AA5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C43F1">
            <w:pPr>
              <w:widowControl/>
              <w:jc w:val="center"/>
              <w:rPr>
                <w:rFonts w:hint="default" w:ascii="Times New Roman" w:hAnsi="Times New Roman" w:eastAsia="宋体" w:cs="Times New Roman"/>
                <w:color w:val="auto"/>
                <w:kern w:val="0"/>
                <w:szCs w:val="21"/>
                <w:highlight w:val="none"/>
              </w:rPr>
            </w:pPr>
          </w:p>
        </w:tc>
        <w:tc>
          <w:tcPr>
            <w:tcW w:w="9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6F1A9">
            <w:pPr>
              <w:widowControl/>
              <w:jc w:val="center"/>
              <w:rPr>
                <w:rFonts w:hint="default" w:ascii="Times New Roman" w:hAnsi="Times New Roman" w:eastAsia="宋体" w:cs="Times New Roman"/>
                <w:color w:val="auto"/>
                <w:kern w:val="0"/>
                <w:szCs w:val="21"/>
                <w:highlight w:val="none"/>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76B5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其他草地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1622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2EDC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0.23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2638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3124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0.23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D1B0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A4A5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2DAF7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FE47B">
            <w:pPr>
              <w:widowControl/>
              <w:jc w:val="center"/>
              <w:rPr>
                <w:rFonts w:hint="default" w:ascii="Times New Roman" w:hAnsi="Times New Roman" w:eastAsia="宋体" w:cs="Times New Roman"/>
                <w:color w:val="auto"/>
                <w:kern w:val="0"/>
                <w:szCs w:val="21"/>
                <w:highlight w:val="none"/>
              </w:rPr>
            </w:pP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618F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湿地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39AB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内陆滩涂</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CFD4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5CD4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6.31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A0D0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0.93%</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1388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6.31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164E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0.93%</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A51F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1CA6B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1CEC6">
            <w:pPr>
              <w:widowControl/>
              <w:jc w:val="center"/>
              <w:rPr>
                <w:rFonts w:hint="default" w:ascii="Times New Roman" w:hAnsi="Times New Roman" w:eastAsia="宋体" w:cs="Times New Roman"/>
                <w:color w:val="auto"/>
                <w:kern w:val="0"/>
                <w:szCs w:val="21"/>
                <w:highlight w:val="none"/>
              </w:rPr>
            </w:pPr>
          </w:p>
        </w:tc>
        <w:tc>
          <w:tcPr>
            <w:tcW w:w="9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7D46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农业设施建设用地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7351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农村道路</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8408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村道用地</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4C8F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3.44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1CD2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0.50%</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B679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3.44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DBEB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0.50%</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2807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3AD29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C541A">
            <w:pPr>
              <w:widowControl/>
              <w:jc w:val="center"/>
              <w:rPr>
                <w:rFonts w:hint="default" w:ascii="Times New Roman" w:hAnsi="Times New Roman" w:eastAsia="宋体" w:cs="Times New Roman"/>
                <w:color w:val="auto"/>
                <w:kern w:val="0"/>
                <w:szCs w:val="21"/>
                <w:highlight w:val="none"/>
              </w:rPr>
            </w:pPr>
          </w:p>
        </w:tc>
        <w:tc>
          <w:tcPr>
            <w:tcW w:w="9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C659F">
            <w:pPr>
              <w:widowControl/>
              <w:jc w:val="center"/>
              <w:rPr>
                <w:rFonts w:hint="default" w:ascii="Times New Roman" w:hAnsi="Times New Roman" w:eastAsia="宋体" w:cs="Times New Roman"/>
                <w:color w:val="auto"/>
                <w:kern w:val="0"/>
                <w:szCs w:val="21"/>
                <w:highlight w:val="none"/>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46DC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设施农用地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B8CA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8C10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0499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F3BE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9CA8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CB24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1D13B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E7940">
            <w:pPr>
              <w:widowControl/>
              <w:jc w:val="center"/>
              <w:rPr>
                <w:rFonts w:hint="default" w:ascii="Times New Roman" w:hAnsi="Times New Roman" w:eastAsia="宋体" w:cs="Times New Roman"/>
                <w:color w:val="auto"/>
                <w:kern w:val="0"/>
                <w:szCs w:val="21"/>
                <w:highlight w:val="none"/>
              </w:rPr>
            </w:pPr>
          </w:p>
        </w:tc>
        <w:tc>
          <w:tcPr>
            <w:tcW w:w="212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2F48B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农用地合计</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C4C6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655.82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2834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96.26%</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AB46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654.7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C532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96.10%</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2AA5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-1.12</w:t>
            </w:r>
          </w:p>
        </w:tc>
      </w:tr>
      <w:tr w14:paraId="2A0E9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F2118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建设用地</w:t>
            </w:r>
          </w:p>
        </w:tc>
        <w:tc>
          <w:tcPr>
            <w:tcW w:w="9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02558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居住用地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8717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农村宅基地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9F7B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9CDF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4.82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198F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0.71%</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01AC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4.82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DEC1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0.71%</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28AB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5EBD3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8F47A">
            <w:pPr>
              <w:widowControl/>
              <w:jc w:val="center"/>
              <w:rPr>
                <w:rFonts w:hint="default" w:ascii="Times New Roman" w:hAnsi="Times New Roman" w:eastAsia="宋体" w:cs="Times New Roman"/>
                <w:color w:val="auto"/>
                <w:kern w:val="0"/>
                <w:szCs w:val="21"/>
                <w:highlight w:val="none"/>
              </w:rPr>
            </w:pPr>
          </w:p>
        </w:tc>
        <w:tc>
          <w:tcPr>
            <w:tcW w:w="9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021F3">
            <w:pPr>
              <w:widowControl/>
              <w:jc w:val="center"/>
              <w:rPr>
                <w:rFonts w:hint="default" w:ascii="Times New Roman" w:hAnsi="Times New Roman" w:eastAsia="宋体" w:cs="Times New Roman"/>
                <w:color w:val="auto"/>
                <w:kern w:val="0"/>
                <w:szCs w:val="21"/>
                <w:highlight w:val="none"/>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DEF7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农村社区服务设施用地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E25E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0E35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0.22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F300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F9E4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0.22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2A28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B818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189EF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903C4">
            <w:pPr>
              <w:widowControl/>
              <w:jc w:val="center"/>
              <w:rPr>
                <w:rFonts w:hint="default" w:ascii="Times New Roman" w:hAnsi="Times New Roman" w:eastAsia="宋体" w:cs="Times New Roman"/>
                <w:color w:val="auto"/>
                <w:kern w:val="0"/>
                <w:szCs w:val="21"/>
                <w:highlight w:val="none"/>
              </w:rPr>
            </w:pPr>
          </w:p>
        </w:tc>
        <w:tc>
          <w:tcPr>
            <w:tcW w:w="9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ED88E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公共管理与公共服务用地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07B9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文化用地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8C9F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B497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093E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0.00%</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2587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D507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0.00%</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2AD6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4003A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26E9F">
            <w:pPr>
              <w:widowControl/>
              <w:jc w:val="center"/>
              <w:rPr>
                <w:rFonts w:hint="default" w:ascii="Times New Roman" w:hAnsi="Times New Roman" w:eastAsia="宋体" w:cs="Times New Roman"/>
                <w:color w:val="auto"/>
                <w:kern w:val="0"/>
                <w:szCs w:val="21"/>
                <w:highlight w:val="none"/>
              </w:rPr>
            </w:pPr>
          </w:p>
        </w:tc>
        <w:tc>
          <w:tcPr>
            <w:tcW w:w="9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6F06D">
            <w:pPr>
              <w:widowControl/>
              <w:jc w:val="center"/>
              <w:rPr>
                <w:rFonts w:hint="default" w:ascii="Times New Roman" w:hAnsi="Times New Roman" w:eastAsia="宋体" w:cs="Times New Roman"/>
                <w:color w:val="auto"/>
                <w:kern w:val="0"/>
                <w:szCs w:val="21"/>
                <w:highlight w:val="none"/>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18DD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体育用地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58D6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ADF0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1269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0.01%</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05BE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8B33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0.01%</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04A7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6D512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E591E">
            <w:pPr>
              <w:widowControl/>
              <w:jc w:val="center"/>
              <w:rPr>
                <w:rFonts w:hint="default" w:ascii="Times New Roman" w:hAnsi="Times New Roman" w:eastAsia="宋体" w:cs="Times New Roman"/>
                <w:color w:val="auto"/>
                <w:kern w:val="0"/>
                <w:szCs w:val="21"/>
                <w:highlight w:val="none"/>
              </w:rPr>
            </w:pP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939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商业服务业用地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08B1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商业用地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1ABB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44462">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4.58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31A3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0.67%</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375DA">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4.84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C458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0.71%</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1B6F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+0.26</w:t>
            </w:r>
          </w:p>
        </w:tc>
      </w:tr>
      <w:tr w14:paraId="55A41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AC3DF">
            <w:pPr>
              <w:widowControl/>
              <w:jc w:val="center"/>
              <w:rPr>
                <w:rFonts w:hint="default" w:ascii="Times New Roman" w:hAnsi="Times New Roman" w:eastAsia="宋体" w:cs="Times New Roman"/>
                <w:color w:val="auto"/>
                <w:kern w:val="0"/>
                <w:szCs w:val="21"/>
                <w:highlight w:val="none"/>
              </w:rPr>
            </w:pPr>
          </w:p>
        </w:tc>
        <w:tc>
          <w:tcPr>
            <w:tcW w:w="922" w:type="pct"/>
            <w:vMerge w:val="restart"/>
            <w:tcBorders>
              <w:top w:val="single" w:color="000000" w:sz="4" w:space="0"/>
              <w:left w:val="single" w:color="000000" w:sz="4" w:space="0"/>
              <w:right w:val="single" w:color="000000" w:sz="4" w:space="0"/>
            </w:tcBorders>
            <w:shd w:val="clear" w:color="auto" w:fill="auto"/>
            <w:vAlign w:val="center"/>
          </w:tcPr>
          <w:p w14:paraId="46D72B5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交通运输用地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8D41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公路用地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88CFE">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CC28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3.84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3A40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0.56%</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D397E">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3.84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6304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0.56%</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621B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26FA9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326E0">
            <w:pPr>
              <w:widowControl/>
              <w:jc w:val="center"/>
              <w:rPr>
                <w:rFonts w:hint="default" w:ascii="Times New Roman" w:hAnsi="Times New Roman" w:eastAsia="宋体" w:cs="Times New Roman"/>
                <w:color w:val="auto"/>
                <w:kern w:val="0"/>
                <w:szCs w:val="21"/>
                <w:highlight w:val="none"/>
              </w:rPr>
            </w:pPr>
          </w:p>
        </w:tc>
        <w:tc>
          <w:tcPr>
            <w:tcW w:w="922" w:type="pct"/>
            <w:vMerge w:val="continue"/>
            <w:tcBorders>
              <w:left w:val="single" w:color="000000" w:sz="4" w:space="0"/>
              <w:right w:val="single" w:color="000000" w:sz="4" w:space="0"/>
            </w:tcBorders>
            <w:shd w:val="clear" w:color="auto" w:fill="auto"/>
            <w:vAlign w:val="center"/>
          </w:tcPr>
          <w:p w14:paraId="2DCB706D">
            <w:pPr>
              <w:widowControl/>
              <w:jc w:val="center"/>
              <w:rPr>
                <w:rFonts w:hint="default" w:ascii="Times New Roman" w:hAnsi="Times New Roman" w:eastAsia="宋体" w:cs="Times New Roman"/>
                <w:color w:val="auto"/>
                <w:kern w:val="0"/>
                <w:szCs w:val="21"/>
                <w:highlight w:val="none"/>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B353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城镇村道路用地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CF99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5893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3987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0.01%</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C396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0.07</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086E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0.01%</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7F4F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6CC92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D6908">
            <w:pPr>
              <w:widowControl/>
              <w:jc w:val="center"/>
              <w:rPr>
                <w:rFonts w:hint="default" w:ascii="Times New Roman" w:hAnsi="Times New Roman" w:eastAsia="宋体" w:cs="Times New Roman"/>
                <w:color w:val="auto"/>
                <w:kern w:val="0"/>
                <w:szCs w:val="21"/>
                <w:highlight w:val="none"/>
              </w:rPr>
            </w:pPr>
          </w:p>
        </w:tc>
        <w:tc>
          <w:tcPr>
            <w:tcW w:w="922" w:type="pct"/>
            <w:vMerge w:val="continue"/>
            <w:tcBorders>
              <w:left w:val="single" w:color="000000" w:sz="4" w:space="0"/>
              <w:bottom w:val="single" w:color="000000" w:sz="4" w:space="0"/>
              <w:right w:val="single" w:color="000000" w:sz="4" w:space="0"/>
            </w:tcBorders>
            <w:shd w:val="clear" w:color="auto" w:fill="auto"/>
            <w:vAlign w:val="center"/>
          </w:tcPr>
          <w:p w14:paraId="2525FC6B">
            <w:pPr>
              <w:widowControl/>
              <w:jc w:val="center"/>
              <w:rPr>
                <w:rFonts w:hint="default" w:ascii="Times New Roman" w:hAnsi="Times New Roman" w:eastAsia="宋体" w:cs="Times New Roman"/>
                <w:color w:val="auto"/>
                <w:kern w:val="0"/>
                <w:szCs w:val="21"/>
                <w:highlight w:val="none"/>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08E8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交通场站用地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199D7">
            <w:pPr>
              <w:widowControl/>
              <w:jc w:val="center"/>
              <w:rPr>
                <w:rFonts w:hint="default" w:ascii="Times New Roman" w:hAnsi="Times New Roman" w:eastAsia="宋体" w:cs="Times New Roman"/>
                <w:color w:val="auto"/>
                <w:kern w:val="0"/>
                <w:szCs w:val="21"/>
                <w:highlight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BACA5">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0.29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116A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0.04%</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E8A6E">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0.91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9640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0.13%</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9A190">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+0.62</w:t>
            </w:r>
          </w:p>
        </w:tc>
      </w:tr>
      <w:tr w14:paraId="03AC0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7FD4C">
            <w:pPr>
              <w:widowControl/>
              <w:jc w:val="center"/>
              <w:rPr>
                <w:rFonts w:hint="default" w:ascii="Times New Roman" w:hAnsi="Times New Roman" w:eastAsia="宋体" w:cs="Times New Roman"/>
                <w:color w:val="auto"/>
                <w:kern w:val="0"/>
                <w:szCs w:val="21"/>
                <w:highlight w:val="none"/>
              </w:rPr>
            </w:pP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AE7F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公用设施用地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FF12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环卫用地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0716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4168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6EDF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30FA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423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0.03%</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398FB">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0FBAC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308E3">
            <w:pPr>
              <w:widowControl/>
              <w:jc w:val="center"/>
              <w:rPr>
                <w:rFonts w:hint="default" w:ascii="Times New Roman" w:hAnsi="Times New Roman" w:eastAsia="宋体" w:cs="Times New Roman"/>
                <w:color w:val="auto"/>
                <w:kern w:val="0"/>
                <w:szCs w:val="21"/>
                <w:highlight w:val="none"/>
              </w:rPr>
            </w:pP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CA75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绿地与开敞空间用地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A622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防护绿地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42BD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B964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82CA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0.00%</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21C2B">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0.24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80CD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0.04%</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8F1C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+0.24</w:t>
            </w:r>
          </w:p>
        </w:tc>
      </w:tr>
      <w:tr w14:paraId="1FCB0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30D39">
            <w:pPr>
              <w:widowControl/>
              <w:jc w:val="center"/>
              <w:rPr>
                <w:rFonts w:hint="default" w:ascii="Times New Roman" w:hAnsi="Times New Roman" w:eastAsia="宋体" w:cs="Times New Roman"/>
                <w:color w:val="auto"/>
                <w:kern w:val="0"/>
                <w:szCs w:val="21"/>
                <w:highlight w:val="none"/>
              </w:rPr>
            </w:pP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7FFF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特殊用地</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4E32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1A1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1A4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2.18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D7BF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0.32%</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EA45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2.18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5FAD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0.32%</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649E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11426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1DBBD">
            <w:pPr>
              <w:widowControl/>
              <w:jc w:val="center"/>
              <w:rPr>
                <w:rFonts w:hint="default" w:ascii="Times New Roman" w:hAnsi="Times New Roman" w:eastAsia="宋体" w:cs="Times New Roman"/>
                <w:color w:val="auto"/>
                <w:kern w:val="0"/>
                <w:szCs w:val="21"/>
                <w:highlight w:val="none"/>
              </w:rPr>
            </w:pPr>
          </w:p>
        </w:tc>
        <w:tc>
          <w:tcPr>
            <w:tcW w:w="212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77481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建设用地合计</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2282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16.28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101C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2.39%</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3D06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17.4</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94947">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2.55%</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B7F0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+1.12</w:t>
            </w:r>
          </w:p>
        </w:tc>
      </w:tr>
      <w:tr w14:paraId="6C25E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7FE57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未利用地</w:t>
            </w:r>
          </w:p>
        </w:tc>
        <w:tc>
          <w:tcPr>
            <w:tcW w:w="9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ACDF7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陆地水域</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E000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河流水面</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1007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B47E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8.52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43A4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1.25%</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08C8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8.52</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9A2E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1.25%</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2EA0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2A462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55733">
            <w:pPr>
              <w:widowControl/>
              <w:jc w:val="center"/>
              <w:rPr>
                <w:rFonts w:hint="default" w:ascii="Times New Roman" w:hAnsi="Times New Roman" w:eastAsia="宋体" w:cs="Times New Roman"/>
                <w:color w:val="auto"/>
                <w:kern w:val="0"/>
                <w:szCs w:val="21"/>
                <w:highlight w:val="none"/>
              </w:rPr>
            </w:pPr>
          </w:p>
        </w:tc>
        <w:tc>
          <w:tcPr>
            <w:tcW w:w="9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97A3D">
            <w:pPr>
              <w:widowControl/>
              <w:jc w:val="center"/>
              <w:rPr>
                <w:rFonts w:hint="default" w:ascii="Times New Roman" w:hAnsi="Times New Roman" w:eastAsia="宋体" w:cs="Times New Roman"/>
                <w:color w:val="auto"/>
                <w:kern w:val="0"/>
                <w:szCs w:val="21"/>
                <w:highlight w:val="none"/>
              </w:rPr>
            </w:pP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0210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坑塘水面</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D2F8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5922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0630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0.10%</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27CE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0.68</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4022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0.10%</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E0F3F">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7C5EC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9C211">
            <w:pPr>
              <w:widowControl/>
              <w:jc w:val="center"/>
              <w:rPr>
                <w:rFonts w:hint="default" w:ascii="Times New Roman" w:hAnsi="Times New Roman" w:eastAsia="宋体" w:cs="Times New Roman"/>
                <w:color w:val="auto"/>
                <w:kern w:val="0"/>
                <w:szCs w:val="21"/>
                <w:highlight w:val="none"/>
              </w:rPr>
            </w:pP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4970C">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未利用地合计</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6B446">
            <w:pPr>
              <w:widowControl/>
              <w:jc w:val="center"/>
              <w:rPr>
                <w:rFonts w:hint="default" w:ascii="Times New Roman" w:hAnsi="Times New Roman" w:eastAsia="宋体" w:cs="Times New Roman"/>
                <w:color w:val="auto"/>
                <w:kern w:val="0"/>
                <w:szCs w:val="21"/>
                <w:highlight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F3D89">
            <w:pPr>
              <w:widowControl/>
              <w:jc w:val="center"/>
              <w:rPr>
                <w:rFonts w:hint="default" w:ascii="Times New Roman" w:hAnsi="Times New Roman" w:eastAsia="宋体" w:cs="Times New Roman"/>
                <w:color w:val="auto"/>
                <w:kern w:val="0"/>
                <w:szCs w:val="21"/>
                <w:highlight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5A7D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 xml:space="preserve">9.20 </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C1F95">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1.35%</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8C6A8">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 xml:space="preserve">9.20 </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FBD6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1.35%</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9703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r w14:paraId="7D89C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25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BDC1C9">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总计</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0783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681.3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9DD6D">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100.00%</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7F162">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681.3</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D0AB1">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100.00%</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44084">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w:t>
            </w:r>
          </w:p>
        </w:tc>
      </w:tr>
    </w:tbl>
    <w:p w14:paraId="7FD4ED72">
      <w:pPr>
        <w:pStyle w:val="36"/>
        <w:jc w:val="both"/>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注：+为用地增加，-为用地减少。</w:t>
      </w:r>
    </w:p>
    <w:p w14:paraId="4D0CFB1D">
      <w:pPr>
        <w:pStyle w:val="720"/>
        <w:rPr>
          <w:rFonts w:hint="default" w:ascii="Times New Roman" w:hAnsi="Times New Roman" w:cs="Times New Roman"/>
          <w:color w:val="auto"/>
          <w:kern w:val="24"/>
          <w:highlight w:val="none"/>
        </w:rPr>
      </w:pPr>
      <w:r>
        <w:rPr>
          <w:rFonts w:hint="default" w:ascii="Times New Roman" w:hAnsi="Times New Roman" w:cs="Times New Roman"/>
          <w:color w:val="auto"/>
          <w:highlight w:val="none"/>
        </w:rPr>
        <w:t>规划实施后相比现状土地利用现状，</w:t>
      </w:r>
      <w:r>
        <w:rPr>
          <w:rFonts w:hint="default" w:ascii="Times New Roman" w:hAnsi="Times New Roman" w:cs="Times New Roman"/>
          <w:color w:val="auto"/>
          <w:szCs w:val="21"/>
          <w:highlight w:val="none"/>
        </w:rPr>
        <w:t>仅</w:t>
      </w:r>
      <w:r>
        <w:rPr>
          <w:rFonts w:hint="default" w:ascii="Times New Roman" w:hAnsi="Times New Roman" w:cs="Times New Roman"/>
          <w:color w:val="auto"/>
          <w:szCs w:val="21"/>
          <w:highlight w:val="none"/>
          <w:lang w:val="en-US" w:eastAsia="zh-CN"/>
        </w:rPr>
        <w:t>1.12hm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灌木林地会变更为0.26hm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商业用地、0.62hm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eastAsia="宋体" w:cs="Times New Roman"/>
          <w:color w:val="auto"/>
          <w:kern w:val="0"/>
          <w:szCs w:val="21"/>
          <w:highlight w:val="none"/>
        </w:rPr>
        <w:t>交通场站用地</w:t>
      </w:r>
      <w:r>
        <w:rPr>
          <w:rFonts w:hint="default" w:ascii="Times New Roman" w:hAnsi="Times New Roman" w:eastAsia="宋体" w:cs="Times New Roman"/>
          <w:color w:val="auto"/>
          <w:kern w:val="0"/>
          <w:szCs w:val="21"/>
          <w:highlight w:val="none"/>
          <w:lang w:val="en-US" w:eastAsia="zh-CN"/>
        </w:rPr>
        <w:t>和0.24</w:t>
      </w:r>
      <w:r>
        <w:rPr>
          <w:rFonts w:hint="default" w:ascii="Times New Roman" w:hAnsi="Times New Roman" w:cs="Times New Roman"/>
          <w:color w:val="auto"/>
          <w:szCs w:val="21"/>
          <w:highlight w:val="none"/>
          <w:lang w:val="en-US" w:eastAsia="zh-CN"/>
        </w:rPr>
        <w:t>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eastAsia="宋体" w:cs="Times New Roman"/>
          <w:color w:val="auto"/>
          <w:kern w:val="0"/>
          <w:szCs w:val="21"/>
          <w:highlight w:val="none"/>
          <w:lang w:val="en-US" w:eastAsia="zh-CN"/>
        </w:rPr>
        <w:t>防护绿地。随着规划的实施，前文2.1.7小结：绿地景观系统规划逐步得到落实后，可</w:t>
      </w:r>
      <w:r>
        <w:rPr>
          <w:rFonts w:hint="default" w:ascii="Times New Roman" w:hAnsi="Times New Roman" w:cs="Times New Roman"/>
          <w:color w:val="auto"/>
          <w:kern w:val="0"/>
          <w:szCs w:val="21"/>
          <w:highlight w:val="none"/>
          <w:lang w:val="en-US" w:eastAsia="zh-CN"/>
        </w:rPr>
        <w:t>进一步</w:t>
      </w:r>
      <w:r>
        <w:rPr>
          <w:rFonts w:hint="default" w:ascii="Times New Roman" w:hAnsi="Times New Roman" w:eastAsia="宋体" w:cs="Times New Roman"/>
          <w:color w:val="auto"/>
          <w:kern w:val="0"/>
          <w:szCs w:val="21"/>
          <w:highlight w:val="none"/>
          <w:lang w:val="en-US" w:eastAsia="zh-CN"/>
        </w:rPr>
        <w:t>改善区域的生态环境质量现状，</w:t>
      </w:r>
      <w:r>
        <w:rPr>
          <w:rFonts w:hint="default" w:ascii="Times New Roman" w:hAnsi="Times New Roman" w:cs="Times New Roman"/>
          <w:color w:val="auto"/>
          <w:kern w:val="24"/>
          <w:highlight w:val="none"/>
        </w:rPr>
        <w:t>从整体区域看，本次规划实施后，土地资源需求量在可接受范围内。</w:t>
      </w:r>
    </w:p>
    <w:p w14:paraId="060A5AB6">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能源需求量估算</w:t>
      </w:r>
    </w:p>
    <w:p w14:paraId="56469D0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规划范围内能源主要为市政供电以及液化石油气。</w:t>
      </w:r>
    </w:p>
    <w:p w14:paraId="21E78B70">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规划实施后景区用电</w:t>
      </w:r>
      <w:r>
        <w:rPr>
          <w:rFonts w:hint="default" w:ascii="Times New Roman" w:hAnsi="Times New Roman" w:cs="Times New Roman"/>
          <w:color w:val="auto"/>
          <w:spacing w:val="0"/>
          <w:kern w:val="24"/>
          <w:highlight w:val="none"/>
          <w:lang w:val="en-US" w:eastAsia="zh-CN"/>
        </w:rPr>
        <w:t>通过</w:t>
      </w:r>
      <w:r>
        <w:rPr>
          <w:rFonts w:hint="default" w:ascii="Times New Roman" w:hAnsi="Times New Roman" w:cs="Times New Roman"/>
          <w:b w:val="0"/>
          <w:bCs/>
          <w:color w:val="auto"/>
          <w:kern w:val="0"/>
          <w:sz w:val="24"/>
          <w:highlight w:val="none"/>
          <w:lang w:val="en-US" w:eastAsia="zh-CN"/>
        </w:rPr>
        <w:t>古乡35kV变电站供给</w:t>
      </w:r>
      <w:r>
        <w:rPr>
          <w:rFonts w:hint="default" w:ascii="Times New Roman" w:hAnsi="Times New Roman" w:cs="Times New Roman"/>
          <w:color w:val="auto"/>
          <w:spacing w:val="0"/>
          <w:kern w:val="24"/>
          <w:highlight w:val="none"/>
        </w:rPr>
        <w:t>。</w:t>
      </w:r>
    </w:p>
    <w:p w14:paraId="2D0C406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液化石油气用气单元主要为规划区范围内常住居民以及工作人员、游客（主要集中在住宿、餐饮等项目）。人均用气指标按2700MJ/（人·年）计；液化石油气（气态）热值为87.92~100.50MJ/kg，本次评价取值为90MJ/kg，则常住居民液化石油气用量为30kg/（人·a）。</w:t>
      </w:r>
      <w:bookmarkStart w:id="151" w:name="_Hlk63493149"/>
      <w:r>
        <w:rPr>
          <w:rFonts w:hint="default" w:ascii="Times New Roman" w:hAnsi="Times New Roman" w:cs="Times New Roman"/>
          <w:color w:val="auto"/>
          <w:spacing w:val="0"/>
          <w:kern w:val="24"/>
          <w:highlight w:val="none"/>
        </w:rPr>
        <w:t>景区工作人员取值15kg/（人·a）；景区就餐游客按50%计，平均用气量取值0.05kg/（人·d）。</w:t>
      </w:r>
      <w:bookmarkEnd w:id="151"/>
    </w:p>
    <w:p w14:paraId="4A108E4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本次评价根据前述人口和游客规模，结合上述用气定额，则两种预测情景下的景区用气情况见表5.2-4和表5.2-5。</w:t>
      </w:r>
    </w:p>
    <w:p w14:paraId="78303813">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表5.2-4  景区液化石油气需求量估算表（情景一：一般情况）</w:t>
      </w:r>
    </w:p>
    <w:tbl>
      <w:tblPr>
        <w:tblStyle w:val="58"/>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92"/>
        <w:gridCol w:w="1454"/>
        <w:gridCol w:w="1134"/>
        <w:gridCol w:w="1134"/>
        <w:gridCol w:w="992"/>
        <w:gridCol w:w="1276"/>
        <w:gridCol w:w="1134"/>
        <w:gridCol w:w="914"/>
      </w:tblGrid>
      <w:tr w14:paraId="6E20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Merge w:val="restart"/>
            <w:vAlign w:val="center"/>
          </w:tcPr>
          <w:p w14:paraId="6CE426C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用气主体</w:t>
            </w:r>
          </w:p>
        </w:tc>
        <w:tc>
          <w:tcPr>
            <w:tcW w:w="1454" w:type="dxa"/>
            <w:vMerge w:val="restart"/>
            <w:vAlign w:val="center"/>
          </w:tcPr>
          <w:p w14:paraId="07AFFC6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用气定额</w:t>
            </w:r>
          </w:p>
        </w:tc>
        <w:tc>
          <w:tcPr>
            <w:tcW w:w="3260" w:type="dxa"/>
            <w:gridSpan w:val="3"/>
            <w:vAlign w:val="center"/>
          </w:tcPr>
          <w:p w14:paraId="0572D51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3324" w:type="dxa"/>
            <w:gridSpan w:val="3"/>
            <w:vAlign w:val="center"/>
          </w:tcPr>
          <w:p w14:paraId="216656E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r>
      <w:tr w14:paraId="0CF0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Merge w:val="continue"/>
            <w:vAlign w:val="center"/>
          </w:tcPr>
          <w:p w14:paraId="7ED4557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454" w:type="dxa"/>
            <w:vMerge w:val="continue"/>
            <w:vAlign w:val="center"/>
          </w:tcPr>
          <w:p w14:paraId="32E048F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134" w:type="dxa"/>
            <w:vAlign w:val="center"/>
          </w:tcPr>
          <w:p w14:paraId="615D151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用气规模</w:t>
            </w:r>
          </w:p>
        </w:tc>
        <w:tc>
          <w:tcPr>
            <w:tcW w:w="1134" w:type="dxa"/>
            <w:vAlign w:val="center"/>
          </w:tcPr>
          <w:p w14:paraId="4AFFAF0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日用气量（kg/d）</w:t>
            </w:r>
          </w:p>
        </w:tc>
        <w:tc>
          <w:tcPr>
            <w:tcW w:w="992" w:type="dxa"/>
            <w:vAlign w:val="center"/>
          </w:tcPr>
          <w:p w14:paraId="4DEABA4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年用气量（kg/a）</w:t>
            </w:r>
          </w:p>
        </w:tc>
        <w:tc>
          <w:tcPr>
            <w:tcW w:w="1276" w:type="dxa"/>
            <w:vAlign w:val="center"/>
          </w:tcPr>
          <w:p w14:paraId="40F8C64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用气规模</w:t>
            </w:r>
          </w:p>
        </w:tc>
        <w:tc>
          <w:tcPr>
            <w:tcW w:w="1134" w:type="dxa"/>
            <w:vAlign w:val="center"/>
          </w:tcPr>
          <w:p w14:paraId="22DB6A2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日用气量（kg/d）</w:t>
            </w:r>
          </w:p>
        </w:tc>
        <w:tc>
          <w:tcPr>
            <w:tcW w:w="914" w:type="dxa"/>
            <w:vAlign w:val="center"/>
          </w:tcPr>
          <w:p w14:paraId="56837A1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年用气量（kg/a）</w:t>
            </w:r>
          </w:p>
        </w:tc>
      </w:tr>
      <w:tr w14:paraId="37DD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92" w:type="dxa"/>
            <w:vAlign w:val="center"/>
          </w:tcPr>
          <w:p w14:paraId="7D1CA1B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常住居民</w:t>
            </w:r>
          </w:p>
        </w:tc>
        <w:tc>
          <w:tcPr>
            <w:tcW w:w="1454" w:type="dxa"/>
            <w:vAlign w:val="center"/>
          </w:tcPr>
          <w:p w14:paraId="4E74889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30kg/（人·a）</w:t>
            </w:r>
          </w:p>
        </w:tc>
        <w:tc>
          <w:tcPr>
            <w:tcW w:w="1134" w:type="dxa"/>
            <w:vAlign w:val="center"/>
          </w:tcPr>
          <w:p w14:paraId="67A857E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495</w:t>
            </w:r>
            <w:r>
              <w:rPr>
                <w:rFonts w:hint="default" w:ascii="Times New Roman" w:hAnsi="Times New Roman" w:cs="Times New Roman" w:eastAsiaTheme="minorEastAsia"/>
                <w:bCs/>
                <w:color w:val="auto"/>
                <w:spacing w:val="0"/>
                <w:kern w:val="24"/>
                <w:sz w:val="21"/>
                <w:szCs w:val="21"/>
                <w:highlight w:val="none"/>
              </w:rPr>
              <w:t>人</w:t>
            </w:r>
          </w:p>
        </w:tc>
        <w:tc>
          <w:tcPr>
            <w:tcW w:w="1134" w:type="dxa"/>
            <w:vAlign w:val="center"/>
          </w:tcPr>
          <w:p w14:paraId="404207D9">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40.68</w:t>
            </w:r>
          </w:p>
        </w:tc>
        <w:tc>
          <w:tcPr>
            <w:tcW w:w="992" w:type="dxa"/>
            <w:vAlign w:val="center"/>
          </w:tcPr>
          <w:p w14:paraId="4033E720">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14850</w:t>
            </w:r>
          </w:p>
        </w:tc>
        <w:tc>
          <w:tcPr>
            <w:tcW w:w="1276" w:type="dxa"/>
            <w:vAlign w:val="center"/>
          </w:tcPr>
          <w:p w14:paraId="2236818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495</w:t>
            </w:r>
            <w:r>
              <w:rPr>
                <w:rFonts w:hint="default" w:ascii="Times New Roman" w:hAnsi="Times New Roman" w:cs="Times New Roman" w:eastAsiaTheme="minorEastAsia"/>
                <w:bCs/>
                <w:color w:val="auto"/>
                <w:spacing w:val="0"/>
                <w:kern w:val="24"/>
                <w:sz w:val="21"/>
                <w:szCs w:val="21"/>
                <w:highlight w:val="none"/>
              </w:rPr>
              <w:t>人</w:t>
            </w:r>
          </w:p>
        </w:tc>
        <w:tc>
          <w:tcPr>
            <w:tcW w:w="1134" w:type="dxa"/>
            <w:shd w:val="clear" w:color="auto" w:fill="auto"/>
            <w:vAlign w:val="center"/>
          </w:tcPr>
          <w:p w14:paraId="2014F0A4">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40.68</w:t>
            </w:r>
          </w:p>
        </w:tc>
        <w:tc>
          <w:tcPr>
            <w:tcW w:w="914" w:type="dxa"/>
            <w:shd w:val="clear" w:color="auto" w:fill="auto"/>
            <w:vAlign w:val="center"/>
          </w:tcPr>
          <w:p w14:paraId="5E608510">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14850</w:t>
            </w:r>
          </w:p>
        </w:tc>
      </w:tr>
      <w:tr w14:paraId="780E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Align w:val="center"/>
          </w:tcPr>
          <w:p w14:paraId="4E58B66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工作人员</w:t>
            </w:r>
          </w:p>
        </w:tc>
        <w:tc>
          <w:tcPr>
            <w:tcW w:w="1454" w:type="dxa"/>
            <w:vAlign w:val="center"/>
          </w:tcPr>
          <w:p w14:paraId="3C5B14C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15kg/（人·a）</w:t>
            </w:r>
          </w:p>
        </w:tc>
        <w:tc>
          <w:tcPr>
            <w:tcW w:w="1134" w:type="dxa"/>
            <w:vAlign w:val="center"/>
          </w:tcPr>
          <w:p w14:paraId="0D39752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10</w:t>
            </w:r>
            <w:r>
              <w:rPr>
                <w:rFonts w:hint="default" w:ascii="Times New Roman" w:hAnsi="Times New Roman" w:cs="Times New Roman" w:eastAsiaTheme="minorEastAsia"/>
                <w:bCs/>
                <w:color w:val="auto"/>
                <w:spacing w:val="0"/>
                <w:kern w:val="24"/>
                <w:sz w:val="21"/>
                <w:szCs w:val="21"/>
                <w:highlight w:val="none"/>
              </w:rPr>
              <w:t>0人</w:t>
            </w:r>
          </w:p>
        </w:tc>
        <w:tc>
          <w:tcPr>
            <w:tcW w:w="1134" w:type="dxa"/>
            <w:vAlign w:val="center"/>
          </w:tcPr>
          <w:p w14:paraId="704F547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6.12</w:t>
            </w:r>
          </w:p>
        </w:tc>
        <w:tc>
          <w:tcPr>
            <w:tcW w:w="992" w:type="dxa"/>
            <w:vAlign w:val="center"/>
          </w:tcPr>
          <w:p w14:paraId="2E68657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1500</w:t>
            </w:r>
          </w:p>
        </w:tc>
        <w:tc>
          <w:tcPr>
            <w:tcW w:w="1276" w:type="dxa"/>
            <w:vAlign w:val="center"/>
          </w:tcPr>
          <w:p w14:paraId="760A942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0人</w:t>
            </w:r>
          </w:p>
        </w:tc>
        <w:tc>
          <w:tcPr>
            <w:tcW w:w="1134" w:type="dxa"/>
            <w:vAlign w:val="center"/>
          </w:tcPr>
          <w:p w14:paraId="0EE3506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18.36</w:t>
            </w:r>
          </w:p>
        </w:tc>
        <w:tc>
          <w:tcPr>
            <w:tcW w:w="914" w:type="dxa"/>
            <w:vAlign w:val="center"/>
          </w:tcPr>
          <w:p w14:paraId="4191239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4500</w:t>
            </w:r>
          </w:p>
        </w:tc>
      </w:tr>
      <w:tr w14:paraId="6DD0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Align w:val="center"/>
          </w:tcPr>
          <w:p w14:paraId="52F32C7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游客</w:t>
            </w:r>
          </w:p>
        </w:tc>
        <w:tc>
          <w:tcPr>
            <w:tcW w:w="1454" w:type="dxa"/>
            <w:vAlign w:val="center"/>
          </w:tcPr>
          <w:p w14:paraId="55FE6D6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0.05kg/（人·d）</w:t>
            </w:r>
          </w:p>
        </w:tc>
        <w:tc>
          <w:tcPr>
            <w:tcW w:w="1134" w:type="dxa"/>
            <w:vAlign w:val="center"/>
          </w:tcPr>
          <w:p w14:paraId="1CB913B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112950</w:t>
            </w:r>
            <w:r>
              <w:rPr>
                <w:rFonts w:hint="default" w:ascii="Times New Roman" w:hAnsi="Times New Roman" w:cs="Times New Roman" w:eastAsiaTheme="minorEastAsia"/>
                <w:bCs/>
                <w:color w:val="auto"/>
                <w:spacing w:val="0"/>
                <w:kern w:val="24"/>
                <w:sz w:val="21"/>
                <w:szCs w:val="21"/>
                <w:highlight w:val="none"/>
              </w:rPr>
              <w:t>人/a</w:t>
            </w:r>
          </w:p>
        </w:tc>
        <w:tc>
          <w:tcPr>
            <w:tcW w:w="1134" w:type="dxa"/>
            <w:vAlign w:val="center"/>
          </w:tcPr>
          <w:p w14:paraId="0337206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23.05</w:t>
            </w:r>
          </w:p>
        </w:tc>
        <w:tc>
          <w:tcPr>
            <w:tcW w:w="992" w:type="dxa"/>
            <w:vAlign w:val="center"/>
          </w:tcPr>
          <w:p w14:paraId="74E250E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5647.5</w:t>
            </w:r>
          </w:p>
        </w:tc>
        <w:tc>
          <w:tcPr>
            <w:tcW w:w="1276" w:type="dxa"/>
            <w:vAlign w:val="center"/>
          </w:tcPr>
          <w:p w14:paraId="2947819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250600</w:t>
            </w:r>
            <w:r>
              <w:rPr>
                <w:rFonts w:hint="default" w:ascii="Times New Roman" w:hAnsi="Times New Roman" w:cs="Times New Roman" w:eastAsiaTheme="minorEastAsia"/>
                <w:bCs/>
                <w:color w:val="auto"/>
                <w:spacing w:val="0"/>
                <w:kern w:val="24"/>
                <w:sz w:val="21"/>
                <w:szCs w:val="21"/>
                <w:highlight w:val="none"/>
              </w:rPr>
              <w:t>人/a</w:t>
            </w:r>
          </w:p>
        </w:tc>
        <w:tc>
          <w:tcPr>
            <w:tcW w:w="1134" w:type="dxa"/>
            <w:vAlign w:val="center"/>
          </w:tcPr>
          <w:p w14:paraId="374296FB">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51.14</w:t>
            </w:r>
          </w:p>
        </w:tc>
        <w:tc>
          <w:tcPr>
            <w:tcW w:w="914" w:type="dxa"/>
            <w:vAlign w:val="center"/>
          </w:tcPr>
          <w:p w14:paraId="10A6E5F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12530</w:t>
            </w:r>
          </w:p>
        </w:tc>
      </w:tr>
      <w:tr w14:paraId="6B4D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446" w:type="dxa"/>
            <w:gridSpan w:val="2"/>
            <w:vAlign w:val="center"/>
          </w:tcPr>
          <w:p w14:paraId="0401389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合计</w:t>
            </w:r>
          </w:p>
        </w:tc>
        <w:tc>
          <w:tcPr>
            <w:tcW w:w="1134" w:type="dxa"/>
            <w:vAlign w:val="center"/>
          </w:tcPr>
          <w:p w14:paraId="3DE3BBF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1134" w:type="dxa"/>
            <w:vAlign w:val="center"/>
          </w:tcPr>
          <w:p w14:paraId="64AEA96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69.85</w:t>
            </w:r>
          </w:p>
        </w:tc>
        <w:tc>
          <w:tcPr>
            <w:tcW w:w="992" w:type="dxa"/>
            <w:vAlign w:val="center"/>
          </w:tcPr>
          <w:p w14:paraId="1BA6AB5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21997.5</w:t>
            </w:r>
          </w:p>
        </w:tc>
        <w:tc>
          <w:tcPr>
            <w:tcW w:w="1276" w:type="dxa"/>
            <w:vAlign w:val="center"/>
          </w:tcPr>
          <w:p w14:paraId="6408F6C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1134" w:type="dxa"/>
            <w:vAlign w:val="center"/>
          </w:tcPr>
          <w:p w14:paraId="46F05B5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110.18</w:t>
            </w:r>
          </w:p>
        </w:tc>
        <w:tc>
          <w:tcPr>
            <w:tcW w:w="914" w:type="dxa"/>
            <w:vAlign w:val="center"/>
          </w:tcPr>
          <w:p w14:paraId="0DED7FD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31880</w:t>
            </w:r>
          </w:p>
        </w:tc>
      </w:tr>
      <w:tr w14:paraId="797E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030" w:type="dxa"/>
            <w:gridSpan w:val="8"/>
            <w:vAlign w:val="center"/>
          </w:tcPr>
          <w:p w14:paraId="5F34B7FD">
            <w:pPr>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注：常住居民年按365天/年计，工作人员与游客按245天/年计。</w:t>
            </w:r>
          </w:p>
        </w:tc>
      </w:tr>
    </w:tbl>
    <w:p w14:paraId="28FD7621">
      <w:pPr>
        <w:pStyle w:val="28"/>
        <w:tabs>
          <w:tab w:val="left" w:pos="840"/>
        </w:tabs>
        <w:spacing w:line="360" w:lineRule="auto"/>
        <w:jc w:val="center"/>
        <w:rPr>
          <w:rFonts w:hint="default" w:ascii="Times New Roman" w:hAnsi="Times New Roman" w:eastAsia="黑体" w:cs="Times New Roman"/>
          <w:color w:val="auto"/>
          <w:kern w:val="0"/>
          <w:szCs w:val="21"/>
          <w:highlight w:val="none"/>
        </w:rPr>
      </w:pPr>
    </w:p>
    <w:p w14:paraId="34B03673">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表5.2-5  景区液化石油气需求量估算表（情景二：特殊情况）</w:t>
      </w:r>
    </w:p>
    <w:tbl>
      <w:tblPr>
        <w:tblStyle w:val="58"/>
        <w:tblW w:w="9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63"/>
        <w:gridCol w:w="922"/>
        <w:gridCol w:w="923"/>
        <w:gridCol w:w="922"/>
        <w:gridCol w:w="923"/>
        <w:gridCol w:w="922"/>
        <w:gridCol w:w="923"/>
        <w:gridCol w:w="922"/>
        <w:gridCol w:w="923"/>
      </w:tblGrid>
      <w:tr w14:paraId="60BC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Merge w:val="restart"/>
            <w:vAlign w:val="center"/>
          </w:tcPr>
          <w:p w14:paraId="67259D1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用气主体</w:t>
            </w:r>
          </w:p>
        </w:tc>
        <w:tc>
          <w:tcPr>
            <w:tcW w:w="3690" w:type="dxa"/>
            <w:gridSpan w:val="4"/>
            <w:vAlign w:val="center"/>
          </w:tcPr>
          <w:p w14:paraId="29074D0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3690" w:type="dxa"/>
            <w:gridSpan w:val="4"/>
            <w:vAlign w:val="center"/>
          </w:tcPr>
          <w:p w14:paraId="1821B8D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r>
      <w:tr w14:paraId="6107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Merge w:val="continue"/>
            <w:vAlign w:val="center"/>
          </w:tcPr>
          <w:p w14:paraId="49034A9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845" w:type="dxa"/>
            <w:gridSpan w:val="2"/>
            <w:vAlign w:val="center"/>
          </w:tcPr>
          <w:p w14:paraId="1E529B7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旺季</w:t>
            </w:r>
          </w:p>
        </w:tc>
        <w:tc>
          <w:tcPr>
            <w:tcW w:w="1845" w:type="dxa"/>
            <w:gridSpan w:val="2"/>
            <w:vAlign w:val="center"/>
          </w:tcPr>
          <w:p w14:paraId="6222042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淡季</w:t>
            </w:r>
          </w:p>
        </w:tc>
        <w:tc>
          <w:tcPr>
            <w:tcW w:w="1845" w:type="dxa"/>
            <w:gridSpan w:val="2"/>
            <w:vAlign w:val="center"/>
          </w:tcPr>
          <w:p w14:paraId="4E07598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旺季</w:t>
            </w:r>
          </w:p>
        </w:tc>
        <w:tc>
          <w:tcPr>
            <w:tcW w:w="1845" w:type="dxa"/>
            <w:gridSpan w:val="2"/>
            <w:vAlign w:val="center"/>
          </w:tcPr>
          <w:p w14:paraId="0B01D9A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淡季</w:t>
            </w:r>
          </w:p>
        </w:tc>
      </w:tr>
      <w:tr w14:paraId="12E1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Merge w:val="continue"/>
            <w:vAlign w:val="center"/>
          </w:tcPr>
          <w:p w14:paraId="750949C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922" w:type="dxa"/>
            <w:vAlign w:val="center"/>
          </w:tcPr>
          <w:p w14:paraId="0060C6B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用气规模（人）</w:t>
            </w:r>
          </w:p>
        </w:tc>
        <w:tc>
          <w:tcPr>
            <w:tcW w:w="923" w:type="dxa"/>
            <w:vAlign w:val="center"/>
          </w:tcPr>
          <w:p w14:paraId="1BB334F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日用气量（kg/d）</w:t>
            </w:r>
          </w:p>
        </w:tc>
        <w:tc>
          <w:tcPr>
            <w:tcW w:w="922" w:type="dxa"/>
            <w:vAlign w:val="center"/>
          </w:tcPr>
          <w:p w14:paraId="4503B83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用气规模（人）</w:t>
            </w:r>
          </w:p>
        </w:tc>
        <w:tc>
          <w:tcPr>
            <w:tcW w:w="923" w:type="dxa"/>
            <w:vAlign w:val="center"/>
          </w:tcPr>
          <w:p w14:paraId="3ABE8E4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日用气量（kg/d）</w:t>
            </w:r>
          </w:p>
        </w:tc>
        <w:tc>
          <w:tcPr>
            <w:tcW w:w="922" w:type="dxa"/>
            <w:vAlign w:val="center"/>
          </w:tcPr>
          <w:p w14:paraId="3B64855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用气规模（人）</w:t>
            </w:r>
          </w:p>
        </w:tc>
        <w:tc>
          <w:tcPr>
            <w:tcW w:w="923" w:type="dxa"/>
            <w:vAlign w:val="center"/>
          </w:tcPr>
          <w:p w14:paraId="1A5C551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日用气量（kg/d）</w:t>
            </w:r>
          </w:p>
        </w:tc>
        <w:tc>
          <w:tcPr>
            <w:tcW w:w="922" w:type="dxa"/>
            <w:vAlign w:val="center"/>
          </w:tcPr>
          <w:p w14:paraId="633A12B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用气规模（人）</w:t>
            </w:r>
          </w:p>
        </w:tc>
        <w:tc>
          <w:tcPr>
            <w:tcW w:w="923" w:type="dxa"/>
            <w:vAlign w:val="center"/>
          </w:tcPr>
          <w:p w14:paraId="45EC3CB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日用气量（kg/d）</w:t>
            </w:r>
          </w:p>
        </w:tc>
      </w:tr>
      <w:tr w14:paraId="5B40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Align w:val="center"/>
          </w:tcPr>
          <w:p w14:paraId="7FE3CAA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常住居民</w:t>
            </w:r>
          </w:p>
        </w:tc>
        <w:tc>
          <w:tcPr>
            <w:tcW w:w="922" w:type="dxa"/>
            <w:vAlign w:val="center"/>
          </w:tcPr>
          <w:p w14:paraId="60E22DC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495</w:t>
            </w:r>
          </w:p>
        </w:tc>
        <w:tc>
          <w:tcPr>
            <w:tcW w:w="923" w:type="dxa"/>
            <w:vAlign w:val="center"/>
          </w:tcPr>
          <w:p w14:paraId="60020AD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40.68</w:t>
            </w:r>
          </w:p>
        </w:tc>
        <w:tc>
          <w:tcPr>
            <w:tcW w:w="922" w:type="dxa"/>
            <w:shd w:val="clear" w:color="auto" w:fill="auto"/>
            <w:vAlign w:val="center"/>
          </w:tcPr>
          <w:p w14:paraId="4967EAF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495</w:t>
            </w:r>
          </w:p>
        </w:tc>
        <w:tc>
          <w:tcPr>
            <w:tcW w:w="923" w:type="dxa"/>
            <w:vAlign w:val="center"/>
          </w:tcPr>
          <w:p w14:paraId="32AE23C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40.68</w:t>
            </w:r>
          </w:p>
        </w:tc>
        <w:tc>
          <w:tcPr>
            <w:tcW w:w="922" w:type="dxa"/>
            <w:vAlign w:val="center"/>
          </w:tcPr>
          <w:p w14:paraId="5D9E8006">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495</w:t>
            </w:r>
          </w:p>
        </w:tc>
        <w:tc>
          <w:tcPr>
            <w:tcW w:w="923" w:type="dxa"/>
            <w:vAlign w:val="center"/>
          </w:tcPr>
          <w:p w14:paraId="24A2490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40.68</w:t>
            </w:r>
          </w:p>
        </w:tc>
        <w:tc>
          <w:tcPr>
            <w:tcW w:w="922" w:type="dxa"/>
            <w:shd w:val="clear" w:color="auto" w:fill="auto"/>
            <w:vAlign w:val="center"/>
          </w:tcPr>
          <w:p w14:paraId="00D7C1F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495</w:t>
            </w:r>
          </w:p>
        </w:tc>
        <w:tc>
          <w:tcPr>
            <w:tcW w:w="923" w:type="dxa"/>
            <w:vAlign w:val="center"/>
          </w:tcPr>
          <w:p w14:paraId="703924A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40.68</w:t>
            </w:r>
          </w:p>
        </w:tc>
      </w:tr>
      <w:tr w14:paraId="38CC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Align w:val="center"/>
          </w:tcPr>
          <w:p w14:paraId="6711959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工作人员</w:t>
            </w:r>
          </w:p>
        </w:tc>
        <w:tc>
          <w:tcPr>
            <w:tcW w:w="922" w:type="dxa"/>
            <w:vAlign w:val="center"/>
          </w:tcPr>
          <w:p w14:paraId="28A4EE7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0</w:t>
            </w:r>
          </w:p>
        </w:tc>
        <w:tc>
          <w:tcPr>
            <w:tcW w:w="923" w:type="dxa"/>
            <w:vAlign w:val="center"/>
          </w:tcPr>
          <w:p w14:paraId="5A5E1E6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5.66</w:t>
            </w:r>
          </w:p>
        </w:tc>
        <w:tc>
          <w:tcPr>
            <w:tcW w:w="922" w:type="dxa"/>
            <w:shd w:val="clear" w:color="auto" w:fill="auto"/>
            <w:vAlign w:val="center"/>
          </w:tcPr>
          <w:p w14:paraId="67C246D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0</w:t>
            </w:r>
          </w:p>
        </w:tc>
        <w:tc>
          <w:tcPr>
            <w:tcW w:w="923" w:type="dxa"/>
            <w:vAlign w:val="center"/>
          </w:tcPr>
          <w:p w14:paraId="2323862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5.66</w:t>
            </w:r>
          </w:p>
        </w:tc>
        <w:tc>
          <w:tcPr>
            <w:tcW w:w="922" w:type="dxa"/>
            <w:vAlign w:val="center"/>
          </w:tcPr>
          <w:p w14:paraId="24DDA7C3">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300</w:t>
            </w:r>
          </w:p>
        </w:tc>
        <w:tc>
          <w:tcPr>
            <w:tcW w:w="923" w:type="dxa"/>
            <w:vAlign w:val="center"/>
          </w:tcPr>
          <w:p w14:paraId="66799C6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16.98</w:t>
            </w:r>
          </w:p>
        </w:tc>
        <w:tc>
          <w:tcPr>
            <w:tcW w:w="922" w:type="dxa"/>
            <w:shd w:val="clear" w:color="auto" w:fill="auto"/>
            <w:vAlign w:val="center"/>
          </w:tcPr>
          <w:p w14:paraId="6272474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300</w:t>
            </w:r>
          </w:p>
        </w:tc>
        <w:tc>
          <w:tcPr>
            <w:tcW w:w="923" w:type="dxa"/>
            <w:vAlign w:val="center"/>
          </w:tcPr>
          <w:p w14:paraId="5526490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16.98</w:t>
            </w:r>
          </w:p>
        </w:tc>
      </w:tr>
      <w:tr w14:paraId="1261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Align w:val="center"/>
          </w:tcPr>
          <w:p w14:paraId="22D3A3E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游客</w:t>
            </w:r>
          </w:p>
        </w:tc>
        <w:tc>
          <w:tcPr>
            <w:tcW w:w="922" w:type="dxa"/>
            <w:vAlign w:val="center"/>
          </w:tcPr>
          <w:p w14:paraId="2C444CA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678</w:t>
            </w:r>
          </w:p>
        </w:tc>
        <w:tc>
          <w:tcPr>
            <w:tcW w:w="923" w:type="dxa"/>
            <w:vAlign w:val="center"/>
          </w:tcPr>
          <w:p w14:paraId="533CA9A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33.9</w:t>
            </w:r>
          </w:p>
        </w:tc>
        <w:tc>
          <w:tcPr>
            <w:tcW w:w="922" w:type="dxa"/>
            <w:vAlign w:val="center"/>
          </w:tcPr>
          <w:p w14:paraId="594584D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312</w:t>
            </w:r>
          </w:p>
        </w:tc>
        <w:tc>
          <w:tcPr>
            <w:tcW w:w="923" w:type="dxa"/>
            <w:vAlign w:val="center"/>
          </w:tcPr>
          <w:p w14:paraId="5B05509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15.6</w:t>
            </w:r>
          </w:p>
        </w:tc>
        <w:tc>
          <w:tcPr>
            <w:tcW w:w="922" w:type="dxa"/>
            <w:vAlign w:val="center"/>
          </w:tcPr>
          <w:p w14:paraId="75F29F8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1504</w:t>
            </w:r>
          </w:p>
        </w:tc>
        <w:tc>
          <w:tcPr>
            <w:tcW w:w="923" w:type="dxa"/>
            <w:vAlign w:val="center"/>
          </w:tcPr>
          <w:p w14:paraId="77DFE27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75.2</w:t>
            </w:r>
          </w:p>
        </w:tc>
        <w:tc>
          <w:tcPr>
            <w:tcW w:w="922" w:type="dxa"/>
            <w:vAlign w:val="center"/>
          </w:tcPr>
          <w:p w14:paraId="63003EB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692</w:t>
            </w:r>
          </w:p>
        </w:tc>
        <w:tc>
          <w:tcPr>
            <w:tcW w:w="923" w:type="dxa"/>
            <w:vAlign w:val="center"/>
          </w:tcPr>
          <w:p w14:paraId="1B727E3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34.6</w:t>
            </w:r>
          </w:p>
        </w:tc>
      </w:tr>
      <w:tr w14:paraId="0EA1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Align w:val="center"/>
          </w:tcPr>
          <w:p w14:paraId="5462812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合计</w:t>
            </w:r>
          </w:p>
        </w:tc>
        <w:tc>
          <w:tcPr>
            <w:tcW w:w="922" w:type="dxa"/>
            <w:vAlign w:val="center"/>
          </w:tcPr>
          <w:p w14:paraId="6202D5EB">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1273</w:t>
            </w:r>
          </w:p>
        </w:tc>
        <w:tc>
          <w:tcPr>
            <w:tcW w:w="923" w:type="dxa"/>
            <w:vAlign w:val="center"/>
          </w:tcPr>
          <w:p w14:paraId="21D57D2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80.24</w:t>
            </w:r>
          </w:p>
        </w:tc>
        <w:tc>
          <w:tcPr>
            <w:tcW w:w="922" w:type="dxa"/>
            <w:vAlign w:val="center"/>
          </w:tcPr>
          <w:p w14:paraId="162F006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907</w:t>
            </w:r>
          </w:p>
        </w:tc>
        <w:tc>
          <w:tcPr>
            <w:tcW w:w="923" w:type="dxa"/>
            <w:vAlign w:val="center"/>
          </w:tcPr>
          <w:p w14:paraId="242F7B5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61.94</w:t>
            </w:r>
          </w:p>
        </w:tc>
        <w:tc>
          <w:tcPr>
            <w:tcW w:w="922" w:type="dxa"/>
            <w:vAlign w:val="center"/>
          </w:tcPr>
          <w:p w14:paraId="4C9A644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2299</w:t>
            </w:r>
          </w:p>
        </w:tc>
        <w:tc>
          <w:tcPr>
            <w:tcW w:w="923" w:type="dxa"/>
            <w:vAlign w:val="center"/>
          </w:tcPr>
          <w:p w14:paraId="5A051AA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132.86</w:t>
            </w:r>
          </w:p>
        </w:tc>
        <w:tc>
          <w:tcPr>
            <w:tcW w:w="922" w:type="dxa"/>
            <w:vAlign w:val="center"/>
          </w:tcPr>
          <w:p w14:paraId="10DC815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1487</w:t>
            </w:r>
          </w:p>
        </w:tc>
        <w:tc>
          <w:tcPr>
            <w:tcW w:w="923" w:type="dxa"/>
            <w:vAlign w:val="center"/>
          </w:tcPr>
          <w:p w14:paraId="765AA611">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92.26</w:t>
            </w:r>
          </w:p>
        </w:tc>
      </w:tr>
    </w:tbl>
    <w:p w14:paraId="7166370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根据以上表格，景区中期液化石油气需求量为21997.5kg/a，远期液化石油气需求量为31880kg/a；景区中期旅游旺季时液化石油气需求量为80.24kg/d，景区远期旅游旺季时液化石油气需求量为132.86kg/d。</w:t>
      </w:r>
    </w:p>
    <w:p w14:paraId="79598631">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污染物产排量估算</w:t>
      </w:r>
    </w:p>
    <w:p w14:paraId="7A7DFBCF">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由于本次规划均为保护性开发建设，故本次评价仅定性分析施工期的污染物排放情况，重点分析规划实施后的污染源。</w:t>
      </w:r>
    </w:p>
    <w:p w14:paraId="4E3237B3">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废气</w:t>
      </w:r>
    </w:p>
    <w:p w14:paraId="778F9F79">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该规划以旅游业为主导产业，没有工业项目。景区规划实施后，产生的大气污染源主要为区内生活用气燃烧废气、餐饮油烟、汽车行驶过程中产生的尾气以及污水处理设施等场所产生的恶臭等。</w:t>
      </w:r>
    </w:p>
    <w:p w14:paraId="5BE5CFCE">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（一）燃料燃烧废气</w:t>
      </w:r>
    </w:p>
    <w:p w14:paraId="1A61EC9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结合规划区液化石油气消耗情况（见表5.2-4和表5.2-5），同时参照《生活源产排污核算方法和系数手册》，液化石油气大气污染物排放系数为：PM</w:t>
      </w:r>
      <w:r>
        <w:rPr>
          <w:rFonts w:hint="default" w:ascii="Times New Roman" w:hAnsi="Times New Roman" w:cs="Times New Roman"/>
          <w:color w:val="auto"/>
          <w:spacing w:val="0"/>
          <w:kern w:val="24"/>
          <w:highlight w:val="none"/>
          <w:vertAlign w:val="subscript"/>
        </w:rPr>
        <w:t>2.5</w:t>
      </w:r>
      <w:r>
        <w:rPr>
          <w:rFonts w:hint="default" w:ascii="Times New Roman" w:hAnsi="Times New Roman" w:cs="Times New Roman"/>
          <w:color w:val="auto"/>
          <w:spacing w:val="0"/>
          <w:kern w:val="24"/>
          <w:highlight w:val="none"/>
        </w:rPr>
        <w:t>-0.039kg/t，二氧化硫-0.001kg/t，氮氧化物-1.08kg/t，TVOC-3.77kg/t。则规划区燃气污染物产生情况见表5.2-6和表5.2-7。</w:t>
      </w:r>
    </w:p>
    <w:p w14:paraId="39BD9BF8">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表5.2-6  景区液化石油气使用和污染物产生情况汇总表（情景一：一般情况）</w:t>
      </w:r>
    </w:p>
    <w:tbl>
      <w:tblPr>
        <w:tblStyle w:val="58"/>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9"/>
        <w:gridCol w:w="810"/>
        <w:gridCol w:w="666"/>
        <w:gridCol w:w="956"/>
        <w:gridCol w:w="887"/>
        <w:gridCol w:w="735"/>
        <w:gridCol w:w="597"/>
        <w:gridCol w:w="709"/>
        <w:gridCol w:w="851"/>
        <w:gridCol w:w="992"/>
        <w:gridCol w:w="746"/>
      </w:tblGrid>
      <w:tr w14:paraId="3477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29" w:type="dxa"/>
            <w:vMerge w:val="restart"/>
            <w:vAlign w:val="center"/>
          </w:tcPr>
          <w:p w14:paraId="3A15476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用气主体</w:t>
            </w:r>
          </w:p>
        </w:tc>
        <w:tc>
          <w:tcPr>
            <w:tcW w:w="4054" w:type="dxa"/>
            <w:gridSpan w:val="5"/>
            <w:vAlign w:val="center"/>
          </w:tcPr>
          <w:p w14:paraId="5D60C06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20</w:t>
            </w:r>
            <w:r>
              <w:rPr>
                <w:rFonts w:hint="default" w:ascii="Times New Roman" w:hAnsi="Times New Roman" w:cs="Times New Roman" w:eastAsiaTheme="minorEastAsia"/>
                <w:bCs/>
                <w:color w:val="auto"/>
                <w:spacing w:val="0"/>
                <w:kern w:val="24"/>
                <w:sz w:val="18"/>
                <w:szCs w:val="18"/>
                <w:highlight w:val="none"/>
                <w:lang w:val="en-US" w:eastAsia="zh-CN"/>
              </w:rPr>
              <w:t>30</w:t>
            </w:r>
            <w:r>
              <w:rPr>
                <w:rFonts w:hint="default" w:ascii="Times New Roman" w:hAnsi="Times New Roman" w:cs="Times New Roman" w:eastAsiaTheme="minorEastAsia"/>
                <w:bCs/>
                <w:color w:val="auto"/>
                <w:spacing w:val="0"/>
                <w:kern w:val="24"/>
                <w:sz w:val="18"/>
                <w:szCs w:val="18"/>
                <w:highlight w:val="none"/>
              </w:rPr>
              <w:t>年</w:t>
            </w:r>
          </w:p>
        </w:tc>
        <w:tc>
          <w:tcPr>
            <w:tcW w:w="3895" w:type="dxa"/>
            <w:gridSpan w:val="5"/>
            <w:vAlign w:val="center"/>
          </w:tcPr>
          <w:p w14:paraId="63C26A5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20</w:t>
            </w:r>
            <w:r>
              <w:rPr>
                <w:rFonts w:hint="default" w:ascii="Times New Roman" w:hAnsi="Times New Roman" w:cs="Times New Roman" w:eastAsiaTheme="minorEastAsia"/>
                <w:bCs/>
                <w:color w:val="auto"/>
                <w:spacing w:val="0"/>
                <w:kern w:val="24"/>
                <w:sz w:val="18"/>
                <w:szCs w:val="18"/>
                <w:highlight w:val="none"/>
                <w:lang w:val="en-US" w:eastAsia="zh-CN"/>
              </w:rPr>
              <w:t>35</w:t>
            </w:r>
            <w:r>
              <w:rPr>
                <w:rFonts w:hint="default" w:ascii="Times New Roman" w:hAnsi="Times New Roman" w:cs="Times New Roman" w:eastAsiaTheme="minorEastAsia"/>
                <w:bCs/>
                <w:color w:val="auto"/>
                <w:spacing w:val="0"/>
                <w:kern w:val="24"/>
                <w:sz w:val="18"/>
                <w:szCs w:val="18"/>
                <w:highlight w:val="none"/>
              </w:rPr>
              <w:t>年</w:t>
            </w:r>
          </w:p>
        </w:tc>
      </w:tr>
      <w:tr w14:paraId="1C11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29" w:type="dxa"/>
            <w:vMerge w:val="continue"/>
            <w:vAlign w:val="center"/>
          </w:tcPr>
          <w:p w14:paraId="60B99DF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p>
        </w:tc>
        <w:tc>
          <w:tcPr>
            <w:tcW w:w="810" w:type="dxa"/>
            <w:vMerge w:val="restart"/>
            <w:vAlign w:val="center"/>
          </w:tcPr>
          <w:p w14:paraId="4BEF00A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年用气量（kg/a）</w:t>
            </w:r>
          </w:p>
        </w:tc>
        <w:tc>
          <w:tcPr>
            <w:tcW w:w="3244" w:type="dxa"/>
            <w:gridSpan w:val="4"/>
            <w:vAlign w:val="center"/>
          </w:tcPr>
          <w:p w14:paraId="2AF9B9C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污染物排放情况（kg/a）</w:t>
            </w:r>
          </w:p>
        </w:tc>
        <w:tc>
          <w:tcPr>
            <w:tcW w:w="597" w:type="dxa"/>
            <w:vMerge w:val="restart"/>
            <w:vAlign w:val="center"/>
          </w:tcPr>
          <w:p w14:paraId="4959B5D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年用气量（kg/a）</w:t>
            </w:r>
          </w:p>
        </w:tc>
        <w:tc>
          <w:tcPr>
            <w:tcW w:w="3298" w:type="dxa"/>
            <w:gridSpan w:val="4"/>
            <w:vAlign w:val="center"/>
          </w:tcPr>
          <w:p w14:paraId="11A257D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污染物排放情况（kg/a）</w:t>
            </w:r>
          </w:p>
        </w:tc>
      </w:tr>
      <w:tr w14:paraId="1B1F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29" w:type="dxa"/>
            <w:vMerge w:val="continue"/>
            <w:vAlign w:val="center"/>
          </w:tcPr>
          <w:p w14:paraId="6F1FA0E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p>
        </w:tc>
        <w:tc>
          <w:tcPr>
            <w:tcW w:w="810" w:type="dxa"/>
            <w:vMerge w:val="continue"/>
            <w:vAlign w:val="center"/>
          </w:tcPr>
          <w:p w14:paraId="2B6D320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p>
        </w:tc>
        <w:tc>
          <w:tcPr>
            <w:tcW w:w="666" w:type="dxa"/>
            <w:vAlign w:val="center"/>
          </w:tcPr>
          <w:p w14:paraId="1725550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PM</w:t>
            </w:r>
            <w:r>
              <w:rPr>
                <w:rFonts w:hint="default" w:ascii="Times New Roman" w:hAnsi="Times New Roman" w:cs="Times New Roman" w:eastAsiaTheme="minorEastAsia"/>
                <w:bCs/>
                <w:color w:val="auto"/>
                <w:spacing w:val="0"/>
                <w:kern w:val="24"/>
                <w:sz w:val="18"/>
                <w:szCs w:val="18"/>
                <w:highlight w:val="none"/>
                <w:vertAlign w:val="subscript"/>
              </w:rPr>
              <w:t>2.5</w:t>
            </w:r>
          </w:p>
        </w:tc>
        <w:tc>
          <w:tcPr>
            <w:tcW w:w="956" w:type="dxa"/>
            <w:vAlign w:val="center"/>
          </w:tcPr>
          <w:p w14:paraId="0E3B5AD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二氧化硫</w:t>
            </w:r>
          </w:p>
        </w:tc>
        <w:tc>
          <w:tcPr>
            <w:tcW w:w="887" w:type="dxa"/>
            <w:vAlign w:val="center"/>
          </w:tcPr>
          <w:p w14:paraId="1617A7A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氮氧化物</w:t>
            </w:r>
          </w:p>
        </w:tc>
        <w:tc>
          <w:tcPr>
            <w:tcW w:w="735" w:type="dxa"/>
            <w:vAlign w:val="center"/>
          </w:tcPr>
          <w:p w14:paraId="2488174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TVOC</w:t>
            </w:r>
          </w:p>
        </w:tc>
        <w:tc>
          <w:tcPr>
            <w:tcW w:w="597" w:type="dxa"/>
            <w:vMerge w:val="continue"/>
            <w:vAlign w:val="center"/>
          </w:tcPr>
          <w:p w14:paraId="13F0BAB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p>
        </w:tc>
        <w:tc>
          <w:tcPr>
            <w:tcW w:w="709" w:type="dxa"/>
            <w:vAlign w:val="center"/>
          </w:tcPr>
          <w:p w14:paraId="15377E0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PM</w:t>
            </w:r>
            <w:r>
              <w:rPr>
                <w:rFonts w:hint="default" w:ascii="Times New Roman" w:hAnsi="Times New Roman" w:cs="Times New Roman" w:eastAsiaTheme="minorEastAsia"/>
                <w:bCs/>
                <w:color w:val="auto"/>
                <w:spacing w:val="0"/>
                <w:kern w:val="24"/>
                <w:sz w:val="18"/>
                <w:szCs w:val="18"/>
                <w:highlight w:val="none"/>
                <w:vertAlign w:val="subscript"/>
              </w:rPr>
              <w:t>2.5</w:t>
            </w:r>
          </w:p>
        </w:tc>
        <w:tc>
          <w:tcPr>
            <w:tcW w:w="851" w:type="dxa"/>
            <w:vAlign w:val="center"/>
          </w:tcPr>
          <w:p w14:paraId="0CEACF4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二氧化硫</w:t>
            </w:r>
          </w:p>
        </w:tc>
        <w:tc>
          <w:tcPr>
            <w:tcW w:w="992" w:type="dxa"/>
            <w:vAlign w:val="center"/>
          </w:tcPr>
          <w:p w14:paraId="271F810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氮氧化物</w:t>
            </w:r>
          </w:p>
        </w:tc>
        <w:tc>
          <w:tcPr>
            <w:tcW w:w="746" w:type="dxa"/>
            <w:vAlign w:val="center"/>
          </w:tcPr>
          <w:p w14:paraId="7EA500D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TVOC</w:t>
            </w:r>
          </w:p>
        </w:tc>
      </w:tr>
      <w:tr w14:paraId="65A1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29" w:type="dxa"/>
            <w:vAlign w:val="center"/>
          </w:tcPr>
          <w:p w14:paraId="154E82C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常住居民</w:t>
            </w:r>
          </w:p>
        </w:tc>
        <w:tc>
          <w:tcPr>
            <w:tcW w:w="810" w:type="dxa"/>
            <w:vAlign w:val="center"/>
          </w:tcPr>
          <w:p w14:paraId="7FFD0DDF">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14850</w:t>
            </w:r>
          </w:p>
        </w:tc>
        <w:tc>
          <w:tcPr>
            <w:tcW w:w="666" w:type="dxa"/>
            <w:vAlign w:val="bottom"/>
          </w:tcPr>
          <w:p w14:paraId="2A0A1993">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0.5792 </w:t>
            </w:r>
          </w:p>
        </w:tc>
        <w:tc>
          <w:tcPr>
            <w:tcW w:w="956" w:type="dxa"/>
            <w:vAlign w:val="bottom"/>
          </w:tcPr>
          <w:p w14:paraId="6083F617">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0.0149 </w:t>
            </w:r>
          </w:p>
        </w:tc>
        <w:tc>
          <w:tcPr>
            <w:tcW w:w="887" w:type="dxa"/>
            <w:vAlign w:val="bottom"/>
          </w:tcPr>
          <w:p w14:paraId="4184BA74">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16.0380 </w:t>
            </w:r>
          </w:p>
        </w:tc>
        <w:tc>
          <w:tcPr>
            <w:tcW w:w="735" w:type="dxa"/>
            <w:vAlign w:val="bottom"/>
          </w:tcPr>
          <w:p w14:paraId="1BF1D5C6">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55.9845 </w:t>
            </w:r>
          </w:p>
        </w:tc>
        <w:tc>
          <w:tcPr>
            <w:tcW w:w="597" w:type="dxa"/>
            <w:vAlign w:val="center"/>
          </w:tcPr>
          <w:p w14:paraId="27A2DA68">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14850</w:t>
            </w:r>
          </w:p>
        </w:tc>
        <w:tc>
          <w:tcPr>
            <w:tcW w:w="709" w:type="dxa"/>
            <w:vAlign w:val="bottom"/>
          </w:tcPr>
          <w:p w14:paraId="2DA19A94">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0.5792 </w:t>
            </w:r>
          </w:p>
        </w:tc>
        <w:tc>
          <w:tcPr>
            <w:tcW w:w="851" w:type="dxa"/>
            <w:vAlign w:val="bottom"/>
          </w:tcPr>
          <w:p w14:paraId="2BB3EE97">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0.0149 </w:t>
            </w:r>
          </w:p>
        </w:tc>
        <w:tc>
          <w:tcPr>
            <w:tcW w:w="992" w:type="dxa"/>
            <w:vAlign w:val="bottom"/>
          </w:tcPr>
          <w:p w14:paraId="30D4F3FE">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16.0380 </w:t>
            </w:r>
          </w:p>
        </w:tc>
        <w:tc>
          <w:tcPr>
            <w:tcW w:w="746" w:type="dxa"/>
            <w:vAlign w:val="bottom"/>
          </w:tcPr>
          <w:p w14:paraId="74A128A5">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55.9845 </w:t>
            </w:r>
          </w:p>
        </w:tc>
      </w:tr>
      <w:tr w14:paraId="7BD2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29" w:type="dxa"/>
            <w:vAlign w:val="center"/>
          </w:tcPr>
          <w:p w14:paraId="7234C81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工作人员</w:t>
            </w:r>
          </w:p>
        </w:tc>
        <w:tc>
          <w:tcPr>
            <w:tcW w:w="810" w:type="dxa"/>
            <w:vAlign w:val="center"/>
          </w:tcPr>
          <w:p w14:paraId="6DEC521F">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1500</w:t>
            </w:r>
          </w:p>
        </w:tc>
        <w:tc>
          <w:tcPr>
            <w:tcW w:w="666" w:type="dxa"/>
            <w:vAlign w:val="bottom"/>
          </w:tcPr>
          <w:p w14:paraId="1E176B92">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0.0585 </w:t>
            </w:r>
          </w:p>
        </w:tc>
        <w:tc>
          <w:tcPr>
            <w:tcW w:w="956" w:type="dxa"/>
            <w:vAlign w:val="bottom"/>
          </w:tcPr>
          <w:p w14:paraId="038680B5">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0.0015 </w:t>
            </w:r>
          </w:p>
        </w:tc>
        <w:tc>
          <w:tcPr>
            <w:tcW w:w="887" w:type="dxa"/>
            <w:vAlign w:val="bottom"/>
          </w:tcPr>
          <w:p w14:paraId="5A0449DD">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1.6200 </w:t>
            </w:r>
          </w:p>
        </w:tc>
        <w:tc>
          <w:tcPr>
            <w:tcW w:w="735" w:type="dxa"/>
            <w:vAlign w:val="bottom"/>
          </w:tcPr>
          <w:p w14:paraId="71928045">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5.6550 </w:t>
            </w:r>
          </w:p>
        </w:tc>
        <w:tc>
          <w:tcPr>
            <w:tcW w:w="597" w:type="dxa"/>
            <w:vAlign w:val="center"/>
          </w:tcPr>
          <w:p w14:paraId="1C4FC0DE">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4500</w:t>
            </w:r>
          </w:p>
        </w:tc>
        <w:tc>
          <w:tcPr>
            <w:tcW w:w="709" w:type="dxa"/>
            <w:vAlign w:val="bottom"/>
          </w:tcPr>
          <w:p w14:paraId="3AA6CA68">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0.1755 </w:t>
            </w:r>
          </w:p>
        </w:tc>
        <w:tc>
          <w:tcPr>
            <w:tcW w:w="851" w:type="dxa"/>
            <w:vAlign w:val="bottom"/>
          </w:tcPr>
          <w:p w14:paraId="2BAFD5BE">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0.0045 </w:t>
            </w:r>
          </w:p>
        </w:tc>
        <w:tc>
          <w:tcPr>
            <w:tcW w:w="992" w:type="dxa"/>
            <w:vAlign w:val="bottom"/>
          </w:tcPr>
          <w:p w14:paraId="13A7AB53">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4.8600 </w:t>
            </w:r>
          </w:p>
        </w:tc>
        <w:tc>
          <w:tcPr>
            <w:tcW w:w="746" w:type="dxa"/>
            <w:vAlign w:val="bottom"/>
          </w:tcPr>
          <w:p w14:paraId="226445B4">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16.9650 </w:t>
            </w:r>
          </w:p>
        </w:tc>
      </w:tr>
      <w:tr w14:paraId="6187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29" w:type="dxa"/>
            <w:vAlign w:val="center"/>
          </w:tcPr>
          <w:p w14:paraId="6023AFC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游客</w:t>
            </w:r>
          </w:p>
        </w:tc>
        <w:tc>
          <w:tcPr>
            <w:tcW w:w="810" w:type="dxa"/>
            <w:vAlign w:val="center"/>
          </w:tcPr>
          <w:p w14:paraId="541C2935">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5647.5</w:t>
            </w:r>
          </w:p>
        </w:tc>
        <w:tc>
          <w:tcPr>
            <w:tcW w:w="666" w:type="dxa"/>
            <w:vAlign w:val="bottom"/>
          </w:tcPr>
          <w:p w14:paraId="5765B902">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0.2203 </w:t>
            </w:r>
          </w:p>
        </w:tc>
        <w:tc>
          <w:tcPr>
            <w:tcW w:w="956" w:type="dxa"/>
            <w:vAlign w:val="bottom"/>
          </w:tcPr>
          <w:p w14:paraId="74776AFF">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0.0056 </w:t>
            </w:r>
          </w:p>
        </w:tc>
        <w:tc>
          <w:tcPr>
            <w:tcW w:w="887" w:type="dxa"/>
            <w:vAlign w:val="bottom"/>
          </w:tcPr>
          <w:p w14:paraId="2450C0B5">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6.0993 </w:t>
            </w:r>
          </w:p>
        </w:tc>
        <w:tc>
          <w:tcPr>
            <w:tcW w:w="735" w:type="dxa"/>
            <w:vAlign w:val="bottom"/>
          </w:tcPr>
          <w:p w14:paraId="48FDB433">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21.2911 </w:t>
            </w:r>
          </w:p>
        </w:tc>
        <w:tc>
          <w:tcPr>
            <w:tcW w:w="597" w:type="dxa"/>
            <w:vAlign w:val="center"/>
          </w:tcPr>
          <w:p w14:paraId="47F6D734">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12530</w:t>
            </w:r>
          </w:p>
        </w:tc>
        <w:tc>
          <w:tcPr>
            <w:tcW w:w="709" w:type="dxa"/>
            <w:vAlign w:val="bottom"/>
          </w:tcPr>
          <w:p w14:paraId="63AAB517">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0.4887 </w:t>
            </w:r>
          </w:p>
        </w:tc>
        <w:tc>
          <w:tcPr>
            <w:tcW w:w="851" w:type="dxa"/>
            <w:vAlign w:val="bottom"/>
          </w:tcPr>
          <w:p w14:paraId="26F20CF9">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0.0125 </w:t>
            </w:r>
          </w:p>
        </w:tc>
        <w:tc>
          <w:tcPr>
            <w:tcW w:w="992" w:type="dxa"/>
            <w:vAlign w:val="bottom"/>
          </w:tcPr>
          <w:p w14:paraId="2EE8693A">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13.5324 </w:t>
            </w:r>
          </w:p>
        </w:tc>
        <w:tc>
          <w:tcPr>
            <w:tcW w:w="746" w:type="dxa"/>
            <w:vAlign w:val="bottom"/>
          </w:tcPr>
          <w:p w14:paraId="25199576">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47.2381 </w:t>
            </w:r>
          </w:p>
        </w:tc>
      </w:tr>
      <w:tr w14:paraId="233B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29" w:type="dxa"/>
            <w:vAlign w:val="center"/>
          </w:tcPr>
          <w:p w14:paraId="2A9DAC6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合计</w:t>
            </w:r>
          </w:p>
        </w:tc>
        <w:tc>
          <w:tcPr>
            <w:tcW w:w="810" w:type="dxa"/>
            <w:vAlign w:val="center"/>
          </w:tcPr>
          <w:p w14:paraId="7DEC1B92">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21997.5</w:t>
            </w:r>
          </w:p>
        </w:tc>
        <w:tc>
          <w:tcPr>
            <w:tcW w:w="666" w:type="dxa"/>
            <w:vAlign w:val="bottom"/>
          </w:tcPr>
          <w:p w14:paraId="65EAB1AA">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0.8579 </w:t>
            </w:r>
          </w:p>
        </w:tc>
        <w:tc>
          <w:tcPr>
            <w:tcW w:w="956" w:type="dxa"/>
            <w:vAlign w:val="bottom"/>
          </w:tcPr>
          <w:p w14:paraId="77AEA9E3">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0.0220 </w:t>
            </w:r>
          </w:p>
        </w:tc>
        <w:tc>
          <w:tcPr>
            <w:tcW w:w="887" w:type="dxa"/>
            <w:vAlign w:val="bottom"/>
          </w:tcPr>
          <w:p w14:paraId="02B84F39">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23.7573 </w:t>
            </w:r>
          </w:p>
        </w:tc>
        <w:tc>
          <w:tcPr>
            <w:tcW w:w="735" w:type="dxa"/>
            <w:vAlign w:val="bottom"/>
          </w:tcPr>
          <w:p w14:paraId="73C3E498">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82.9306 </w:t>
            </w:r>
          </w:p>
        </w:tc>
        <w:tc>
          <w:tcPr>
            <w:tcW w:w="597" w:type="dxa"/>
            <w:vAlign w:val="center"/>
          </w:tcPr>
          <w:p w14:paraId="3D257F7A">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31880</w:t>
            </w:r>
          </w:p>
        </w:tc>
        <w:tc>
          <w:tcPr>
            <w:tcW w:w="709" w:type="dxa"/>
            <w:vAlign w:val="bottom"/>
          </w:tcPr>
          <w:p w14:paraId="62983739">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1.2433 </w:t>
            </w:r>
          </w:p>
        </w:tc>
        <w:tc>
          <w:tcPr>
            <w:tcW w:w="851" w:type="dxa"/>
            <w:vAlign w:val="bottom"/>
          </w:tcPr>
          <w:p w14:paraId="048B5FA0">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0.0319 </w:t>
            </w:r>
          </w:p>
        </w:tc>
        <w:tc>
          <w:tcPr>
            <w:tcW w:w="992" w:type="dxa"/>
            <w:vAlign w:val="bottom"/>
          </w:tcPr>
          <w:p w14:paraId="71E02F66">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34.4304 </w:t>
            </w:r>
          </w:p>
        </w:tc>
        <w:tc>
          <w:tcPr>
            <w:tcW w:w="746" w:type="dxa"/>
            <w:vAlign w:val="bottom"/>
          </w:tcPr>
          <w:p w14:paraId="408757B0">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120.1876 </w:t>
            </w:r>
          </w:p>
        </w:tc>
      </w:tr>
    </w:tbl>
    <w:p w14:paraId="47B53B1B">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表5.2-7  景区液化石油气使用和污染物产生情况汇总表（情景二：特殊情况）</w:t>
      </w:r>
    </w:p>
    <w:tbl>
      <w:tblPr>
        <w:tblStyle w:val="58"/>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9"/>
        <w:gridCol w:w="908"/>
        <w:gridCol w:w="711"/>
        <w:gridCol w:w="855"/>
        <w:gridCol w:w="850"/>
        <w:gridCol w:w="769"/>
        <w:gridCol w:w="798"/>
        <w:gridCol w:w="708"/>
        <w:gridCol w:w="850"/>
        <w:gridCol w:w="850"/>
        <w:gridCol w:w="1029"/>
      </w:tblGrid>
      <w:tr w14:paraId="3725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2" w:type="pct"/>
            <w:vMerge w:val="restart"/>
            <w:vAlign w:val="center"/>
          </w:tcPr>
          <w:p w14:paraId="0EA9504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用气主体</w:t>
            </w:r>
          </w:p>
        </w:tc>
        <w:tc>
          <w:tcPr>
            <w:tcW w:w="2279" w:type="pct"/>
            <w:gridSpan w:val="5"/>
            <w:vAlign w:val="center"/>
          </w:tcPr>
          <w:p w14:paraId="107A7D7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20</w:t>
            </w:r>
            <w:r>
              <w:rPr>
                <w:rFonts w:hint="default" w:ascii="Times New Roman" w:hAnsi="Times New Roman" w:cs="Times New Roman" w:eastAsiaTheme="minorEastAsia"/>
                <w:bCs/>
                <w:color w:val="auto"/>
                <w:spacing w:val="0"/>
                <w:kern w:val="24"/>
                <w:sz w:val="18"/>
                <w:szCs w:val="18"/>
                <w:highlight w:val="none"/>
                <w:lang w:val="en-US" w:eastAsia="zh-CN"/>
              </w:rPr>
              <w:t>30</w:t>
            </w:r>
            <w:r>
              <w:rPr>
                <w:rFonts w:hint="default" w:ascii="Times New Roman" w:hAnsi="Times New Roman" w:cs="Times New Roman" w:eastAsiaTheme="minorEastAsia"/>
                <w:bCs/>
                <w:color w:val="auto"/>
                <w:spacing w:val="0"/>
                <w:kern w:val="24"/>
                <w:sz w:val="18"/>
                <w:szCs w:val="18"/>
                <w:highlight w:val="none"/>
              </w:rPr>
              <w:t>年</w:t>
            </w:r>
          </w:p>
        </w:tc>
        <w:tc>
          <w:tcPr>
            <w:tcW w:w="2357" w:type="pct"/>
            <w:gridSpan w:val="5"/>
            <w:vAlign w:val="center"/>
          </w:tcPr>
          <w:p w14:paraId="462C938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20</w:t>
            </w:r>
            <w:r>
              <w:rPr>
                <w:rFonts w:hint="default" w:ascii="Times New Roman" w:hAnsi="Times New Roman" w:cs="Times New Roman" w:eastAsiaTheme="minorEastAsia"/>
                <w:bCs/>
                <w:color w:val="auto"/>
                <w:spacing w:val="0"/>
                <w:kern w:val="24"/>
                <w:sz w:val="18"/>
                <w:szCs w:val="18"/>
                <w:highlight w:val="none"/>
                <w:lang w:val="en-US" w:eastAsia="zh-CN"/>
              </w:rPr>
              <w:t>35</w:t>
            </w:r>
            <w:r>
              <w:rPr>
                <w:rFonts w:hint="default" w:ascii="Times New Roman" w:hAnsi="Times New Roman" w:cs="Times New Roman" w:eastAsiaTheme="minorEastAsia"/>
                <w:bCs/>
                <w:color w:val="auto"/>
                <w:spacing w:val="0"/>
                <w:kern w:val="24"/>
                <w:sz w:val="18"/>
                <w:szCs w:val="18"/>
                <w:highlight w:val="none"/>
              </w:rPr>
              <w:t>年</w:t>
            </w:r>
          </w:p>
        </w:tc>
      </w:tr>
      <w:tr w14:paraId="56E4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2" w:type="pct"/>
            <w:vMerge w:val="continue"/>
            <w:vAlign w:val="center"/>
          </w:tcPr>
          <w:p w14:paraId="30F068D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p>
        </w:tc>
        <w:tc>
          <w:tcPr>
            <w:tcW w:w="506" w:type="pct"/>
            <w:vMerge w:val="restart"/>
            <w:vAlign w:val="center"/>
          </w:tcPr>
          <w:p w14:paraId="11F2121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旺季用气量（kg/d）</w:t>
            </w:r>
          </w:p>
        </w:tc>
        <w:tc>
          <w:tcPr>
            <w:tcW w:w="1772" w:type="pct"/>
            <w:gridSpan w:val="4"/>
            <w:vAlign w:val="center"/>
          </w:tcPr>
          <w:p w14:paraId="0EADA38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污染物排放情况（g/d）</w:t>
            </w:r>
          </w:p>
        </w:tc>
        <w:tc>
          <w:tcPr>
            <w:tcW w:w="444" w:type="pct"/>
            <w:vMerge w:val="restart"/>
            <w:vAlign w:val="center"/>
          </w:tcPr>
          <w:p w14:paraId="36662B7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旺季用气量（kg/d）</w:t>
            </w:r>
          </w:p>
        </w:tc>
        <w:tc>
          <w:tcPr>
            <w:tcW w:w="1912" w:type="pct"/>
            <w:gridSpan w:val="4"/>
            <w:vAlign w:val="center"/>
          </w:tcPr>
          <w:p w14:paraId="089F008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污染物排放情况（g/d）</w:t>
            </w:r>
          </w:p>
        </w:tc>
      </w:tr>
      <w:tr w14:paraId="1C07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2" w:type="pct"/>
            <w:vMerge w:val="continue"/>
            <w:vAlign w:val="center"/>
          </w:tcPr>
          <w:p w14:paraId="265E6A9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p>
        </w:tc>
        <w:tc>
          <w:tcPr>
            <w:tcW w:w="506" w:type="pct"/>
            <w:vMerge w:val="continue"/>
            <w:vAlign w:val="center"/>
          </w:tcPr>
          <w:p w14:paraId="0F2B14F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p>
        </w:tc>
        <w:tc>
          <w:tcPr>
            <w:tcW w:w="396" w:type="pct"/>
            <w:vAlign w:val="center"/>
          </w:tcPr>
          <w:p w14:paraId="02CF3A5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PM</w:t>
            </w:r>
            <w:r>
              <w:rPr>
                <w:rFonts w:hint="default" w:ascii="Times New Roman" w:hAnsi="Times New Roman" w:cs="Times New Roman" w:eastAsiaTheme="minorEastAsia"/>
                <w:bCs/>
                <w:color w:val="auto"/>
                <w:spacing w:val="0"/>
                <w:kern w:val="24"/>
                <w:sz w:val="18"/>
                <w:szCs w:val="18"/>
                <w:highlight w:val="none"/>
                <w:vertAlign w:val="subscript"/>
              </w:rPr>
              <w:t>2.5</w:t>
            </w:r>
          </w:p>
        </w:tc>
        <w:tc>
          <w:tcPr>
            <w:tcW w:w="476" w:type="pct"/>
            <w:vAlign w:val="center"/>
          </w:tcPr>
          <w:p w14:paraId="62FDFEC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二氧化硫</w:t>
            </w:r>
          </w:p>
        </w:tc>
        <w:tc>
          <w:tcPr>
            <w:tcW w:w="473" w:type="pct"/>
            <w:vAlign w:val="center"/>
          </w:tcPr>
          <w:p w14:paraId="452537E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氮氧化物</w:t>
            </w:r>
          </w:p>
        </w:tc>
        <w:tc>
          <w:tcPr>
            <w:tcW w:w="425" w:type="pct"/>
            <w:vAlign w:val="center"/>
          </w:tcPr>
          <w:p w14:paraId="3FDF38B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TVOC</w:t>
            </w:r>
          </w:p>
        </w:tc>
        <w:tc>
          <w:tcPr>
            <w:tcW w:w="444" w:type="pct"/>
            <w:vMerge w:val="continue"/>
            <w:vAlign w:val="center"/>
          </w:tcPr>
          <w:p w14:paraId="718FB87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p>
        </w:tc>
        <w:tc>
          <w:tcPr>
            <w:tcW w:w="394" w:type="pct"/>
            <w:vAlign w:val="center"/>
          </w:tcPr>
          <w:p w14:paraId="31A4B45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PM</w:t>
            </w:r>
            <w:r>
              <w:rPr>
                <w:rFonts w:hint="default" w:ascii="Times New Roman" w:hAnsi="Times New Roman" w:cs="Times New Roman" w:eastAsiaTheme="minorEastAsia"/>
                <w:bCs/>
                <w:color w:val="auto"/>
                <w:spacing w:val="0"/>
                <w:kern w:val="24"/>
                <w:sz w:val="18"/>
                <w:szCs w:val="18"/>
                <w:highlight w:val="none"/>
                <w:vertAlign w:val="subscript"/>
              </w:rPr>
              <w:t>2.5</w:t>
            </w:r>
          </w:p>
        </w:tc>
        <w:tc>
          <w:tcPr>
            <w:tcW w:w="473" w:type="pct"/>
            <w:vAlign w:val="center"/>
          </w:tcPr>
          <w:p w14:paraId="16A6C12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二氧化硫</w:t>
            </w:r>
          </w:p>
        </w:tc>
        <w:tc>
          <w:tcPr>
            <w:tcW w:w="473" w:type="pct"/>
            <w:vAlign w:val="center"/>
          </w:tcPr>
          <w:p w14:paraId="164D99D7">
            <w:pPr>
              <w:pStyle w:val="545"/>
              <w:adjustRightInd/>
              <w:spacing w:line="240" w:lineRule="auto"/>
              <w:ind w:firstLine="0" w:firstLineChars="0"/>
              <w:jc w:val="center"/>
              <w:rPr>
                <w:rFonts w:hint="default" w:ascii="Times New Roman" w:hAnsi="Times New Roman" w:cs="Times New Roman" w:eastAsiaTheme="minorEastAsia"/>
                <w:bCs/>
                <w:color w:val="auto"/>
                <w:spacing w:val="-10"/>
                <w:kern w:val="24"/>
                <w:sz w:val="18"/>
                <w:szCs w:val="18"/>
                <w:highlight w:val="none"/>
              </w:rPr>
            </w:pPr>
            <w:r>
              <w:rPr>
                <w:rFonts w:hint="default" w:ascii="Times New Roman" w:hAnsi="Times New Roman" w:cs="Times New Roman" w:eastAsiaTheme="minorEastAsia"/>
                <w:bCs/>
                <w:color w:val="auto"/>
                <w:spacing w:val="-10"/>
                <w:kern w:val="24"/>
                <w:sz w:val="18"/>
                <w:szCs w:val="18"/>
                <w:highlight w:val="none"/>
              </w:rPr>
              <w:t>氮氧化物</w:t>
            </w:r>
          </w:p>
        </w:tc>
        <w:tc>
          <w:tcPr>
            <w:tcW w:w="569" w:type="pct"/>
            <w:vAlign w:val="center"/>
          </w:tcPr>
          <w:p w14:paraId="3A13935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TVOC</w:t>
            </w:r>
          </w:p>
        </w:tc>
      </w:tr>
      <w:tr w14:paraId="4DBD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2" w:type="pct"/>
            <w:vAlign w:val="center"/>
          </w:tcPr>
          <w:p w14:paraId="5E00EB8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常住居民</w:t>
            </w:r>
          </w:p>
        </w:tc>
        <w:tc>
          <w:tcPr>
            <w:tcW w:w="506" w:type="pct"/>
            <w:vAlign w:val="center"/>
          </w:tcPr>
          <w:p w14:paraId="6458793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lang w:val="en-US" w:eastAsia="zh-CN"/>
              </w:rPr>
              <w:t>40.68</w:t>
            </w:r>
          </w:p>
        </w:tc>
        <w:tc>
          <w:tcPr>
            <w:tcW w:w="711" w:type="dxa"/>
            <w:vAlign w:val="center"/>
          </w:tcPr>
          <w:p w14:paraId="312E8D98">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1.5865 </w:t>
            </w:r>
          </w:p>
        </w:tc>
        <w:tc>
          <w:tcPr>
            <w:tcW w:w="855" w:type="dxa"/>
            <w:vAlign w:val="center"/>
          </w:tcPr>
          <w:p w14:paraId="61FAC18E">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0.0407 </w:t>
            </w:r>
          </w:p>
        </w:tc>
        <w:tc>
          <w:tcPr>
            <w:tcW w:w="850" w:type="dxa"/>
            <w:vAlign w:val="center"/>
          </w:tcPr>
          <w:p w14:paraId="6BE04D69">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43.9344 </w:t>
            </w:r>
          </w:p>
        </w:tc>
        <w:tc>
          <w:tcPr>
            <w:tcW w:w="769" w:type="dxa"/>
            <w:vAlign w:val="center"/>
          </w:tcPr>
          <w:p w14:paraId="17069368">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153.3636 </w:t>
            </w:r>
          </w:p>
        </w:tc>
        <w:tc>
          <w:tcPr>
            <w:tcW w:w="444" w:type="pct"/>
            <w:shd w:val="clear" w:color="auto" w:fill="auto"/>
            <w:vAlign w:val="center"/>
          </w:tcPr>
          <w:p w14:paraId="7251C3B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lang w:val="en-US" w:eastAsia="zh-CN"/>
              </w:rPr>
            </w:pPr>
            <w:r>
              <w:rPr>
                <w:rFonts w:hint="default" w:ascii="Times New Roman" w:hAnsi="Times New Roman" w:cs="Times New Roman" w:eastAsiaTheme="minorEastAsia"/>
                <w:bCs/>
                <w:color w:val="auto"/>
                <w:spacing w:val="0"/>
                <w:kern w:val="24"/>
                <w:sz w:val="18"/>
                <w:szCs w:val="18"/>
                <w:highlight w:val="none"/>
                <w:lang w:val="en-US" w:eastAsia="zh-CN"/>
              </w:rPr>
              <w:t>40.68</w:t>
            </w:r>
          </w:p>
        </w:tc>
        <w:tc>
          <w:tcPr>
            <w:tcW w:w="708" w:type="dxa"/>
            <w:vAlign w:val="center"/>
          </w:tcPr>
          <w:p w14:paraId="45CF0406">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1.5865 </w:t>
            </w:r>
          </w:p>
        </w:tc>
        <w:tc>
          <w:tcPr>
            <w:tcW w:w="850" w:type="dxa"/>
            <w:vAlign w:val="center"/>
          </w:tcPr>
          <w:p w14:paraId="31DA366B">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0.0407 </w:t>
            </w:r>
          </w:p>
        </w:tc>
        <w:tc>
          <w:tcPr>
            <w:tcW w:w="850" w:type="dxa"/>
            <w:vAlign w:val="center"/>
          </w:tcPr>
          <w:p w14:paraId="1B66715A">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43.9344 </w:t>
            </w:r>
          </w:p>
        </w:tc>
        <w:tc>
          <w:tcPr>
            <w:tcW w:w="1029" w:type="dxa"/>
            <w:vAlign w:val="center"/>
          </w:tcPr>
          <w:p w14:paraId="4417524D">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153.3636 </w:t>
            </w:r>
          </w:p>
        </w:tc>
      </w:tr>
      <w:tr w14:paraId="6063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2" w:type="pct"/>
            <w:vAlign w:val="center"/>
          </w:tcPr>
          <w:p w14:paraId="6DA1B59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工作人员</w:t>
            </w:r>
          </w:p>
        </w:tc>
        <w:tc>
          <w:tcPr>
            <w:tcW w:w="506" w:type="pct"/>
            <w:vAlign w:val="center"/>
          </w:tcPr>
          <w:p w14:paraId="6FC026A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lang w:val="en-US" w:eastAsia="zh-CN"/>
              </w:rPr>
              <w:t>5.66</w:t>
            </w:r>
          </w:p>
        </w:tc>
        <w:tc>
          <w:tcPr>
            <w:tcW w:w="711" w:type="dxa"/>
            <w:vAlign w:val="center"/>
          </w:tcPr>
          <w:p w14:paraId="399731D4">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0.2207 </w:t>
            </w:r>
          </w:p>
        </w:tc>
        <w:tc>
          <w:tcPr>
            <w:tcW w:w="855" w:type="dxa"/>
            <w:vAlign w:val="center"/>
          </w:tcPr>
          <w:p w14:paraId="785F5A2B">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0.0057 </w:t>
            </w:r>
          </w:p>
        </w:tc>
        <w:tc>
          <w:tcPr>
            <w:tcW w:w="850" w:type="dxa"/>
            <w:vAlign w:val="center"/>
          </w:tcPr>
          <w:p w14:paraId="7D1320BF">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6.1128 </w:t>
            </w:r>
          </w:p>
        </w:tc>
        <w:tc>
          <w:tcPr>
            <w:tcW w:w="769" w:type="dxa"/>
            <w:vAlign w:val="center"/>
          </w:tcPr>
          <w:p w14:paraId="61DC4CC6">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21.3382 </w:t>
            </w:r>
          </w:p>
        </w:tc>
        <w:tc>
          <w:tcPr>
            <w:tcW w:w="444" w:type="pct"/>
            <w:shd w:val="clear" w:color="auto" w:fill="auto"/>
            <w:vAlign w:val="center"/>
          </w:tcPr>
          <w:p w14:paraId="5B7A3ED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lang w:val="en-US" w:eastAsia="zh-CN"/>
              </w:rPr>
            </w:pPr>
            <w:r>
              <w:rPr>
                <w:rFonts w:hint="default" w:ascii="Times New Roman" w:hAnsi="Times New Roman" w:cs="Times New Roman" w:eastAsiaTheme="minorEastAsia"/>
                <w:bCs/>
                <w:color w:val="auto"/>
                <w:spacing w:val="0"/>
                <w:kern w:val="24"/>
                <w:sz w:val="18"/>
                <w:szCs w:val="18"/>
                <w:highlight w:val="none"/>
                <w:lang w:val="en-US" w:eastAsia="zh-CN"/>
              </w:rPr>
              <w:t>16.98</w:t>
            </w:r>
          </w:p>
        </w:tc>
        <w:tc>
          <w:tcPr>
            <w:tcW w:w="708" w:type="dxa"/>
            <w:vAlign w:val="center"/>
          </w:tcPr>
          <w:p w14:paraId="7BC9A20E">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0.6622 </w:t>
            </w:r>
          </w:p>
        </w:tc>
        <w:tc>
          <w:tcPr>
            <w:tcW w:w="850" w:type="dxa"/>
            <w:vAlign w:val="center"/>
          </w:tcPr>
          <w:p w14:paraId="015AFF22">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0.0170 </w:t>
            </w:r>
          </w:p>
        </w:tc>
        <w:tc>
          <w:tcPr>
            <w:tcW w:w="850" w:type="dxa"/>
            <w:vAlign w:val="center"/>
          </w:tcPr>
          <w:p w14:paraId="1AFA5B33">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18.3384 </w:t>
            </w:r>
          </w:p>
        </w:tc>
        <w:tc>
          <w:tcPr>
            <w:tcW w:w="1029" w:type="dxa"/>
            <w:vAlign w:val="center"/>
          </w:tcPr>
          <w:p w14:paraId="11896E93">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64.0146 </w:t>
            </w:r>
          </w:p>
        </w:tc>
      </w:tr>
      <w:tr w14:paraId="12B0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2" w:type="pct"/>
            <w:vAlign w:val="center"/>
          </w:tcPr>
          <w:p w14:paraId="6E022CC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游客</w:t>
            </w:r>
          </w:p>
        </w:tc>
        <w:tc>
          <w:tcPr>
            <w:tcW w:w="506" w:type="pct"/>
            <w:vAlign w:val="center"/>
          </w:tcPr>
          <w:p w14:paraId="647C294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lang w:val="en-US" w:eastAsia="zh-CN"/>
              </w:rPr>
              <w:t>33.9</w:t>
            </w:r>
          </w:p>
        </w:tc>
        <w:tc>
          <w:tcPr>
            <w:tcW w:w="711" w:type="dxa"/>
            <w:vAlign w:val="center"/>
          </w:tcPr>
          <w:p w14:paraId="0A486D20">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1.3221 </w:t>
            </w:r>
          </w:p>
        </w:tc>
        <w:tc>
          <w:tcPr>
            <w:tcW w:w="855" w:type="dxa"/>
            <w:vAlign w:val="center"/>
          </w:tcPr>
          <w:p w14:paraId="178F206C">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0.0339 </w:t>
            </w:r>
          </w:p>
        </w:tc>
        <w:tc>
          <w:tcPr>
            <w:tcW w:w="850" w:type="dxa"/>
            <w:vAlign w:val="center"/>
          </w:tcPr>
          <w:p w14:paraId="68DB80C3">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36.6120 </w:t>
            </w:r>
          </w:p>
        </w:tc>
        <w:tc>
          <w:tcPr>
            <w:tcW w:w="769" w:type="dxa"/>
            <w:vAlign w:val="center"/>
          </w:tcPr>
          <w:p w14:paraId="47E79527">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127.8030 </w:t>
            </w:r>
          </w:p>
        </w:tc>
        <w:tc>
          <w:tcPr>
            <w:tcW w:w="444" w:type="pct"/>
            <w:shd w:val="clear" w:color="auto" w:fill="auto"/>
            <w:vAlign w:val="center"/>
          </w:tcPr>
          <w:p w14:paraId="1A51CA9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lang w:val="en-US" w:eastAsia="zh-CN"/>
              </w:rPr>
            </w:pPr>
            <w:r>
              <w:rPr>
                <w:rFonts w:hint="default" w:ascii="Times New Roman" w:hAnsi="Times New Roman" w:cs="Times New Roman" w:eastAsiaTheme="minorEastAsia"/>
                <w:bCs/>
                <w:color w:val="auto"/>
                <w:spacing w:val="0"/>
                <w:kern w:val="24"/>
                <w:sz w:val="18"/>
                <w:szCs w:val="18"/>
                <w:highlight w:val="none"/>
                <w:lang w:val="en-US" w:eastAsia="zh-CN"/>
              </w:rPr>
              <w:t>75.2</w:t>
            </w:r>
          </w:p>
        </w:tc>
        <w:tc>
          <w:tcPr>
            <w:tcW w:w="708" w:type="dxa"/>
            <w:vAlign w:val="center"/>
          </w:tcPr>
          <w:p w14:paraId="4ED6D3E2">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2.9328 </w:t>
            </w:r>
          </w:p>
        </w:tc>
        <w:tc>
          <w:tcPr>
            <w:tcW w:w="850" w:type="dxa"/>
            <w:vAlign w:val="center"/>
          </w:tcPr>
          <w:p w14:paraId="228B5FB1">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0.0752 </w:t>
            </w:r>
          </w:p>
        </w:tc>
        <w:tc>
          <w:tcPr>
            <w:tcW w:w="850" w:type="dxa"/>
            <w:vAlign w:val="center"/>
          </w:tcPr>
          <w:p w14:paraId="57E2D3EE">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81.2160 </w:t>
            </w:r>
          </w:p>
        </w:tc>
        <w:tc>
          <w:tcPr>
            <w:tcW w:w="1029" w:type="dxa"/>
            <w:vAlign w:val="center"/>
          </w:tcPr>
          <w:p w14:paraId="33E92801">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283.5040 </w:t>
            </w:r>
          </w:p>
        </w:tc>
      </w:tr>
      <w:tr w14:paraId="1EAF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2" w:type="pct"/>
            <w:vAlign w:val="center"/>
          </w:tcPr>
          <w:p w14:paraId="1838322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rPr>
              <w:t>合计</w:t>
            </w:r>
          </w:p>
        </w:tc>
        <w:tc>
          <w:tcPr>
            <w:tcW w:w="506" w:type="pct"/>
            <w:vAlign w:val="center"/>
          </w:tcPr>
          <w:p w14:paraId="3EE8732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cs="Times New Roman" w:eastAsiaTheme="minorEastAsia"/>
                <w:bCs/>
                <w:color w:val="auto"/>
                <w:spacing w:val="0"/>
                <w:kern w:val="24"/>
                <w:sz w:val="18"/>
                <w:szCs w:val="18"/>
                <w:highlight w:val="none"/>
                <w:lang w:val="en-US" w:eastAsia="zh-CN"/>
              </w:rPr>
              <w:t>80.24</w:t>
            </w:r>
          </w:p>
        </w:tc>
        <w:tc>
          <w:tcPr>
            <w:tcW w:w="711" w:type="dxa"/>
            <w:vAlign w:val="center"/>
          </w:tcPr>
          <w:p w14:paraId="76979F53">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3.1294 </w:t>
            </w:r>
          </w:p>
        </w:tc>
        <w:tc>
          <w:tcPr>
            <w:tcW w:w="855" w:type="dxa"/>
            <w:vAlign w:val="center"/>
          </w:tcPr>
          <w:p w14:paraId="31C81768">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0.0802 </w:t>
            </w:r>
          </w:p>
        </w:tc>
        <w:tc>
          <w:tcPr>
            <w:tcW w:w="850" w:type="dxa"/>
            <w:vAlign w:val="center"/>
          </w:tcPr>
          <w:p w14:paraId="6436CC1E">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86.6592 </w:t>
            </w:r>
          </w:p>
        </w:tc>
        <w:tc>
          <w:tcPr>
            <w:tcW w:w="769" w:type="dxa"/>
            <w:vAlign w:val="center"/>
          </w:tcPr>
          <w:p w14:paraId="254184D9">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302.5048 </w:t>
            </w:r>
          </w:p>
        </w:tc>
        <w:tc>
          <w:tcPr>
            <w:tcW w:w="444" w:type="pct"/>
            <w:shd w:val="clear" w:color="auto" w:fill="auto"/>
            <w:vAlign w:val="center"/>
          </w:tcPr>
          <w:p w14:paraId="5D924C8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18"/>
                <w:szCs w:val="18"/>
                <w:highlight w:val="none"/>
                <w:lang w:val="en-US" w:eastAsia="zh-CN"/>
              </w:rPr>
            </w:pPr>
            <w:r>
              <w:rPr>
                <w:rFonts w:hint="default" w:ascii="Times New Roman" w:hAnsi="Times New Roman" w:cs="Times New Roman" w:eastAsiaTheme="minorEastAsia"/>
                <w:bCs/>
                <w:color w:val="auto"/>
                <w:spacing w:val="0"/>
                <w:kern w:val="24"/>
                <w:sz w:val="18"/>
                <w:szCs w:val="18"/>
                <w:highlight w:val="none"/>
                <w:lang w:val="en-US" w:eastAsia="zh-CN"/>
              </w:rPr>
              <w:t>132.86</w:t>
            </w:r>
          </w:p>
        </w:tc>
        <w:tc>
          <w:tcPr>
            <w:tcW w:w="708" w:type="dxa"/>
            <w:vAlign w:val="center"/>
          </w:tcPr>
          <w:p w14:paraId="508EACC3">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5.1815 </w:t>
            </w:r>
          </w:p>
        </w:tc>
        <w:tc>
          <w:tcPr>
            <w:tcW w:w="850" w:type="dxa"/>
            <w:vAlign w:val="center"/>
          </w:tcPr>
          <w:p w14:paraId="0C8686E4">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0.1329 </w:t>
            </w:r>
          </w:p>
        </w:tc>
        <w:tc>
          <w:tcPr>
            <w:tcW w:w="850" w:type="dxa"/>
            <w:vAlign w:val="center"/>
          </w:tcPr>
          <w:p w14:paraId="1FF18856">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143.4888 </w:t>
            </w:r>
          </w:p>
        </w:tc>
        <w:tc>
          <w:tcPr>
            <w:tcW w:w="1029" w:type="dxa"/>
            <w:vAlign w:val="center"/>
          </w:tcPr>
          <w:p w14:paraId="100804DE">
            <w:pPr>
              <w:keepNext w:val="0"/>
              <w:keepLines w:val="0"/>
              <w:widowControl/>
              <w:suppressLineNumbers w:val="0"/>
              <w:jc w:val="center"/>
              <w:textAlignment w:val="center"/>
              <w:rPr>
                <w:rFonts w:hint="default" w:ascii="Times New Roman" w:hAnsi="Times New Roman" w:cs="Times New Roman" w:eastAsiaTheme="minorEastAsia"/>
                <w:bCs/>
                <w:color w:val="auto"/>
                <w:spacing w:val="0"/>
                <w:kern w:val="24"/>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500.8822 </w:t>
            </w:r>
          </w:p>
        </w:tc>
      </w:tr>
    </w:tbl>
    <w:p w14:paraId="48FF4E60">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（二）餐饮油烟</w:t>
      </w:r>
    </w:p>
    <w:p w14:paraId="056EA5D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厨房炒作时油的挥发产生油烟废气。根据当地烹饪特点与人均食用油消费情况，并结合地理区域、生活习惯、气候特点、经济发展水平，参照《生活源产排污核算方法和系数手册》，常住居民餐饮油烟挥发性有机物排放系数为148g/（人·a）。景区工作人员按</w:t>
      </w:r>
      <w:r>
        <w:rPr>
          <w:rFonts w:hint="default" w:ascii="Times New Roman" w:hAnsi="Times New Roman" w:cs="Times New Roman"/>
          <w:color w:val="auto"/>
          <w:spacing w:val="0"/>
          <w:kern w:val="24"/>
          <w:highlight w:val="none"/>
          <w:lang w:val="en-US" w:eastAsia="zh-CN"/>
        </w:rPr>
        <w:t>24</w:t>
      </w:r>
      <w:r>
        <w:rPr>
          <w:rFonts w:hint="default" w:ascii="Times New Roman" w:hAnsi="Times New Roman" w:cs="Times New Roman"/>
          <w:color w:val="auto"/>
          <w:spacing w:val="0"/>
          <w:kern w:val="24"/>
          <w:highlight w:val="none"/>
        </w:rPr>
        <w:t>5天计，取值</w:t>
      </w:r>
      <w:r>
        <w:rPr>
          <w:rFonts w:hint="default" w:ascii="Times New Roman" w:hAnsi="Times New Roman" w:cs="Times New Roman"/>
          <w:color w:val="auto"/>
          <w:spacing w:val="0"/>
          <w:kern w:val="24"/>
          <w:highlight w:val="none"/>
          <w:lang w:val="en-US" w:eastAsia="zh-CN"/>
        </w:rPr>
        <w:t>99</w:t>
      </w:r>
      <w:r>
        <w:rPr>
          <w:rFonts w:hint="default" w:ascii="Times New Roman" w:hAnsi="Times New Roman" w:cs="Times New Roman"/>
          <w:color w:val="auto"/>
          <w:spacing w:val="0"/>
          <w:kern w:val="24"/>
          <w:highlight w:val="none"/>
        </w:rPr>
        <w:t>g/（人·a）；综合考量一日游客、留宿游客的用餐比例、用餐次数等因素，折算后景区游客平均取值0.25g/（人·d）。</w:t>
      </w:r>
    </w:p>
    <w:p w14:paraId="00DC472E">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居民厨房一般未安装油烟净化设施，油烟产生量即为排放量。游客及工作人员在餐饮服务区就餐，评价要求餐饮厨房安装油烟净化设施，油烟废气经油烟净化装置净化后经专用烟道自屋顶排放，并避开周围敏感建筑物；油烟净化设施严格按照《饮食业油烟排放标准》（GB18483-2001）的要求进行设置，保证油烟的最高允许排放浓度＜2.0mg/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的标准限值要求，油烟去除率不低于85%，做到达标排放。</w:t>
      </w:r>
    </w:p>
    <w:p w14:paraId="1DA353A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本次评价根据前述人口和游客规模，结合餐饮油烟挥发性有机物排放系数、油烟净化效率等，则两种预测情景下的景区油烟产生及排放情况见表5.2-8和表5.2-9。</w:t>
      </w:r>
    </w:p>
    <w:p w14:paraId="1DCDF4E2">
      <w:pPr>
        <w:pStyle w:val="28"/>
        <w:tabs>
          <w:tab w:val="left" w:pos="840"/>
        </w:tabs>
        <w:spacing w:line="360" w:lineRule="auto"/>
        <w:jc w:val="center"/>
        <w:rPr>
          <w:rFonts w:hint="default" w:ascii="Times New Roman" w:hAnsi="Times New Roman" w:eastAsia="黑体" w:cs="Times New Roman"/>
          <w:color w:val="auto"/>
          <w:kern w:val="0"/>
          <w:szCs w:val="21"/>
          <w:highlight w:val="none"/>
        </w:rPr>
      </w:pPr>
      <w:bookmarkStart w:id="152" w:name="_Hlk63601258"/>
      <w:r>
        <w:rPr>
          <w:rFonts w:hint="default" w:ascii="Times New Roman" w:hAnsi="Times New Roman" w:eastAsia="黑体" w:cs="Times New Roman"/>
          <w:color w:val="auto"/>
          <w:kern w:val="0"/>
          <w:szCs w:val="21"/>
          <w:highlight w:val="none"/>
        </w:rPr>
        <w:t>表5.2-8  景区油烟产生及排放情况汇总表（情景一：一般情况）</w:t>
      </w:r>
    </w:p>
    <w:tbl>
      <w:tblPr>
        <w:tblStyle w:val="58"/>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92"/>
        <w:gridCol w:w="1454"/>
        <w:gridCol w:w="1293"/>
        <w:gridCol w:w="975"/>
        <w:gridCol w:w="992"/>
        <w:gridCol w:w="1207"/>
        <w:gridCol w:w="1058"/>
        <w:gridCol w:w="1059"/>
      </w:tblGrid>
      <w:tr w14:paraId="0EB1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Merge w:val="restart"/>
            <w:vAlign w:val="center"/>
          </w:tcPr>
          <w:p w14:paraId="013849B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油烟主体</w:t>
            </w:r>
          </w:p>
        </w:tc>
        <w:tc>
          <w:tcPr>
            <w:tcW w:w="1454" w:type="dxa"/>
            <w:vMerge w:val="restart"/>
            <w:vAlign w:val="center"/>
          </w:tcPr>
          <w:p w14:paraId="67700DB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油烟挥发性有机物排放系数</w:t>
            </w:r>
          </w:p>
        </w:tc>
        <w:tc>
          <w:tcPr>
            <w:tcW w:w="3260" w:type="dxa"/>
            <w:gridSpan w:val="3"/>
            <w:vAlign w:val="center"/>
          </w:tcPr>
          <w:p w14:paraId="50CAF1B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3324" w:type="dxa"/>
            <w:gridSpan w:val="3"/>
            <w:vAlign w:val="center"/>
          </w:tcPr>
          <w:p w14:paraId="14A8117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r>
      <w:tr w14:paraId="2B07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Merge w:val="continue"/>
            <w:vAlign w:val="center"/>
          </w:tcPr>
          <w:p w14:paraId="52CFE99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454" w:type="dxa"/>
            <w:vMerge w:val="continue"/>
            <w:vAlign w:val="center"/>
          </w:tcPr>
          <w:p w14:paraId="0D42244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293" w:type="dxa"/>
            <w:vAlign w:val="center"/>
          </w:tcPr>
          <w:p w14:paraId="3D773F8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人口规模</w:t>
            </w:r>
          </w:p>
        </w:tc>
        <w:tc>
          <w:tcPr>
            <w:tcW w:w="975" w:type="dxa"/>
            <w:vAlign w:val="center"/>
          </w:tcPr>
          <w:p w14:paraId="22CD795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油烟产生量（kg/a）</w:t>
            </w:r>
          </w:p>
        </w:tc>
        <w:tc>
          <w:tcPr>
            <w:tcW w:w="992" w:type="dxa"/>
            <w:vAlign w:val="center"/>
          </w:tcPr>
          <w:p w14:paraId="3FB58B4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油烟排放量（kg/a）</w:t>
            </w:r>
          </w:p>
        </w:tc>
        <w:tc>
          <w:tcPr>
            <w:tcW w:w="1207" w:type="dxa"/>
            <w:vAlign w:val="center"/>
          </w:tcPr>
          <w:p w14:paraId="32ADCA6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人口规模</w:t>
            </w:r>
          </w:p>
        </w:tc>
        <w:tc>
          <w:tcPr>
            <w:tcW w:w="1058" w:type="dxa"/>
            <w:vAlign w:val="center"/>
          </w:tcPr>
          <w:p w14:paraId="503A016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油烟产生量（kg/a）</w:t>
            </w:r>
          </w:p>
        </w:tc>
        <w:tc>
          <w:tcPr>
            <w:tcW w:w="1059" w:type="dxa"/>
            <w:vAlign w:val="center"/>
          </w:tcPr>
          <w:p w14:paraId="5C5459D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油烟排放量（kg/a）</w:t>
            </w:r>
          </w:p>
        </w:tc>
      </w:tr>
      <w:tr w14:paraId="49C5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Align w:val="center"/>
          </w:tcPr>
          <w:p w14:paraId="47B9E83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常住居民</w:t>
            </w:r>
          </w:p>
        </w:tc>
        <w:tc>
          <w:tcPr>
            <w:tcW w:w="1454" w:type="dxa"/>
            <w:vAlign w:val="center"/>
          </w:tcPr>
          <w:p w14:paraId="420E7C1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148g/（人·a）</w:t>
            </w:r>
          </w:p>
        </w:tc>
        <w:tc>
          <w:tcPr>
            <w:tcW w:w="1293" w:type="dxa"/>
            <w:vAlign w:val="center"/>
          </w:tcPr>
          <w:p w14:paraId="40BA7C3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495</w:t>
            </w:r>
            <w:r>
              <w:rPr>
                <w:rFonts w:hint="default" w:ascii="Times New Roman" w:hAnsi="Times New Roman" w:cs="Times New Roman" w:eastAsiaTheme="minorEastAsia"/>
                <w:bCs/>
                <w:color w:val="auto"/>
                <w:spacing w:val="0"/>
                <w:kern w:val="24"/>
                <w:sz w:val="21"/>
                <w:szCs w:val="21"/>
                <w:highlight w:val="none"/>
              </w:rPr>
              <w:t>人</w:t>
            </w:r>
          </w:p>
        </w:tc>
        <w:tc>
          <w:tcPr>
            <w:tcW w:w="975" w:type="dxa"/>
            <w:vAlign w:val="center"/>
          </w:tcPr>
          <w:p w14:paraId="4D3BC38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73.26</w:t>
            </w:r>
          </w:p>
        </w:tc>
        <w:tc>
          <w:tcPr>
            <w:tcW w:w="992" w:type="dxa"/>
            <w:vAlign w:val="center"/>
          </w:tcPr>
          <w:p w14:paraId="08C9472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73.26</w:t>
            </w:r>
          </w:p>
        </w:tc>
        <w:tc>
          <w:tcPr>
            <w:tcW w:w="1207" w:type="dxa"/>
            <w:vAlign w:val="center"/>
          </w:tcPr>
          <w:p w14:paraId="2CBB314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495</w:t>
            </w:r>
            <w:r>
              <w:rPr>
                <w:rFonts w:hint="default" w:ascii="Times New Roman" w:hAnsi="Times New Roman" w:cs="Times New Roman" w:eastAsiaTheme="minorEastAsia"/>
                <w:bCs/>
                <w:color w:val="auto"/>
                <w:spacing w:val="0"/>
                <w:kern w:val="24"/>
                <w:sz w:val="21"/>
                <w:szCs w:val="21"/>
                <w:highlight w:val="none"/>
              </w:rPr>
              <w:t>人</w:t>
            </w:r>
          </w:p>
        </w:tc>
        <w:tc>
          <w:tcPr>
            <w:tcW w:w="1058" w:type="dxa"/>
            <w:shd w:val="clear" w:color="auto" w:fill="auto"/>
            <w:vAlign w:val="center"/>
          </w:tcPr>
          <w:p w14:paraId="245D6A2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bidi="ar-SA"/>
              </w:rPr>
            </w:pPr>
            <w:r>
              <w:rPr>
                <w:rFonts w:hint="default" w:ascii="Times New Roman" w:hAnsi="Times New Roman" w:cs="Times New Roman" w:eastAsiaTheme="minorEastAsia"/>
                <w:bCs/>
                <w:color w:val="auto"/>
                <w:spacing w:val="0"/>
                <w:kern w:val="24"/>
                <w:sz w:val="21"/>
                <w:szCs w:val="21"/>
                <w:highlight w:val="none"/>
                <w:lang w:val="en-US" w:eastAsia="zh-CN"/>
              </w:rPr>
              <w:t>73.26</w:t>
            </w:r>
          </w:p>
        </w:tc>
        <w:tc>
          <w:tcPr>
            <w:tcW w:w="1059" w:type="dxa"/>
            <w:shd w:val="clear" w:color="auto" w:fill="auto"/>
            <w:vAlign w:val="center"/>
          </w:tcPr>
          <w:p w14:paraId="2EBDFDF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bidi="ar-SA"/>
              </w:rPr>
            </w:pPr>
            <w:r>
              <w:rPr>
                <w:rFonts w:hint="default" w:ascii="Times New Roman" w:hAnsi="Times New Roman" w:cs="Times New Roman" w:eastAsiaTheme="minorEastAsia"/>
                <w:bCs/>
                <w:color w:val="auto"/>
                <w:spacing w:val="0"/>
                <w:kern w:val="24"/>
                <w:sz w:val="21"/>
                <w:szCs w:val="21"/>
                <w:highlight w:val="none"/>
                <w:lang w:val="en-US" w:eastAsia="zh-CN"/>
              </w:rPr>
              <w:t>73.26</w:t>
            </w:r>
          </w:p>
        </w:tc>
      </w:tr>
      <w:tr w14:paraId="7B96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Align w:val="center"/>
          </w:tcPr>
          <w:p w14:paraId="38BEA14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工作人员</w:t>
            </w:r>
          </w:p>
        </w:tc>
        <w:tc>
          <w:tcPr>
            <w:tcW w:w="1454" w:type="dxa"/>
            <w:vAlign w:val="center"/>
          </w:tcPr>
          <w:p w14:paraId="043DED7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99</w:t>
            </w:r>
            <w:r>
              <w:rPr>
                <w:rFonts w:hint="default" w:ascii="Times New Roman" w:hAnsi="Times New Roman" w:cs="Times New Roman" w:eastAsiaTheme="minorEastAsia"/>
                <w:bCs/>
                <w:color w:val="auto"/>
                <w:spacing w:val="0"/>
                <w:kern w:val="24"/>
                <w:sz w:val="21"/>
                <w:szCs w:val="21"/>
                <w:highlight w:val="none"/>
              </w:rPr>
              <w:t>g/（人·a）</w:t>
            </w:r>
          </w:p>
        </w:tc>
        <w:tc>
          <w:tcPr>
            <w:tcW w:w="1293" w:type="dxa"/>
            <w:vAlign w:val="center"/>
          </w:tcPr>
          <w:p w14:paraId="56CB014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10</w:t>
            </w:r>
            <w:r>
              <w:rPr>
                <w:rFonts w:hint="default" w:ascii="Times New Roman" w:hAnsi="Times New Roman" w:cs="Times New Roman" w:eastAsiaTheme="minorEastAsia"/>
                <w:bCs/>
                <w:color w:val="auto"/>
                <w:spacing w:val="0"/>
                <w:kern w:val="24"/>
                <w:sz w:val="21"/>
                <w:szCs w:val="21"/>
                <w:highlight w:val="none"/>
              </w:rPr>
              <w:t>0人</w:t>
            </w:r>
          </w:p>
        </w:tc>
        <w:tc>
          <w:tcPr>
            <w:tcW w:w="975" w:type="dxa"/>
            <w:vAlign w:val="center"/>
          </w:tcPr>
          <w:p w14:paraId="44FD235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9.9</w:t>
            </w:r>
          </w:p>
        </w:tc>
        <w:tc>
          <w:tcPr>
            <w:tcW w:w="992" w:type="dxa"/>
            <w:vAlign w:val="center"/>
          </w:tcPr>
          <w:p w14:paraId="3E408D1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1.485</w:t>
            </w:r>
          </w:p>
        </w:tc>
        <w:tc>
          <w:tcPr>
            <w:tcW w:w="1207" w:type="dxa"/>
            <w:vAlign w:val="center"/>
          </w:tcPr>
          <w:p w14:paraId="4D710A0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0人</w:t>
            </w:r>
          </w:p>
        </w:tc>
        <w:tc>
          <w:tcPr>
            <w:tcW w:w="1058" w:type="dxa"/>
            <w:vAlign w:val="center"/>
          </w:tcPr>
          <w:p w14:paraId="0499F574">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29.7</w:t>
            </w:r>
          </w:p>
        </w:tc>
        <w:tc>
          <w:tcPr>
            <w:tcW w:w="1059" w:type="dxa"/>
            <w:vAlign w:val="center"/>
          </w:tcPr>
          <w:p w14:paraId="216A06E2">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4.455</w:t>
            </w:r>
          </w:p>
        </w:tc>
      </w:tr>
      <w:tr w14:paraId="475F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Align w:val="center"/>
          </w:tcPr>
          <w:p w14:paraId="64F217E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游客</w:t>
            </w:r>
          </w:p>
        </w:tc>
        <w:tc>
          <w:tcPr>
            <w:tcW w:w="1454" w:type="dxa"/>
            <w:vAlign w:val="center"/>
          </w:tcPr>
          <w:p w14:paraId="368B522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0.25g/（人·d）</w:t>
            </w:r>
          </w:p>
        </w:tc>
        <w:tc>
          <w:tcPr>
            <w:tcW w:w="1293" w:type="dxa"/>
            <w:vAlign w:val="center"/>
          </w:tcPr>
          <w:p w14:paraId="19DC8C1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112950</w:t>
            </w:r>
            <w:r>
              <w:rPr>
                <w:rFonts w:hint="default" w:ascii="Times New Roman" w:hAnsi="Times New Roman" w:cs="Times New Roman" w:eastAsiaTheme="minorEastAsia"/>
                <w:bCs/>
                <w:color w:val="auto"/>
                <w:spacing w:val="0"/>
                <w:kern w:val="24"/>
                <w:sz w:val="21"/>
                <w:szCs w:val="21"/>
                <w:highlight w:val="none"/>
              </w:rPr>
              <w:t>人/a</w:t>
            </w:r>
          </w:p>
        </w:tc>
        <w:tc>
          <w:tcPr>
            <w:tcW w:w="975" w:type="dxa"/>
            <w:vAlign w:val="center"/>
          </w:tcPr>
          <w:p w14:paraId="3CF674D1">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28.238</w:t>
            </w:r>
          </w:p>
        </w:tc>
        <w:tc>
          <w:tcPr>
            <w:tcW w:w="992" w:type="dxa"/>
            <w:vAlign w:val="center"/>
          </w:tcPr>
          <w:p w14:paraId="55EC4D71">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4.236</w:t>
            </w:r>
          </w:p>
        </w:tc>
        <w:tc>
          <w:tcPr>
            <w:tcW w:w="1207" w:type="dxa"/>
            <w:vAlign w:val="center"/>
          </w:tcPr>
          <w:p w14:paraId="6563C7E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2506</w:t>
            </w:r>
            <w:r>
              <w:rPr>
                <w:rFonts w:hint="default" w:ascii="Times New Roman" w:hAnsi="Times New Roman" w:cs="Times New Roman" w:eastAsiaTheme="minorEastAsia"/>
                <w:bCs/>
                <w:color w:val="auto"/>
                <w:spacing w:val="0"/>
                <w:kern w:val="24"/>
                <w:sz w:val="21"/>
                <w:szCs w:val="21"/>
                <w:highlight w:val="none"/>
              </w:rPr>
              <w:t>00人/a</w:t>
            </w:r>
          </w:p>
        </w:tc>
        <w:tc>
          <w:tcPr>
            <w:tcW w:w="1058" w:type="dxa"/>
            <w:vAlign w:val="center"/>
          </w:tcPr>
          <w:p w14:paraId="3FF80F27">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62.65</w:t>
            </w:r>
          </w:p>
        </w:tc>
        <w:tc>
          <w:tcPr>
            <w:tcW w:w="1059" w:type="dxa"/>
            <w:vAlign w:val="center"/>
          </w:tcPr>
          <w:p w14:paraId="2A6A342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9.398</w:t>
            </w:r>
          </w:p>
        </w:tc>
      </w:tr>
      <w:tr w14:paraId="3E64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446" w:type="dxa"/>
            <w:gridSpan w:val="2"/>
            <w:vAlign w:val="center"/>
          </w:tcPr>
          <w:p w14:paraId="2A8BA35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合计</w:t>
            </w:r>
          </w:p>
        </w:tc>
        <w:tc>
          <w:tcPr>
            <w:tcW w:w="1293" w:type="dxa"/>
            <w:vAlign w:val="center"/>
          </w:tcPr>
          <w:p w14:paraId="4A06CD9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975" w:type="dxa"/>
            <w:vAlign w:val="center"/>
          </w:tcPr>
          <w:p w14:paraId="020A43D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111.398</w:t>
            </w:r>
          </w:p>
        </w:tc>
        <w:tc>
          <w:tcPr>
            <w:tcW w:w="992" w:type="dxa"/>
            <w:vAlign w:val="center"/>
          </w:tcPr>
          <w:p w14:paraId="5EDA7AF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78.981</w:t>
            </w:r>
          </w:p>
        </w:tc>
        <w:tc>
          <w:tcPr>
            <w:tcW w:w="1207" w:type="dxa"/>
            <w:vAlign w:val="center"/>
          </w:tcPr>
          <w:p w14:paraId="7EABE4A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w:t>
            </w:r>
          </w:p>
        </w:tc>
        <w:tc>
          <w:tcPr>
            <w:tcW w:w="1058" w:type="dxa"/>
            <w:vAlign w:val="center"/>
          </w:tcPr>
          <w:p w14:paraId="236F5E0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165.61</w:t>
            </w:r>
          </w:p>
        </w:tc>
        <w:tc>
          <w:tcPr>
            <w:tcW w:w="1059" w:type="dxa"/>
            <w:vAlign w:val="center"/>
          </w:tcPr>
          <w:p w14:paraId="0277863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87.113</w:t>
            </w:r>
          </w:p>
        </w:tc>
      </w:tr>
    </w:tbl>
    <w:p w14:paraId="3BCC320A">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表5.2-9  景区油烟产生及排放情况汇总表（情景二：特殊情况）</w:t>
      </w:r>
    </w:p>
    <w:tbl>
      <w:tblPr>
        <w:tblStyle w:val="58"/>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92"/>
        <w:gridCol w:w="1689"/>
        <w:gridCol w:w="1058"/>
        <w:gridCol w:w="1058"/>
        <w:gridCol w:w="1058"/>
        <w:gridCol w:w="1058"/>
        <w:gridCol w:w="1058"/>
        <w:gridCol w:w="1059"/>
      </w:tblGrid>
      <w:tr w14:paraId="61F9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Merge w:val="restart"/>
            <w:vAlign w:val="center"/>
          </w:tcPr>
          <w:p w14:paraId="23A88A3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油烟主体</w:t>
            </w:r>
          </w:p>
        </w:tc>
        <w:tc>
          <w:tcPr>
            <w:tcW w:w="1689" w:type="dxa"/>
            <w:vMerge w:val="restart"/>
            <w:vAlign w:val="center"/>
          </w:tcPr>
          <w:p w14:paraId="13CB3EF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油烟挥发性有机物排放系数</w:t>
            </w:r>
          </w:p>
        </w:tc>
        <w:tc>
          <w:tcPr>
            <w:tcW w:w="3174" w:type="dxa"/>
            <w:gridSpan w:val="3"/>
            <w:vAlign w:val="center"/>
          </w:tcPr>
          <w:p w14:paraId="773C560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3175" w:type="dxa"/>
            <w:gridSpan w:val="3"/>
            <w:vAlign w:val="center"/>
          </w:tcPr>
          <w:p w14:paraId="60BD873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r>
      <w:tr w14:paraId="7D37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Merge w:val="continue"/>
            <w:vAlign w:val="center"/>
          </w:tcPr>
          <w:p w14:paraId="2A21CD5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689" w:type="dxa"/>
            <w:vMerge w:val="continue"/>
            <w:vAlign w:val="center"/>
          </w:tcPr>
          <w:p w14:paraId="6DCF90B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058" w:type="dxa"/>
            <w:vAlign w:val="center"/>
          </w:tcPr>
          <w:p w14:paraId="4EF0B8D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旺季人口规模（人）</w:t>
            </w:r>
          </w:p>
        </w:tc>
        <w:tc>
          <w:tcPr>
            <w:tcW w:w="1058" w:type="dxa"/>
            <w:vAlign w:val="center"/>
          </w:tcPr>
          <w:p w14:paraId="03EF041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油烟产生量（kg/d）</w:t>
            </w:r>
          </w:p>
        </w:tc>
        <w:tc>
          <w:tcPr>
            <w:tcW w:w="1058" w:type="dxa"/>
            <w:vAlign w:val="center"/>
          </w:tcPr>
          <w:p w14:paraId="037BC75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油烟排放量（kg/d）</w:t>
            </w:r>
          </w:p>
        </w:tc>
        <w:tc>
          <w:tcPr>
            <w:tcW w:w="1058" w:type="dxa"/>
            <w:vAlign w:val="center"/>
          </w:tcPr>
          <w:p w14:paraId="3E9BDD5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旺季人口规模（人）</w:t>
            </w:r>
          </w:p>
        </w:tc>
        <w:tc>
          <w:tcPr>
            <w:tcW w:w="1058" w:type="dxa"/>
            <w:vAlign w:val="center"/>
          </w:tcPr>
          <w:p w14:paraId="7C86AF3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油烟产生量（kg/d）</w:t>
            </w:r>
          </w:p>
        </w:tc>
        <w:tc>
          <w:tcPr>
            <w:tcW w:w="1059" w:type="dxa"/>
            <w:vAlign w:val="center"/>
          </w:tcPr>
          <w:p w14:paraId="55FD9B3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油烟排放量（kg/d）</w:t>
            </w:r>
          </w:p>
        </w:tc>
      </w:tr>
      <w:tr w14:paraId="6C0D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92" w:type="dxa"/>
            <w:vAlign w:val="center"/>
          </w:tcPr>
          <w:p w14:paraId="526386E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常住居民</w:t>
            </w:r>
          </w:p>
        </w:tc>
        <w:tc>
          <w:tcPr>
            <w:tcW w:w="1689" w:type="dxa"/>
            <w:vAlign w:val="center"/>
          </w:tcPr>
          <w:p w14:paraId="4F3A163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148g/（人·a）</w:t>
            </w:r>
          </w:p>
        </w:tc>
        <w:tc>
          <w:tcPr>
            <w:tcW w:w="1058" w:type="dxa"/>
            <w:vAlign w:val="center"/>
          </w:tcPr>
          <w:p w14:paraId="027329D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495</w:t>
            </w:r>
          </w:p>
        </w:tc>
        <w:tc>
          <w:tcPr>
            <w:tcW w:w="1058" w:type="dxa"/>
            <w:vAlign w:val="center"/>
          </w:tcPr>
          <w:p w14:paraId="1718686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0.201</w:t>
            </w:r>
          </w:p>
        </w:tc>
        <w:tc>
          <w:tcPr>
            <w:tcW w:w="1058" w:type="dxa"/>
            <w:vAlign w:val="center"/>
          </w:tcPr>
          <w:p w14:paraId="1E6B299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0.201</w:t>
            </w:r>
          </w:p>
        </w:tc>
        <w:tc>
          <w:tcPr>
            <w:tcW w:w="1058" w:type="dxa"/>
            <w:shd w:val="clear" w:color="auto" w:fill="auto"/>
            <w:vAlign w:val="center"/>
          </w:tcPr>
          <w:p w14:paraId="102675D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495</w:t>
            </w:r>
          </w:p>
        </w:tc>
        <w:tc>
          <w:tcPr>
            <w:tcW w:w="1058" w:type="dxa"/>
            <w:shd w:val="clear" w:color="auto" w:fill="auto"/>
            <w:vAlign w:val="center"/>
          </w:tcPr>
          <w:p w14:paraId="2E83B4F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0.201</w:t>
            </w:r>
          </w:p>
        </w:tc>
        <w:tc>
          <w:tcPr>
            <w:tcW w:w="1059" w:type="dxa"/>
            <w:shd w:val="clear" w:color="auto" w:fill="auto"/>
            <w:vAlign w:val="center"/>
          </w:tcPr>
          <w:p w14:paraId="0DC224E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0.201</w:t>
            </w:r>
          </w:p>
        </w:tc>
      </w:tr>
      <w:tr w14:paraId="228A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Align w:val="center"/>
          </w:tcPr>
          <w:p w14:paraId="5858666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工作人员</w:t>
            </w:r>
          </w:p>
        </w:tc>
        <w:tc>
          <w:tcPr>
            <w:tcW w:w="1689" w:type="dxa"/>
            <w:vAlign w:val="center"/>
          </w:tcPr>
          <w:p w14:paraId="525C95F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99</w:t>
            </w:r>
            <w:r>
              <w:rPr>
                <w:rFonts w:hint="default" w:ascii="Times New Roman" w:hAnsi="Times New Roman" w:cs="Times New Roman" w:eastAsiaTheme="minorEastAsia"/>
                <w:bCs/>
                <w:color w:val="auto"/>
                <w:spacing w:val="0"/>
                <w:kern w:val="24"/>
                <w:sz w:val="21"/>
                <w:szCs w:val="21"/>
                <w:highlight w:val="none"/>
              </w:rPr>
              <w:t>g/（人·a）</w:t>
            </w:r>
          </w:p>
        </w:tc>
        <w:tc>
          <w:tcPr>
            <w:tcW w:w="1058" w:type="dxa"/>
            <w:vAlign w:val="center"/>
          </w:tcPr>
          <w:p w14:paraId="44F11E4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0</w:t>
            </w:r>
          </w:p>
        </w:tc>
        <w:tc>
          <w:tcPr>
            <w:tcW w:w="1058" w:type="dxa"/>
            <w:vAlign w:val="center"/>
          </w:tcPr>
          <w:p w14:paraId="71249BC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0.040</w:t>
            </w:r>
          </w:p>
        </w:tc>
        <w:tc>
          <w:tcPr>
            <w:tcW w:w="1058" w:type="dxa"/>
            <w:vAlign w:val="center"/>
          </w:tcPr>
          <w:p w14:paraId="247934C1">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0.006</w:t>
            </w:r>
          </w:p>
        </w:tc>
        <w:tc>
          <w:tcPr>
            <w:tcW w:w="1058" w:type="dxa"/>
            <w:shd w:val="clear" w:color="auto" w:fill="auto"/>
            <w:vAlign w:val="center"/>
          </w:tcPr>
          <w:p w14:paraId="58E9959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30</w:t>
            </w:r>
            <w:r>
              <w:rPr>
                <w:rFonts w:hint="default" w:ascii="Times New Roman" w:hAnsi="Times New Roman" w:cs="Times New Roman"/>
                <w:color w:val="auto"/>
                <w:szCs w:val="21"/>
                <w:highlight w:val="none"/>
              </w:rPr>
              <w:t>0</w:t>
            </w:r>
          </w:p>
        </w:tc>
        <w:tc>
          <w:tcPr>
            <w:tcW w:w="1058" w:type="dxa"/>
            <w:vAlign w:val="bottom"/>
          </w:tcPr>
          <w:p w14:paraId="141BEA7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0.120</w:t>
            </w:r>
          </w:p>
        </w:tc>
        <w:tc>
          <w:tcPr>
            <w:tcW w:w="1059" w:type="dxa"/>
            <w:vAlign w:val="bottom"/>
          </w:tcPr>
          <w:p w14:paraId="0DFF9F3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0.018</w:t>
            </w:r>
          </w:p>
        </w:tc>
      </w:tr>
      <w:tr w14:paraId="004C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2" w:type="dxa"/>
            <w:vAlign w:val="center"/>
          </w:tcPr>
          <w:p w14:paraId="4814668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游客</w:t>
            </w:r>
          </w:p>
        </w:tc>
        <w:tc>
          <w:tcPr>
            <w:tcW w:w="1689" w:type="dxa"/>
            <w:vAlign w:val="center"/>
          </w:tcPr>
          <w:p w14:paraId="51AE655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0.25g/（人·d）</w:t>
            </w:r>
          </w:p>
        </w:tc>
        <w:tc>
          <w:tcPr>
            <w:tcW w:w="1058" w:type="dxa"/>
            <w:vAlign w:val="center"/>
          </w:tcPr>
          <w:p w14:paraId="2A72B71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678</w:t>
            </w:r>
          </w:p>
        </w:tc>
        <w:tc>
          <w:tcPr>
            <w:tcW w:w="1058" w:type="dxa"/>
            <w:vAlign w:val="center"/>
          </w:tcPr>
          <w:p w14:paraId="0DE5AF5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0.170</w:t>
            </w:r>
          </w:p>
        </w:tc>
        <w:tc>
          <w:tcPr>
            <w:tcW w:w="1058" w:type="dxa"/>
            <w:vAlign w:val="center"/>
          </w:tcPr>
          <w:p w14:paraId="3F845DD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0.025</w:t>
            </w:r>
          </w:p>
        </w:tc>
        <w:tc>
          <w:tcPr>
            <w:tcW w:w="1058" w:type="dxa"/>
            <w:vAlign w:val="center"/>
          </w:tcPr>
          <w:p w14:paraId="5411EF81">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1504</w:t>
            </w:r>
          </w:p>
        </w:tc>
        <w:tc>
          <w:tcPr>
            <w:tcW w:w="1058" w:type="dxa"/>
            <w:vAlign w:val="bottom"/>
          </w:tcPr>
          <w:p w14:paraId="4F1E0A3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0.376</w:t>
            </w:r>
          </w:p>
        </w:tc>
        <w:tc>
          <w:tcPr>
            <w:tcW w:w="1059" w:type="dxa"/>
            <w:vAlign w:val="bottom"/>
          </w:tcPr>
          <w:p w14:paraId="4E7BD95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0.056</w:t>
            </w:r>
          </w:p>
        </w:tc>
      </w:tr>
      <w:tr w14:paraId="188C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681" w:type="dxa"/>
            <w:gridSpan w:val="2"/>
            <w:vAlign w:val="center"/>
          </w:tcPr>
          <w:p w14:paraId="226F9B3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合计</w:t>
            </w:r>
          </w:p>
        </w:tc>
        <w:tc>
          <w:tcPr>
            <w:tcW w:w="1058" w:type="dxa"/>
            <w:vAlign w:val="center"/>
          </w:tcPr>
          <w:p w14:paraId="2EA306B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1273</w:t>
            </w:r>
          </w:p>
        </w:tc>
        <w:tc>
          <w:tcPr>
            <w:tcW w:w="1058" w:type="dxa"/>
            <w:vAlign w:val="center"/>
          </w:tcPr>
          <w:p w14:paraId="3F45925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0.411</w:t>
            </w:r>
          </w:p>
        </w:tc>
        <w:tc>
          <w:tcPr>
            <w:tcW w:w="1058" w:type="dxa"/>
            <w:vAlign w:val="center"/>
          </w:tcPr>
          <w:p w14:paraId="6B0CEB9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0.232</w:t>
            </w:r>
          </w:p>
        </w:tc>
        <w:tc>
          <w:tcPr>
            <w:tcW w:w="1058" w:type="dxa"/>
            <w:vAlign w:val="center"/>
          </w:tcPr>
          <w:p w14:paraId="69B7496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2299</w:t>
            </w:r>
          </w:p>
        </w:tc>
        <w:tc>
          <w:tcPr>
            <w:tcW w:w="1058" w:type="dxa"/>
            <w:vAlign w:val="center"/>
          </w:tcPr>
          <w:p w14:paraId="378832A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0.697</w:t>
            </w:r>
          </w:p>
        </w:tc>
        <w:tc>
          <w:tcPr>
            <w:tcW w:w="1059" w:type="dxa"/>
            <w:vAlign w:val="center"/>
          </w:tcPr>
          <w:p w14:paraId="7F0C5E5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0.275</w:t>
            </w:r>
          </w:p>
        </w:tc>
      </w:tr>
      <w:bookmarkEnd w:id="152"/>
    </w:tbl>
    <w:p w14:paraId="60D1A2AB">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（三）汽车尾气</w:t>
      </w:r>
    </w:p>
    <w:p w14:paraId="655A72E7">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规划实施后，景区内不设置服务车辆，主要采取步行与骑马的出行方式，汽车尾气主要来自进出景区的游客车辆，主要污染物为HC、CO、NO</w:t>
      </w:r>
      <w:r>
        <w:rPr>
          <w:rFonts w:hint="default" w:ascii="Times New Roman" w:hAnsi="Times New Roman" w:cs="Times New Roman"/>
          <w:color w:val="auto"/>
          <w:spacing w:val="0"/>
          <w:kern w:val="24"/>
          <w:highlight w:val="none"/>
          <w:vertAlign w:val="subscript"/>
        </w:rPr>
        <w:t>x</w:t>
      </w:r>
      <w:r>
        <w:rPr>
          <w:rFonts w:hint="default" w:ascii="Times New Roman" w:hAnsi="Times New Roman" w:cs="Times New Roman"/>
          <w:color w:val="auto"/>
          <w:spacing w:val="0"/>
          <w:kern w:val="24"/>
          <w:highlight w:val="none"/>
        </w:rPr>
        <w:t>等。汽车尾气污染源按照前述2个情景进行预测：①按规划远期规模进行估算；②按远期旅游旺季游客规模进行估算。具体情景情况见表5.2-10。</w:t>
      </w:r>
    </w:p>
    <w:p w14:paraId="59F700A0">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表5.2-10  景区汽车尾气估算情景设置表</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7081"/>
      </w:tblGrid>
      <w:tr w14:paraId="7216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73DFEBDD">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情景设定</w:t>
            </w:r>
          </w:p>
        </w:tc>
        <w:tc>
          <w:tcPr>
            <w:tcW w:w="7081" w:type="dxa"/>
            <w:vAlign w:val="center"/>
          </w:tcPr>
          <w:p w14:paraId="70687325">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情景内容描述</w:t>
            </w:r>
          </w:p>
        </w:tc>
      </w:tr>
      <w:tr w14:paraId="7521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5BD5280D">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情景一：一般情况</w:t>
            </w:r>
          </w:p>
        </w:tc>
        <w:tc>
          <w:tcPr>
            <w:tcW w:w="7081" w:type="dxa"/>
            <w:vAlign w:val="center"/>
          </w:tcPr>
          <w:p w14:paraId="1B6E64E6">
            <w:pPr>
              <w:pStyle w:val="545"/>
              <w:spacing w:line="240" w:lineRule="auto"/>
              <w:ind w:firstLine="0" w:firstLineChars="0"/>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景区远期日均游客为</w:t>
            </w:r>
            <w:r>
              <w:rPr>
                <w:rFonts w:hint="default" w:ascii="Times New Roman" w:hAnsi="Times New Roman" w:cs="Times New Roman" w:eastAsiaTheme="minorEastAsia"/>
                <w:color w:val="auto"/>
                <w:spacing w:val="0"/>
                <w:kern w:val="24"/>
                <w:sz w:val="21"/>
                <w:szCs w:val="21"/>
                <w:highlight w:val="none"/>
                <w:lang w:val="en-US" w:eastAsia="zh-CN"/>
              </w:rPr>
              <w:t>2046</w:t>
            </w:r>
            <w:r>
              <w:rPr>
                <w:rFonts w:hint="default" w:ascii="Times New Roman" w:hAnsi="Times New Roman" w:cs="Times New Roman" w:eastAsiaTheme="minorEastAsia"/>
                <w:color w:val="auto"/>
                <w:spacing w:val="0"/>
                <w:kern w:val="24"/>
                <w:sz w:val="21"/>
                <w:szCs w:val="21"/>
                <w:highlight w:val="none"/>
              </w:rPr>
              <w:t>人次/d，规划远期外来旅游人员车辆全部在景区停车场停留，景区内行进里程往返平均</w:t>
            </w:r>
            <w:r>
              <w:rPr>
                <w:rFonts w:hint="default" w:ascii="Times New Roman" w:hAnsi="Times New Roman" w:cs="Times New Roman" w:eastAsiaTheme="minorEastAsia"/>
                <w:color w:val="auto"/>
                <w:spacing w:val="0"/>
                <w:kern w:val="24"/>
                <w:sz w:val="21"/>
                <w:szCs w:val="21"/>
                <w:highlight w:val="none"/>
                <w:lang w:val="en-US" w:eastAsia="zh-CN"/>
              </w:rPr>
              <w:t>15</w:t>
            </w:r>
            <w:r>
              <w:rPr>
                <w:rFonts w:hint="default" w:ascii="Times New Roman" w:hAnsi="Times New Roman" w:cs="Times New Roman" w:eastAsiaTheme="minorEastAsia"/>
                <w:color w:val="auto"/>
                <w:spacing w:val="0"/>
                <w:kern w:val="24"/>
                <w:sz w:val="21"/>
                <w:szCs w:val="21"/>
                <w:highlight w:val="none"/>
              </w:rPr>
              <w:t>km</w:t>
            </w:r>
          </w:p>
        </w:tc>
      </w:tr>
      <w:tr w14:paraId="6867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vAlign w:val="center"/>
          </w:tcPr>
          <w:p w14:paraId="23496E1A">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情景二：特殊情况</w:t>
            </w:r>
          </w:p>
        </w:tc>
        <w:tc>
          <w:tcPr>
            <w:tcW w:w="7081" w:type="dxa"/>
            <w:vAlign w:val="center"/>
          </w:tcPr>
          <w:p w14:paraId="5311AEB1">
            <w:pPr>
              <w:pStyle w:val="545"/>
              <w:spacing w:line="240" w:lineRule="auto"/>
              <w:ind w:firstLine="0" w:firstLineChars="0"/>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景区远期旅游旺季游客为</w:t>
            </w:r>
            <w:r>
              <w:rPr>
                <w:rFonts w:hint="default" w:ascii="Times New Roman" w:hAnsi="Times New Roman" w:cs="Times New Roman" w:eastAsiaTheme="minorEastAsia"/>
                <w:color w:val="auto"/>
                <w:spacing w:val="0"/>
                <w:kern w:val="24"/>
                <w:sz w:val="21"/>
                <w:szCs w:val="21"/>
                <w:highlight w:val="none"/>
                <w:lang w:val="en-US" w:eastAsia="zh-CN"/>
              </w:rPr>
              <w:t>3007</w:t>
            </w:r>
            <w:r>
              <w:rPr>
                <w:rFonts w:hint="default" w:ascii="Times New Roman" w:hAnsi="Times New Roman" w:cs="Times New Roman" w:eastAsiaTheme="minorEastAsia"/>
                <w:color w:val="auto"/>
                <w:spacing w:val="0"/>
                <w:kern w:val="24"/>
                <w:sz w:val="21"/>
                <w:szCs w:val="21"/>
                <w:highlight w:val="none"/>
              </w:rPr>
              <w:t>人次/d，规划远期外来旅游人员车辆全部在景区停车场停留，景区内行进里程往返平均</w:t>
            </w:r>
            <w:r>
              <w:rPr>
                <w:rFonts w:hint="default" w:ascii="Times New Roman" w:hAnsi="Times New Roman" w:cs="Times New Roman" w:eastAsiaTheme="minorEastAsia"/>
                <w:color w:val="auto"/>
                <w:spacing w:val="0"/>
                <w:kern w:val="24"/>
                <w:sz w:val="21"/>
                <w:szCs w:val="21"/>
                <w:highlight w:val="none"/>
                <w:lang w:val="en-US" w:eastAsia="zh-CN"/>
              </w:rPr>
              <w:t>15</w:t>
            </w:r>
            <w:r>
              <w:rPr>
                <w:rFonts w:hint="default" w:ascii="Times New Roman" w:hAnsi="Times New Roman" w:cs="Times New Roman" w:eastAsiaTheme="minorEastAsia"/>
                <w:color w:val="auto"/>
                <w:spacing w:val="0"/>
                <w:kern w:val="24"/>
                <w:sz w:val="21"/>
                <w:szCs w:val="21"/>
                <w:highlight w:val="none"/>
              </w:rPr>
              <w:t>km</w:t>
            </w:r>
          </w:p>
        </w:tc>
      </w:tr>
    </w:tbl>
    <w:p w14:paraId="67D561CF">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本次评价远期驾车（私家车）游客按总游客量的85%计，旅游大巴游客按15%计，旅游大巴按照40人核算，私家车按照4人核算，则情景一旅游大巴日极限车辆流量约为</w:t>
      </w:r>
      <w:r>
        <w:rPr>
          <w:rFonts w:hint="default" w:ascii="Times New Roman" w:hAnsi="Times New Roman" w:cs="Times New Roman"/>
          <w:color w:val="auto"/>
          <w:spacing w:val="0"/>
          <w:kern w:val="24"/>
          <w:highlight w:val="none"/>
          <w:lang w:val="en-US" w:eastAsia="zh-CN"/>
        </w:rPr>
        <w:t>8</w:t>
      </w:r>
      <w:r>
        <w:rPr>
          <w:rFonts w:hint="default" w:ascii="Times New Roman" w:hAnsi="Times New Roman" w:cs="Times New Roman"/>
          <w:color w:val="auto"/>
          <w:spacing w:val="0"/>
          <w:kern w:val="24"/>
          <w:highlight w:val="none"/>
        </w:rPr>
        <w:t>辆，私家车日极限车辆流量约为</w:t>
      </w:r>
      <w:r>
        <w:rPr>
          <w:rFonts w:hint="default" w:ascii="Times New Roman" w:hAnsi="Times New Roman" w:cs="Times New Roman"/>
          <w:color w:val="auto"/>
          <w:spacing w:val="0"/>
          <w:kern w:val="24"/>
          <w:highlight w:val="none"/>
          <w:lang w:val="en-US" w:eastAsia="zh-CN"/>
        </w:rPr>
        <w:t>435</w:t>
      </w:r>
      <w:r>
        <w:rPr>
          <w:rFonts w:hint="default" w:ascii="Times New Roman" w:hAnsi="Times New Roman" w:cs="Times New Roman"/>
          <w:color w:val="auto"/>
          <w:spacing w:val="0"/>
          <w:kern w:val="24"/>
          <w:highlight w:val="none"/>
        </w:rPr>
        <w:t>辆；情景二旅游大巴日极限车辆流量约为</w:t>
      </w:r>
      <w:r>
        <w:rPr>
          <w:rFonts w:hint="default" w:ascii="Times New Roman" w:hAnsi="Times New Roman" w:cs="Times New Roman"/>
          <w:color w:val="auto"/>
          <w:spacing w:val="0"/>
          <w:kern w:val="24"/>
          <w:highlight w:val="none"/>
          <w:lang w:val="en-US" w:eastAsia="zh-CN"/>
        </w:rPr>
        <w:t>12</w:t>
      </w:r>
      <w:r>
        <w:rPr>
          <w:rFonts w:hint="default" w:ascii="Times New Roman" w:hAnsi="Times New Roman" w:cs="Times New Roman"/>
          <w:color w:val="auto"/>
          <w:spacing w:val="0"/>
          <w:kern w:val="24"/>
          <w:highlight w:val="none"/>
        </w:rPr>
        <w:t>辆，私家车日极限车辆流量约为</w:t>
      </w:r>
      <w:r>
        <w:rPr>
          <w:rFonts w:hint="default" w:ascii="Times New Roman" w:hAnsi="Times New Roman" w:cs="Times New Roman"/>
          <w:color w:val="auto"/>
          <w:spacing w:val="0"/>
          <w:kern w:val="24"/>
          <w:highlight w:val="none"/>
          <w:lang w:val="en-US" w:eastAsia="zh-CN"/>
        </w:rPr>
        <w:t>639</w:t>
      </w:r>
      <w:r>
        <w:rPr>
          <w:rFonts w:hint="default" w:ascii="Times New Roman" w:hAnsi="Times New Roman" w:cs="Times New Roman"/>
          <w:color w:val="auto"/>
          <w:spacing w:val="0"/>
          <w:kern w:val="24"/>
          <w:highlight w:val="none"/>
        </w:rPr>
        <w:t>辆。</w:t>
      </w:r>
    </w:p>
    <w:p w14:paraId="00163C30">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根据景区自身路况，参照城市用油量资料，平均耗油量按0.20L/km·辆计，汽油的密度取0.73kg/L，柴油的密度取0.83kg/L，每辆车在景区内平均行驶距离取1</w:t>
      </w:r>
      <w:r>
        <w:rPr>
          <w:rFonts w:hint="default" w:ascii="Times New Roman" w:hAnsi="Times New Roman" w:cs="Times New Roman"/>
          <w:color w:val="auto"/>
          <w:spacing w:val="0"/>
          <w:kern w:val="24"/>
          <w:highlight w:val="none"/>
          <w:lang w:val="en-US" w:eastAsia="zh-CN"/>
        </w:rPr>
        <w:t>5</w:t>
      </w:r>
      <w:r>
        <w:rPr>
          <w:rFonts w:hint="default" w:ascii="Times New Roman" w:hAnsi="Times New Roman" w:cs="Times New Roman"/>
          <w:color w:val="auto"/>
          <w:spacing w:val="0"/>
          <w:kern w:val="24"/>
          <w:highlight w:val="none"/>
        </w:rPr>
        <w:t>km（驶入规划区停车场及驶出规划区）。燃油排放系数来自《环境保护实用数据手册》，预测车流量以及汽车尾气污染负荷见表5.2-11和表5.2-12。</w:t>
      </w:r>
    </w:p>
    <w:p w14:paraId="700FA5D2">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表5.2-11  景区建成后交通量及耗油量估算</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1818"/>
        <w:gridCol w:w="2126"/>
        <w:gridCol w:w="1698"/>
        <w:gridCol w:w="1698"/>
      </w:tblGrid>
      <w:tr w14:paraId="4E95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235965D3">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情景模式</w:t>
            </w:r>
          </w:p>
        </w:tc>
        <w:tc>
          <w:tcPr>
            <w:tcW w:w="1818" w:type="dxa"/>
            <w:vAlign w:val="center"/>
          </w:tcPr>
          <w:p w14:paraId="37A40C92">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景区内行驶里程</w:t>
            </w:r>
          </w:p>
        </w:tc>
        <w:tc>
          <w:tcPr>
            <w:tcW w:w="2126" w:type="dxa"/>
            <w:vAlign w:val="center"/>
          </w:tcPr>
          <w:p w14:paraId="2B830A5E">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预计车流量（辆/d）</w:t>
            </w:r>
          </w:p>
        </w:tc>
        <w:tc>
          <w:tcPr>
            <w:tcW w:w="3396" w:type="dxa"/>
            <w:gridSpan w:val="2"/>
            <w:vAlign w:val="center"/>
          </w:tcPr>
          <w:p w14:paraId="5D317D02">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景区内车辆耗油量（kg/d）</w:t>
            </w:r>
          </w:p>
        </w:tc>
      </w:tr>
      <w:tr w14:paraId="23AF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restart"/>
            <w:vAlign w:val="center"/>
          </w:tcPr>
          <w:p w14:paraId="5A472422">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kern w:val="24"/>
                <w:highlight w:val="none"/>
              </w:rPr>
              <w:t>情景一：一般情况</w:t>
            </w:r>
          </w:p>
        </w:tc>
        <w:tc>
          <w:tcPr>
            <w:tcW w:w="1818" w:type="dxa"/>
            <w:vMerge w:val="restart"/>
            <w:vAlign w:val="center"/>
          </w:tcPr>
          <w:p w14:paraId="764204C4">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1</w:t>
            </w:r>
            <w:r>
              <w:rPr>
                <w:rFonts w:hint="default" w:ascii="Times New Roman" w:hAnsi="Times New Roman" w:cs="Times New Roman" w:eastAsiaTheme="minorEastAsia"/>
                <w:color w:val="auto"/>
                <w:szCs w:val="21"/>
                <w:highlight w:val="none"/>
                <w:lang w:val="en-US" w:eastAsia="zh-CN"/>
              </w:rPr>
              <w:t>5</w:t>
            </w:r>
            <w:r>
              <w:rPr>
                <w:rFonts w:hint="default" w:ascii="Times New Roman" w:hAnsi="Times New Roman" w:cs="Times New Roman" w:eastAsiaTheme="minorEastAsia"/>
                <w:color w:val="auto"/>
                <w:szCs w:val="21"/>
                <w:highlight w:val="none"/>
              </w:rPr>
              <w:t>km</w:t>
            </w:r>
          </w:p>
        </w:tc>
        <w:tc>
          <w:tcPr>
            <w:tcW w:w="2126" w:type="dxa"/>
            <w:vAlign w:val="center"/>
          </w:tcPr>
          <w:p w14:paraId="5DBDB9EE">
            <w:pPr>
              <w:pStyle w:val="28"/>
              <w:tabs>
                <w:tab w:val="left" w:pos="840"/>
              </w:tabs>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435</w:t>
            </w:r>
          </w:p>
        </w:tc>
        <w:tc>
          <w:tcPr>
            <w:tcW w:w="1698" w:type="dxa"/>
            <w:vAlign w:val="center"/>
          </w:tcPr>
          <w:p w14:paraId="5292BA7F">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汽油</w:t>
            </w:r>
          </w:p>
        </w:tc>
        <w:tc>
          <w:tcPr>
            <w:tcW w:w="1698" w:type="dxa"/>
            <w:vAlign w:val="center"/>
          </w:tcPr>
          <w:p w14:paraId="62098E93">
            <w:pPr>
              <w:pStyle w:val="28"/>
              <w:tabs>
                <w:tab w:val="left" w:pos="840"/>
              </w:tabs>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952.65</w:t>
            </w:r>
          </w:p>
        </w:tc>
      </w:tr>
      <w:tr w14:paraId="6D3D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continue"/>
            <w:vAlign w:val="center"/>
          </w:tcPr>
          <w:p w14:paraId="1F0B055A">
            <w:pPr>
              <w:pStyle w:val="28"/>
              <w:tabs>
                <w:tab w:val="left" w:pos="840"/>
              </w:tabs>
              <w:jc w:val="center"/>
              <w:rPr>
                <w:rFonts w:hint="default" w:ascii="Times New Roman" w:hAnsi="Times New Roman" w:cs="Times New Roman" w:eastAsiaTheme="minorEastAsia"/>
                <w:color w:val="auto"/>
                <w:szCs w:val="21"/>
                <w:highlight w:val="none"/>
              </w:rPr>
            </w:pPr>
          </w:p>
        </w:tc>
        <w:tc>
          <w:tcPr>
            <w:tcW w:w="1818" w:type="dxa"/>
            <w:vMerge w:val="continue"/>
            <w:vAlign w:val="center"/>
          </w:tcPr>
          <w:p w14:paraId="04D90778">
            <w:pPr>
              <w:pStyle w:val="28"/>
              <w:tabs>
                <w:tab w:val="left" w:pos="840"/>
              </w:tabs>
              <w:jc w:val="center"/>
              <w:rPr>
                <w:rFonts w:hint="default" w:ascii="Times New Roman" w:hAnsi="Times New Roman" w:cs="Times New Roman" w:eastAsiaTheme="minorEastAsia"/>
                <w:color w:val="auto"/>
                <w:szCs w:val="21"/>
                <w:highlight w:val="none"/>
              </w:rPr>
            </w:pPr>
          </w:p>
        </w:tc>
        <w:tc>
          <w:tcPr>
            <w:tcW w:w="2126" w:type="dxa"/>
            <w:vAlign w:val="center"/>
          </w:tcPr>
          <w:p w14:paraId="15003BCC">
            <w:pPr>
              <w:pStyle w:val="28"/>
              <w:tabs>
                <w:tab w:val="left" w:pos="840"/>
              </w:tabs>
              <w:jc w:val="center"/>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eastAsiaTheme="minorEastAsia"/>
                <w:color w:val="auto"/>
                <w:szCs w:val="21"/>
                <w:highlight w:val="none"/>
                <w:lang w:val="en-US" w:eastAsia="zh-CN"/>
              </w:rPr>
              <w:t>8</w:t>
            </w:r>
          </w:p>
        </w:tc>
        <w:tc>
          <w:tcPr>
            <w:tcW w:w="1698" w:type="dxa"/>
            <w:vAlign w:val="center"/>
          </w:tcPr>
          <w:p w14:paraId="4502B33D">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柴油</w:t>
            </w:r>
          </w:p>
        </w:tc>
        <w:tc>
          <w:tcPr>
            <w:tcW w:w="1698" w:type="dxa"/>
            <w:vAlign w:val="center"/>
          </w:tcPr>
          <w:p w14:paraId="13A2F27F">
            <w:pPr>
              <w:pStyle w:val="28"/>
              <w:tabs>
                <w:tab w:val="left" w:pos="840"/>
              </w:tabs>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19.92</w:t>
            </w:r>
          </w:p>
        </w:tc>
      </w:tr>
      <w:tr w14:paraId="694E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restart"/>
            <w:vAlign w:val="center"/>
          </w:tcPr>
          <w:p w14:paraId="70944EE1">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kern w:val="24"/>
                <w:highlight w:val="none"/>
              </w:rPr>
              <w:t>情景二：特殊情况</w:t>
            </w:r>
          </w:p>
        </w:tc>
        <w:tc>
          <w:tcPr>
            <w:tcW w:w="1818" w:type="dxa"/>
            <w:vMerge w:val="continue"/>
            <w:vAlign w:val="center"/>
          </w:tcPr>
          <w:p w14:paraId="04A2F2AC">
            <w:pPr>
              <w:pStyle w:val="28"/>
              <w:tabs>
                <w:tab w:val="left" w:pos="840"/>
              </w:tabs>
              <w:jc w:val="center"/>
              <w:rPr>
                <w:rFonts w:hint="default" w:ascii="Times New Roman" w:hAnsi="Times New Roman" w:cs="Times New Roman" w:eastAsiaTheme="minorEastAsia"/>
                <w:color w:val="auto"/>
                <w:szCs w:val="21"/>
                <w:highlight w:val="none"/>
              </w:rPr>
            </w:pPr>
          </w:p>
        </w:tc>
        <w:tc>
          <w:tcPr>
            <w:tcW w:w="2126" w:type="dxa"/>
            <w:vAlign w:val="center"/>
          </w:tcPr>
          <w:p w14:paraId="7A44575E">
            <w:pPr>
              <w:pStyle w:val="28"/>
              <w:tabs>
                <w:tab w:val="left" w:pos="840"/>
              </w:tabs>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639</w:t>
            </w:r>
          </w:p>
        </w:tc>
        <w:tc>
          <w:tcPr>
            <w:tcW w:w="1698" w:type="dxa"/>
            <w:vAlign w:val="center"/>
          </w:tcPr>
          <w:p w14:paraId="2AD8BBC4">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汽油</w:t>
            </w:r>
          </w:p>
        </w:tc>
        <w:tc>
          <w:tcPr>
            <w:tcW w:w="1698" w:type="dxa"/>
            <w:vAlign w:val="center"/>
          </w:tcPr>
          <w:p w14:paraId="57A8298A">
            <w:pPr>
              <w:pStyle w:val="28"/>
              <w:tabs>
                <w:tab w:val="left" w:pos="840"/>
              </w:tabs>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1399.41</w:t>
            </w:r>
          </w:p>
        </w:tc>
      </w:tr>
      <w:tr w14:paraId="5344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continue"/>
            <w:vAlign w:val="center"/>
          </w:tcPr>
          <w:p w14:paraId="03216254">
            <w:pPr>
              <w:pStyle w:val="28"/>
              <w:tabs>
                <w:tab w:val="left" w:pos="840"/>
              </w:tabs>
              <w:jc w:val="center"/>
              <w:rPr>
                <w:rFonts w:hint="default" w:ascii="Times New Roman" w:hAnsi="Times New Roman" w:cs="Times New Roman" w:eastAsiaTheme="minorEastAsia"/>
                <w:color w:val="auto"/>
                <w:szCs w:val="21"/>
                <w:highlight w:val="none"/>
              </w:rPr>
            </w:pPr>
          </w:p>
        </w:tc>
        <w:tc>
          <w:tcPr>
            <w:tcW w:w="1818" w:type="dxa"/>
            <w:vMerge w:val="continue"/>
            <w:vAlign w:val="center"/>
          </w:tcPr>
          <w:p w14:paraId="32C5DFDF">
            <w:pPr>
              <w:pStyle w:val="28"/>
              <w:tabs>
                <w:tab w:val="left" w:pos="840"/>
              </w:tabs>
              <w:jc w:val="center"/>
              <w:rPr>
                <w:rFonts w:hint="default" w:ascii="Times New Roman" w:hAnsi="Times New Roman" w:cs="Times New Roman" w:eastAsiaTheme="minorEastAsia"/>
                <w:color w:val="auto"/>
                <w:szCs w:val="21"/>
                <w:highlight w:val="none"/>
              </w:rPr>
            </w:pPr>
          </w:p>
        </w:tc>
        <w:tc>
          <w:tcPr>
            <w:tcW w:w="2126" w:type="dxa"/>
            <w:vAlign w:val="center"/>
          </w:tcPr>
          <w:p w14:paraId="6C2A400F">
            <w:pPr>
              <w:pStyle w:val="28"/>
              <w:tabs>
                <w:tab w:val="left" w:pos="840"/>
              </w:tabs>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12</w:t>
            </w:r>
          </w:p>
        </w:tc>
        <w:tc>
          <w:tcPr>
            <w:tcW w:w="1698" w:type="dxa"/>
            <w:vAlign w:val="center"/>
          </w:tcPr>
          <w:p w14:paraId="2BE86C52">
            <w:pPr>
              <w:pStyle w:val="28"/>
              <w:tabs>
                <w:tab w:val="left" w:pos="840"/>
              </w:tabs>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柴油</w:t>
            </w:r>
          </w:p>
        </w:tc>
        <w:tc>
          <w:tcPr>
            <w:tcW w:w="1698" w:type="dxa"/>
            <w:vAlign w:val="center"/>
          </w:tcPr>
          <w:p w14:paraId="0E905CC9">
            <w:pPr>
              <w:pStyle w:val="28"/>
              <w:tabs>
                <w:tab w:val="left" w:pos="840"/>
              </w:tabs>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29.88</w:t>
            </w:r>
          </w:p>
        </w:tc>
      </w:tr>
    </w:tbl>
    <w:p w14:paraId="7B74C76F">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表5.2-12  景区建成后汽车尾气污染物排放情况汇总</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50"/>
        <w:gridCol w:w="1203"/>
        <w:gridCol w:w="1204"/>
        <w:gridCol w:w="1204"/>
        <w:gridCol w:w="1204"/>
        <w:gridCol w:w="1204"/>
        <w:gridCol w:w="1204"/>
      </w:tblGrid>
      <w:tr w14:paraId="7184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14:paraId="4A13FA0A">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情景模式</w:t>
            </w:r>
          </w:p>
        </w:tc>
        <w:tc>
          <w:tcPr>
            <w:tcW w:w="850" w:type="dxa"/>
            <w:vMerge w:val="restart"/>
            <w:vAlign w:val="center"/>
          </w:tcPr>
          <w:p w14:paraId="7B6C3044">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污染物</w:t>
            </w:r>
          </w:p>
        </w:tc>
        <w:tc>
          <w:tcPr>
            <w:tcW w:w="2407" w:type="dxa"/>
            <w:gridSpan w:val="2"/>
            <w:vAlign w:val="center"/>
          </w:tcPr>
          <w:p w14:paraId="00848A5B">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私家车（汽油发动机）</w:t>
            </w:r>
          </w:p>
        </w:tc>
        <w:tc>
          <w:tcPr>
            <w:tcW w:w="2408" w:type="dxa"/>
            <w:gridSpan w:val="2"/>
            <w:vAlign w:val="center"/>
          </w:tcPr>
          <w:p w14:paraId="77BC7D07">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旅游大巴（柴油发动机）</w:t>
            </w:r>
          </w:p>
        </w:tc>
        <w:tc>
          <w:tcPr>
            <w:tcW w:w="2408" w:type="dxa"/>
            <w:gridSpan w:val="2"/>
            <w:vAlign w:val="center"/>
          </w:tcPr>
          <w:p w14:paraId="151569B0">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汽车尾气排放合计</w:t>
            </w:r>
          </w:p>
        </w:tc>
      </w:tr>
      <w:tr w14:paraId="566E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778F1686">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850" w:type="dxa"/>
            <w:vMerge w:val="continue"/>
            <w:vAlign w:val="center"/>
          </w:tcPr>
          <w:p w14:paraId="476002FF">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1203" w:type="dxa"/>
            <w:vAlign w:val="center"/>
          </w:tcPr>
          <w:p w14:paraId="495FD544">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排放系数</w:t>
            </w:r>
          </w:p>
          <w:p w14:paraId="7C85695E">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（kg/t）</w:t>
            </w:r>
          </w:p>
        </w:tc>
        <w:tc>
          <w:tcPr>
            <w:tcW w:w="1204" w:type="dxa"/>
            <w:vAlign w:val="center"/>
          </w:tcPr>
          <w:p w14:paraId="252828EC">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污染负荷</w:t>
            </w:r>
          </w:p>
          <w:p w14:paraId="10B69D42">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（kg/d）</w:t>
            </w:r>
          </w:p>
        </w:tc>
        <w:tc>
          <w:tcPr>
            <w:tcW w:w="1204" w:type="dxa"/>
            <w:vAlign w:val="center"/>
          </w:tcPr>
          <w:p w14:paraId="48BBB74E">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排放系数</w:t>
            </w:r>
          </w:p>
          <w:p w14:paraId="64740C5E">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（kg/t）</w:t>
            </w:r>
          </w:p>
        </w:tc>
        <w:tc>
          <w:tcPr>
            <w:tcW w:w="1204" w:type="dxa"/>
            <w:vAlign w:val="center"/>
          </w:tcPr>
          <w:p w14:paraId="530B549A">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污染负荷</w:t>
            </w:r>
          </w:p>
          <w:p w14:paraId="74B98BB5">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（kg/d）</w:t>
            </w:r>
          </w:p>
        </w:tc>
        <w:tc>
          <w:tcPr>
            <w:tcW w:w="1204" w:type="dxa"/>
            <w:vAlign w:val="center"/>
          </w:tcPr>
          <w:p w14:paraId="0D3190F3">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污染负荷</w:t>
            </w:r>
          </w:p>
          <w:p w14:paraId="419266DC">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（kg/d）</w:t>
            </w:r>
          </w:p>
        </w:tc>
        <w:tc>
          <w:tcPr>
            <w:tcW w:w="1204" w:type="dxa"/>
            <w:vAlign w:val="center"/>
          </w:tcPr>
          <w:p w14:paraId="2880E2AF">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污染负荷</w:t>
            </w:r>
          </w:p>
          <w:p w14:paraId="73852877">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（t/a）</w:t>
            </w:r>
          </w:p>
        </w:tc>
      </w:tr>
      <w:tr w14:paraId="269E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14:paraId="61DB2A51">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情景一：一般情况</w:t>
            </w:r>
          </w:p>
        </w:tc>
        <w:tc>
          <w:tcPr>
            <w:tcW w:w="850" w:type="dxa"/>
            <w:vAlign w:val="center"/>
          </w:tcPr>
          <w:p w14:paraId="2FF3414A">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CO</w:t>
            </w:r>
          </w:p>
        </w:tc>
        <w:tc>
          <w:tcPr>
            <w:tcW w:w="1203" w:type="dxa"/>
            <w:vAlign w:val="center"/>
          </w:tcPr>
          <w:p w14:paraId="221C81E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169</w:t>
            </w:r>
          </w:p>
        </w:tc>
        <w:tc>
          <w:tcPr>
            <w:tcW w:w="1204" w:type="dxa"/>
            <w:vAlign w:val="center"/>
          </w:tcPr>
          <w:p w14:paraId="3AAF9850">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160.998 </w:t>
            </w:r>
          </w:p>
        </w:tc>
        <w:tc>
          <w:tcPr>
            <w:tcW w:w="1204" w:type="dxa"/>
            <w:vAlign w:val="center"/>
          </w:tcPr>
          <w:p w14:paraId="7D730D6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27</w:t>
            </w:r>
          </w:p>
        </w:tc>
        <w:tc>
          <w:tcPr>
            <w:tcW w:w="1204" w:type="dxa"/>
            <w:vAlign w:val="center"/>
          </w:tcPr>
          <w:p w14:paraId="41D6082D">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0.538 </w:t>
            </w:r>
          </w:p>
        </w:tc>
        <w:tc>
          <w:tcPr>
            <w:tcW w:w="1204" w:type="dxa"/>
            <w:vAlign w:val="center"/>
          </w:tcPr>
          <w:p w14:paraId="4B048595">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161.536 </w:t>
            </w:r>
          </w:p>
        </w:tc>
        <w:tc>
          <w:tcPr>
            <w:tcW w:w="1204" w:type="dxa"/>
            <w:vAlign w:val="center"/>
          </w:tcPr>
          <w:p w14:paraId="078579CD">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39.576 </w:t>
            </w:r>
          </w:p>
        </w:tc>
      </w:tr>
      <w:tr w14:paraId="4452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266FCB24">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850" w:type="dxa"/>
            <w:vAlign w:val="center"/>
          </w:tcPr>
          <w:p w14:paraId="29D0D874">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NO</w:t>
            </w:r>
            <w:r>
              <w:rPr>
                <w:rFonts w:hint="default" w:ascii="Times New Roman" w:hAnsi="Times New Roman" w:cs="Times New Roman" w:eastAsiaTheme="minorEastAsia"/>
                <w:color w:val="auto"/>
                <w:spacing w:val="0"/>
                <w:kern w:val="24"/>
                <w:sz w:val="21"/>
                <w:szCs w:val="21"/>
                <w:highlight w:val="none"/>
                <w:vertAlign w:val="subscript"/>
              </w:rPr>
              <w:t>x</w:t>
            </w:r>
          </w:p>
        </w:tc>
        <w:tc>
          <w:tcPr>
            <w:tcW w:w="1203" w:type="dxa"/>
            <w:vAlign w:val="center"/>
          </w:tcPr>
          <w:p w14:paraId="4C0CB2B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tc>
        <w:tc>
          <w:tcPr>
            <w:tcW w:w="1204" w:type="dxa"/>
            <w:vAlign w:val="center"/>
          </w:tcPr>
          <w:p w14:paraId="1E30980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20.101 </w:t>
            </w:r>
          </w:p>
        </w:tc>
        <w:tc>
          <w:tcPr>
            <w:tcW w:w="1204" w:type="dxa"/>
            <w:vAlign w:val="center"/>
          </w:tcPr>
          <w:p w14:paraId="494623C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44.4</w:t>
            </w:r>
          </w:p>
        </w:tc>
        <w:tc>
          <w:tcPr>
            <w:tcW w:w="1204" w:type="dxa"/>
            <w:vAlign w:val="center"/>
          </w:tcPr>
          <w:p w14:paraId="22D8840F">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0.884 </w:t>
            </w:r>
          </w:p>
        </w:tc>
        <w:tc>
          <w:tcPr>
            <w:tcW w:w="1204" w:type="dxa"/>
            <w:vAlign w:val="center"/>
          </w:tcPr>
          <w:p w14:paraId="674EEE57">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20.985 </w:t>
            </w:r>
          </w:p>
        </w:tc>
        <w:tc>
          <w:tcPr>
            <w:tcW w:w="1204" w:type="dxa"/>
            <w:vAlign w:val="center"/>
          </w:tcPr>
          <w:p w14:paraId="5A1A76F7">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5.141 </w:t>
            </w:r>
          </w:p>
        </w:tc>
      </w:tr>
      <w:tr w14:paraId="4310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36FAEA4E">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850" w:type="dxa"/>
            <w:vAlign w:val="center"/>
          </w:tcPr>
          <w:p w14:paraId="52FB7AB7">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HC</w:t>
            </w:r>
          </w:p>
        </w:tc>
        <w:tc>
          <w:tcPr>
            <w:tcW w:w="1203" w:type="dxa"/>
            <w:vAlign w:val="center"/>
          </w:tcPr>
          <w:p w14:paraId="149FAA2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w:t>
            </w:r>
          </w:p>
        </w:tc>
        <w:tc>
          <w:tcPr>
            <w:tcW w:w="1204" w:type="dxa"/>
            <w:vAlign w:val="center"/>
          </w:tcPr>
          <w:p w14:paraId="4C4F74A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31.723 </w:t>
            </w:r>
          </w:p>
        </w:tc>
        <w:tc>
          <w:tcPr>
            <w:tcW w:w="1204" w:type="dxa"/>
            <w:vAlign w:val="center"/>
          </w:tcPr>
          <w:p w14:paraId="1F3C213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4.44</w:t>
            </w:r>
          </w:p>
        </w:tc>
        <w:tc>
          <w:tcPr>
            <w:tcW w:w="1204" w:type="dxa"/>
            <w:vAlign w:val="center"/>
          </w:tcPr>
          <w:p w14:paraId="60D3D575">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0.088 </w:t>
            </w:r>
          </w:p>
        </w:tc>
        <w:tc>
          <w:tcPr>
            <w:tcW w:w="1204" w:type="dxa"/>
            <w:vAlign w:val="center"/>
          </w:tcPr>
          <w:p w14:paraId="39B0E177">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31.812 </w:t>
            </w:r>
          </w:p>
        </w:tc>
        <w:tc>
          <w:tcPr>
            <w:tcW w:w="1204" w:type="dxa"/>
            <w:vAlign w:val="center"/>
          </w:tcPr>
          <w:p w14:paraId="51C664A7">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7.794 </w:t>
            </w:r>
          </w:p>
        </w:tc>
      </w:tr>
      <w:tr w14:paraId="1F6F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14:paraId="5E9BBDD4">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情景二：特殊情况</w:t>
            </w:r>
          </w:p>
        </w:tc>
        <w:tc>
          <w:tcPr>
            <w:tcW w:w="850" w:type="dxa"/>
            <w:vAlign w:val="center"/>
          </w:tcPr>
          <w:p w14:paraId="17CE63E1">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CO</w:t>
            </w:r>
          </w:p>
        </w:tc>
        <w:tc>
          <w:tcPr>
            <w:tcW w:w="1203" w:type="dxa"/>
            <w:vAlign w:val="center"/>
          </w:tcPr>
          <w:p w14:paraId="63DA7DD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169</w:t>
            </w:r>
          </w:p>
        </w:tc>
        <w:tc>
          <w:tcPr>
            <w:tcW w:w="1204" w:type="dxa"/>
            <w:vAlign w:val="center"/>
          </w:tcPr>
          <w:p w14:paraId="501B59E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236.500 </w:t>
            </w:r>
          </w:p>
        </w:tc>
        <w:tc>
          <w:tcPr>
            <w:tcW w:w="1204" w:type="dxa"/>
            <w:vAlign w:val="center"/>
          </w:tcPr>
          <w:p w14:paraId="4455E6B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27</w:t>
            </w:r>
          </w:p>
        </w:tc>
        <w:tc>
          <w:tcPr>
            <w:tcW w:w="1204" w:type="dxa"/>
            <w:vAlign w:val="center"/>
          </w:tcPr>
          <w:p w14:paraId="2E80B97F">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0.807 </w:t>
            </w:r>
          </w:p>
        </w:tc>
        <w:tc>
          <w:tcPr>
            <w:tcW w:w="1204" w:type="dxa"/>
            <w:vAlign w:val="center"/>
          </w:tcPr>
          <w:p w14:paraId="1B590DC3">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237.307 </w:t>
            </w:r>
          </w:p>
        </w:tc>
        <w:tc>
          <w:tcPr>
            <w:tcW w:w="1204" w:type="dxa"/>
            <w:vAlign w:val="center"/>
          </w:tcPr>
          <w:p w14:paraId="4271B66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75FF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0B41758C">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850" w:type="dxa"/>
            <w:vAlign w:val="center"/>
          </w:tcPr>
          <w:p w14:paraId="69472C69">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NO</w:t>
            </w:r>
            <w:r>
              <w:rPr>
                <w:rFonts w:hint="default" w:ascii="Times New Roman" w:hAnsi="Times New Roman" w:cs="Times New Roman" w:eastAsiaTheme="minorEastAsia"/>
                <w:color w:val="auto"/>
                <w:spacing w:val="0"/>
                <w:kern w:val="24"/>
                <w:sz w:val="21"/>
                <w:szCs w:val="21"/>
                <w:highlight w:val="none"/>
                <w:vertAlign w:val="subscript"/>
              </w:rPr>
              <w:t>x</w:t>
            </w:r>
          </w:p>
        </w:tc>
        <w:tc>
          <w:tcPr>
            <w:tcW w:w="1203" w:type="dxa"/>
            <w:vAlign w:val="center"/>
          </w:tcPr>
          <w:p w14:paraId="6A7FACF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tc>
        <w:tc>
          <w:tcPr>
            <w:tcW w:w="1204" w:type="dxa"/>
            <w:vAlign w:val="center"/>
          </w:tcPr>
          <w:p w14:paraId="3F1B13A9">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29.528 </w:t>
            </w:r>
          </w:p>
        </w:tc>
        <w:tc>
          <w:tcPr>
            <w:tcW w:w="1204" w:type="dxa"/>
            <w:vAlign w:val="center"/>
          </w:tcPr>
          <w:p w14:paraId="0CCE206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44.4</w:t>
            </w:r>
          </w:p>
        </w:tc>
        <w:tc>
          <w:tcPr>
            <w:tcW w:w="1204" w:type="dxa"/>
            <w:vAlign w:val="center"/>
          </w:tcPr>
          <w:p w14:paraId="5ABCBE84">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1.327 </w:t>
            </w:r>
          </w:p>
        </w:tc>
        <w:tc>
          <w:tcPr>
            <w:tcW w:w="1204" w:type="dxa"/>
            <w:vAlign w:val="center"/>
          </w:tcPr>
          <w:p w14:paraId="15E5BE46">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30.854 </w:t>
            </w:r>
          </w:p>
        </w:tc>
        <w:tc>
          <w:tcPr>
            <w:tcW w:w="1204" w:type="dxa"/>
            <w:vAlign w:val="center"/>
          </w:tcPr>
          <w:p w14:paraId="29C1419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3B75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5C7F1765">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850" w:type="dxa"/>
            <w:vAlign w:val="center"/>
          </w:tcPr>
          <w:p w14:paraId="12B15B21">
            <w:pPr>
              <w:pStyle w:val="545"/>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HC</w:t>
            </w:r>
          </w:p>
        </w:tc>
        <w:tc>
          <w:tcPr>
            <w:tcW w:w="1203" w:type="dxa"/>
            <w:vAlign w:val="center"/>
          </w:tcPr>
          <w:p w14:paraId="3901C7D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w:t>
            </w:r>
          </w:p>
        </w:tc>
        <w:tc>
          <w:tcPr>
            <w:tcW w:w="1204" w:type="dxa"/>
            <w:vAlign w:val="center"/>
          </w:tcPr>
          <w:p w14:paraId="145D8969">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46.600 </w:t>
            </w:r>
          </w:p>
        </w:tc>
        <w:tc>
          <w:tcPr>
            <w:tcW w:w="1204" w:type="dxa"/>
            <w:vAlign w:val="center"/>
          </w:tcPr>
          <w:p w14:paraId="636D3AF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4.44</w:t>
            </w:r>
          </w:p>
        </w:tc>
        <w:tc>
          <w:tcPr>
            <w:tcW w:w="1204" w:type="dxa"/>
            <w:vAlign w:val="center"/>
          </w:tcPr>
          <w:p w14:paraId="707CDE70">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0.133 </w:t>
            </w:r>
          </w:p>
        </w:tc>
        <w:tc>
          <w:tcPr>
            <w:tcW w:w="1204" w:type="dxa"/>
            <w:vAlign w:val="center"/>
          </w:tcPr>
          <w:p w14:paraId="016E696D">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46.733 </w:t>
            </w:r>
          </w:p>
        </w:tc>
        <w:tc>
          <w:tcPr>
            <w:tcW w:w="1204" w:type="dxa"/>
            <w:vAlign w:val="center"/>
          </w:tcPr>
          <w:p w14:paraId="03CF1C1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14:paraId="25AD8688">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（四）恶臭</w:t>
      </w:r>
    </w:p>
    <w:p w14:paraId="7EE8B51A">
      <w:pPr>
        <w:pStyle w:val="545"/>
        <w:spacing w:line="360" w:lineRule="auto"/>
        <w:rPr>
          <w:rFonts w:hint="default" w:ascii="Times New Roman" w:hAnsi="Times New Roman" w:eastAsia="宋体" w:cs="Times New Roman"/>
          <w:color w:val="auto"/>
          <w:spacing w:val="0"/>
          <w:kern w:val="24"/>
          <w:highlight w:val="none"/>
          <w:lang w:eastAsia="zh-CN"/>
        </w:rPr>
      </w:pPr>
      <w:r>
        <w:rPr>
          <w:rFonts w:hint="default" w:ascii="Times New Roman" w:hAnsi="Times New Roman" w:cs="Times New Roman"/>
          <w:color w:val="auto"/>
          <w:spacing w:val="0"/>
          <w:kern w:val="24"/>
          <w:highlight w:val="none"/>
        </w:rPr>
        <w:t>恶臭气体主要来源于</w:t>
      </w:r>
      <w:r>
        <w:rPr>
          <w:rFonts w:hint="default" w:ascii="Times New Roman" w:hAnsi="Times New Roman" w:cs="Times New Roman"/>
          <w:color w:val="auto"/>
          <w:spacing w:val="0"/>
          <w:kern w:val="24"/>
          <w:highlight w:val="none"/>
          <w:lang w:eastAsia="zh-CN"/>
        </w:rPr>
        <w:t>垃圾桶</w:t>
      </w:r>
      <w:r>
        <w:rPr>
          <w:rFonts w:hint="default" w:ascii="Times New Roman" w:hAnsi="Times New Roman" w:cs="Times New Roman"/>
          <w:color w:val="auto"/>
          <w:spacing w:val="0"/>
          <w:kern w:val="24"/>
          <w:highlight w:val="none"/>
        </w:rPr>
        <w:t>。</w:t>
      </w:r>
    </w:p>
    <w:p w14:paraId="428E2A40">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生活垃圾在堆放过程中发酵产生臭气，在氧气量足够时垃圾中的有机</w:t>
      </w:r>
      <w:r>
        <w:rPr>
          <w:rFonts w:hint="default" w:ascii="Times New Roman" w:hAnsi="Times New Roman" w:cs="Times New Roman"/>
          <w:color w:val="auto"/>
          <w:spacing w:val="0"/>
          <w:kern w:val="24"/>
          <w:highlight w:val="none"/>
          <w:lang w:eastAsia="zh-CN"/>
        </w:rPr>
        <w:t>成分</w:t>
      </w:r>
      <w:r>
        <w:rPr>
          <w:rFonts w:hint="default" w:ascii="Times New Roman" w:hAnsi="Times New Roman" w:cs="Times New Roman"/>
          <w:color w:val="auto"/>
          <w:spacing w:val="0"/>
          <w:kern w:val="24"/>
          <w:highlight w:val="none"/>
        </w:rPr>
        <w:t>如蛋白质等在好氧细菌作用下产生NH</w:t>
      </w:r>
      <w:r>
        <w:rPr>
          <w:rFonts w:hint="default" w:ascii="Times New Roman" w:hAnsi="Times New Roman" w:cs="Times New Roman"/>
          <w:color w:val="auto"/>
          <w:spacing w:val="0"/>
          <w:kern w:val="24"/>
          <w:highlight w:val="none"/>
          <w:vertAlign w:val="subscript"/>
        </w:rPr>
        <w:t>3</w:t>
      </w:r>
      <w:r>
        <w:rPr>
          <w:rFonts w:hint="default" w:ascii="Times New Roman" w:hAnsi="Times New Roman" w:cs="Times New Roman"/>
          <w:color w:val="auto"/>
          <w:spacing w:val="0"/>
          <w:kern w:val="24"/>
          <w:highlight w:val="none"/>
        </w:rPr>
        <w:t>，在氧气不足时厌氧细菌将有机物分解成不彻底的氧化产物H</w:t>
      </w:r>
      <w:r>
        <w:rPr>
          <w:rFonts w:hint="default" w:ascii="Times New Roman" w:hAnsi="Times New Roman" w:cs="Times New Roman"/>
          <w:color w:val="auto"/>
          <w:spacing w:val="0"/>
          <w:kern w:val="24"/>
          <w:highlight w:val="none"/>
          <w:vertAlign w:val="subscript"/>
        </w:rPr>
        <w:t>2</w:t>
      </w:r>
      <w:r>
        <w:rPr>
          <w:rFonts w:hint="default" w:ascii="Times New Roman" w:hAnsi="Times New Roman" w:cs="Times New Roman"/>
          <w:color w:val="auto"/>
          <w:spacing w:val="0"/>
          <w:kern w:val="24"/>
          <w:highlight w:val="none"/>
        </w:rPr>
        <w:t>S和NH</w:t>
      </w:r>
      <w:r>
        <w:rPr>
          <w:rFonts w:hint="default" w:ascii="Times New Roman" w:hAnsi="Times New Roman" w:cs="Times New Roman"/>
          <w:color w:val="auto"/>
          <w:spacing w:val="0"/>
          <w:kern w:val="24"/>
          <w:highlight w:val="none"/>
          <w:vertAlign w:val="subscript"/>
        </w:rPr>
        <w:t>3</w:t>
      </w:r>
      <w:r>
        <w:rPr>
          <w:rFonts w:hint="default" w:ascii="Times New Roman" w:hAnsi="Times New Roman" w:cs="Times New Roman"/>
          <w:color w:val="auto"/>
          <w:spacing w:val="0"/>
          <w:kern w:val="24"/>
          <w:highlight w:val="none"/>
        </w:rPr>
        <w:t>、SO</w:t>
      </w:r>
      <w:r>
        <w:rPr>
          <w:rFonts w:hint="default" w:ascii="Times New Roman" w:hAnsi="Times New Roman" w:cs="Times New Roman"/>
          <w:color w:val="auto"/>
          <w:spacing w:val="0"/>
          <w:kern w:val="24"/>
          <w:highlight w:val="none"/>
          <w:vertAlign w:val="subscript"/>
        </w:rPr>
        <w:t>2</w:t>
      </w:r>
      <w:r>
        <w:rPr>
          <w:rFonts w:hint="default" w:ascii="Times New Roman" w:hAnsi="Times New Roman" w:cs="Times New Roman"/>
          <w:color w:val="auto"/>
          <w:spacing w:val="0"/>
          <w:kern w:val="24"/>
          <w:highlight w:val="none"/>
        </w:rPr>
        <w:t>、硫醇类、胺类等化合物，影响</w:t>
      </w:r>
      <w:r>
        <w:rPr>
          <w:rFonts w:hint="default" w:ascii="Times New Roman" w:hAnsi="Times New Roman" w:cs="Times New Roman"/>
          <w:color w:val="auto"/>
          <w:spacing w:val="0"/>
          <w:kern w:val="24"/>
          <w:highlight w:val="none"/>
          <w:lang w:eastAsia="zh-CN"/>
        </w:rPr>
        <w:t>垃圾桶</w:t>
      </w:r>
      <w:r>
        <w:rPr>
          <w:rFonts w:hint="default" w:ascii="Times New Roman" w:hAnsi="Times New Roman" w:cs="Times New Roman"/>
          <w:color w:val="auto"/>
          <w:spacing w:val="0"/>
          <w:kern w:val="24"/>
          <w:highlight w:val="none"/>
        </w:rPr>
        <w:t>周围环境空气。</w:t>
      </w:r>
      <w:r>
        <w:rPr>
          <w:rFonts w:hint="default" w:ascii="Times New Roman" w:hAnsi="Times New Roman" w:cs="Times New Roman"/>
          <w:color w:val="auto"/>
          <w:spacing w:val="0"/>
          <w:kern w:val="24"/>
          <w:highlight w:val="none"/>
          <w:lang w:eastAsia="zh-CN"/>
        </w:rPr>
        <w:t>垃圾桶</w:t>
      </w:r>
      <w:r>
        <w:rPr>
          <w:rFonts w:hint="default" w:ascii="Times New Roman" w:hAnsi="Times New Roman" w:cs="Times New Roman"/>
          <w:color w:val="auto"/>
          <w:spacing w:val="0"/>
          <w:kern w:val="24"/>
          <w:highlight w:val="none"/>
        </w:rPr>
        <w:t>的垃圾若得不到及时清运，将会产生臭气。为避免臭气影响周围环境，</w:t>
      </w:r>
      <w:r>
        <w:rPr>
          <w:rFonts w:hint="default" w:ascii="Times New Roman" w:hAnsi="Times New Roman" w:cs="Times New Roman"/>
          <w:color w:val="auto"/>
          <w:spacing w:val="0"/>
          <w:kern w:val="24"/>
          <w:highlight w:val="none"/>
          <w:lang w:val="en-US" w:eastAsia="zh-CN"/>
        </w:rPr>
        <w:t>应由环卫部门做到日产日清</w:t>
      </w:r>
      <w:r>
        <w:rPr>
          <w:rFonts w:hint="default" w:ascii="Times New Roman" w:hAnsi="Times New Roman" w:cs="Times New Roman"/>
          <w:color w:val="auto"/>
          <w:spacing w:val="0"/>
          <w:kern w:val="24"/>
          <w:highlight w:val="none"/>
        </w:rPr>
        <w:t>，及时将</w:t>
      </w:r>
      <w:r>
        <w:rPr>
          <w:rFonts w:hint="default" w:ascii="Times New Roman" w:hAnsi="Times New Roman" w:cs="Times New Roman"/>
          <w:color w:val="auto"/>
          <w:spacing w:val="0"/>
          <w:kern w:val="24"/>
          <w:highlight w:val="none"/>
          <w:lang w:val="en-US" w:eastAsia="zh-CN"/>
        </w:rPr>
        <w:t>生活垃圾</w:t>
      </w:r>
      <w:r>
        <w:rPr>
          <w:rFonts w:hint="default" w:ascii="Times New Roman" w:hAnsi="Times New Roman" w:cs="Times New Roman"/>
          <w:color w:val="auto"/>
          <w:spacing w:val="0"/>
          <w:kern w:val="24"/>
          <w:highlight w:val="none"/>
        </w:rPr>
        <w:t>清运至</w:t>
      </w:r>
      <w:r>
        <w:rPr>
          <w:rFonts w:hint="default" w:ascii="Times New Roman" w:hAnsi="Times New Roman" w:cs="Times New Roman"/>
          <w:color w:val="auto"/>
          <w:spacing w:val="0"/>
          <w:kern w:val="24"/>
          <w:highlight w:val="none"/>
          <w:lang w:val="en-US" w:eastAsia="zh-CN"/>
        </w:rPr>
        <w:t>波密县县城生活垃圾填埋场</w:t>
      </w:r>
      <w:r>
        <w:rPr>
          <w:rFonts w:hint="default" w:ascii="Times New Roman" w:hAnsi="Times New Roman" w:cs="Times New Roman"/>
          <w:color w:val="auto"/>
          <w:spacing w:val="0"/>
          <w:kern w:val="24"/>
          <w:highlight w:val="none"/>
        </w:rPr>
        <w:t>统一处置。</w:t>
      </w:r>
    </w:p>
    <w:p w14:paraId="689A3780">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废水</w:t>
      </w:r>
    </w:p>
    <w:p w14:paraId="7F501AC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规划实施后规划范围内产生的废水主要为景区内常住居民、游客和服务人员产生的生活污水，污水产生量按用水量的80%计，绿化用水不考虑排水。根据5.2.1.1水资源需求量估算结果，各预测情景模式下景区废水产生量见表5.2-13和表5.2-14。</w:t>
      </w:r>
    </w:p>
    <w:p w14:paraId="3F20A9CC">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表5.2-13  景区废水产生量估算表（情景一：一般情况）</w:t>
      </w:r>
    </w:p>
    <w:tbl>
      <w:tblPr>
        <w:tblStyle w:val="58"/>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63"/>
        <w:gridCol w:w="567"/>
        <w:gridCol w:w="993"/>
        <w:gridCol w:w="1134"/>
        <w:gridCol w:w="1134"/>
        <w:gridCol w:w="1134"/>
        <w:gridCol w:w="1134"/>
        <w:gridCol w:w="1122"/>
      </w:tblGrid>
      <w:tr w14:paraId="308C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Merge w:val="restart"/>
            <w:vAlign w:val="center"/>
          </w:tcPr>
          <w:p w14:paraId="631EDF0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排水主体</w:t>
            </w:r>
          </w:p>
        </w:tc>
        <w:tc>
          <w:tcPr>
            <w:tcW w:w="567" w:type="dxa"/>
            <w:vMerge w:val="restart"/>
            <w:vAlign w:val="center"/>
          </w:tcPr>
          <w:p w14:paraId="325F33A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产污系数</w:t>
            </w:r>
          </w:p>
        </w:tc>
        <w:tc>
          <w:tcPr>
            <w:tcW w:w="3261" w:type="dxa"/>
            <w:gridSpan w:val="3"/>
            <w:vAlign w:val="center"/>
          </w:tcPr>
          <w:p w14:paraId="094CC61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3390" w:type="dxa"/>
            <w:gridSpan w:val="3"/>
            <w:vAlign w:val="center"/>
          </w:tcPr>
          <w:p w14:paraId="61590E7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r>
      <w:tr w14:paraId="1A38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Merge w:val="continue"/>
            <w:vAlign w:val="center"/>
          </w:tcPr>
          <w:p w14:paraId="2598FC6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567" w:type="dxa"/>
            <w:vMerge w:val="continue"/>
            <w:vAlign w:val="center"/>
          </w:tcPr>
          <w:p w14:paraId="7916FD0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993" w:type="dxa"/>
            <w:vAlign w:val="center"/>
          </w:tcPr>
          <w:p w14:paraId="01F54BE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年用水量（m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/a）</w:t>
            </w:r>
          </w:p>
        </w:tc>
        <w:tc>
          <w:tcPr>
            <w:tcW w:w="1134" w:type="dxa"/>
            <w:vAlign w:val="center"/>
          </w:tcPr>
          <w:p w14:paraId="3A6CF73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年废水产生量（m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/a）</w:t>
            </w:r>
          </w:p>
        </w:tc>
        <w:tc>
          <w:tcPr>
            <w:tcW w:w="1134" w:type="dxa"/>
            <w:vAlign w:val="center"/>
          </w:tcPr>
          <w:p w14:paraId="0155CCB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日废水产生量（m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/d）</w:t>
            </w:r>
          </w:p>
        </w:tc>
        <w:tc>
          <w:tcPr>
            <w:tcW w:w="1134" w:type="dxa"/>
            <w:vAlign w:val="center"/>
          </w:tcPr>
          <w:p w14:paraId="539B1BA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年用水量（m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/a）</w:t>
            </w:r>
          </w:p>
        </w:tc>
        <w:tc>
          <w:tcPr>
            <w:tcW w:w="1134" w:type="dxa"/>
            <w:vAlign w:val="center"/>
          </w:tcPr>
          <w:p w14:paraId="00810F6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年废水产生量（m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/a）</w:t>
            </w:r>
          </w:p>
        </w:tc>
        <w:tc>
          <w:tcPr>
            <w:tcW w:w="1122" w:type="dxa"/>
            <w:vAlign w:val="center"/>
          </w:tcPr>
          <w:p w14:paraId="723945D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日废水产生量（m</w:t>
            </w:r>
            <w:r>
              <w:rPr>
                <w:rFonts w:hint="default" w:ascii="Times New Roman" w:hAnsi="Times New Roman" w:cs="Times New Roman" w:eastAsiaTheme="minorEastAsia"/>
                <w:bCs/>
                <w:color w:val="auto"/>
                <w:spacing w:val="0"/>
                <w:kern w:val="24"/>
                <w:sz w:val="21"/>
                <w:szCs w:val="21"/>
                <w:highlight w:val="none"/>
                <w:vertAlign w:val="superscript"/>
              </w:rPr>
              <w:t>3</w:t>
            </w:r>
            <w:r>
              <w:rPr>
                <w:rFonts w:hint="default" w:ascii="Times New Roman" w:hAnsi="Times New Roman" w:cs="Times New Roman" w:eastAsiaTheme="minorEastAsia"/>
                <w:bCs/>
                <w:color w:val="auto"/>
                <w:spacing w:val="0"/>
                <w:kern w:val="24"/>
                <w:sz w:val="21"/>
                <w:szCs w:val="21"/>
                <w:highlight w:val="none"/>
              </w:rPr>
              <w:t>/d）</w:t>
            </w:r>
          </w:p>
        </w:tc>
      </w:tr>
      <w:tr w14:paraId="51EF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Align w:val="center"/>
          </w:tcPr>
          <w:p w14:paraId="079A917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常住居民</w:t>
            </w:r>
          </w:p>
        </w:tc>
        <w:tc>
          <w:tcPr>
            <w:tcW w:w="567" w:type="dxa"/>
            <w:vMerge w:val="restart"/>
            <w:vAlign w:val="center"/>
          </w:tcPr>
          <w:p w14:paraId="4FCC594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0.8</w:t>
            </w:r>
          </w:p>
        </w:tc>
        <w:tc>
          <w:tcPr>
            <w:tcW w:w="993" w:type="dxa"/>
            <w:shd w:val="clear" w:color="auto" w:fill="auto"/>
            <w:vAlign w:val="center"/>
          </w:tcPr>
          <w:p w14:paraId="6D88DB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12647.25 </w:t>
            </w:r>
          </w:p>
        </w:tc>
        <w:tc>
          <w:tcPr>
            <w:tcW w:w="1134" w:type="dxa"/>
            <w:vAlign w:val="center"/>
          </w:tcPr>
          <w:p w14:paraId="364ECD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10117.80 </w:t>
            </w:r>
          </w:p>
        </w:tc>
        <w:tc>
          <w:tcPr>
            <w:tcW w:w="1134" w:type="dxa"/>
            <w:vAlign w:val="center"/>
          </w:tcPr>
          <w:p w14:paraId="0830B5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27.72 </w:t>
            </w:r>
          </w:p>
        </w:tc>
        <w:tc>
          <w:tcPr>
            <w:tcW w:w="1134" w:type="dxa"/>
            <w:vAlign w:val="center"/>
          </w:tcPr>
          <w:p w14:paraId="4FA06B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12647.25 </w:t>
            </w:r>
          </w:p>
        </w:tc>
        <w:tc>
          <w:tcPr>
            <w:tcW w:w="1134" w:type="dxa"/>
            <w:vAlign w:val="center"/>
          </w:tcPr>
          <w:p w14:paraId="583E86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10117.80 </w:t>
            </w:r>
          </w:p>
        </w:tc>
        <w:tc>
          <w:tcPr>
            <w:tcW w:w="1122" w:type="dxa"/>
            <w:vAlign w:val="center"/>
          </w:tcPr>
          <w:p w14:paraId="71BBEF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27.72 </w:t>
            </w:r>
          </w:p>
        </w:tc>
      </w:tr>
      <w:tr w14:paraId="0F81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Align w:val="center"/>
          </w:tcPr>
          <w:p w14:paraId="750E02A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工作人员</w:t>
            </w:r>
          </w:p>
        </w:tc>
        <w:tc>
          <w:tcPr>
            <w:tcW w:w="567" w:type="dxa"/>
            <w:vMerge w:val="continue"/>
            <w:vAlign w:val="center"/>
          </w:tcPr>
          <w:p w14:paraId="3589C3C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993" w:type="dxa"/>
            <w:shd w:val="clear" w:color="auto" w:fill="auto"/>
            <w:vAlign w:val="center"/>
          </w:tcPr>
          <w:p w14:paraId="01275E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1960.00 </w:t>
            </w:r>
          </w:p>
        </w:tc>
        <w:tc>
          <w:tcPr>
            <w:tcW w:w="1134" w:type="dxa"/>
            <w:vAlign w:val="center"/>
          </w:tcPr>
          <w:p w14:paraId="5E4E7A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1568.00 </w:t>
            </w:r>
          </w:p>
        </w:tc>
        <w:tc>
          <w:tcPr>
            <w:tcW w:w="1134" w:type="dxa"/>
            <w:vAlign w:val="center"/>
          </w:tcPr>
          <w:p w14:paraId="03CF78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6.40 </w:t>
            </w:r>
          </w:p>
        </w:tc>
        <w:tc>
          <w:tcPr>
            <w:tcW w:w="1134" w:type="dxa"/>
            <w:vAlign w:val="center"/>
          </w:tcPr>
          <w:p w14:paraId="4946CD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5880.00 </w:t>
            </w:r>
          </w:p>
        </w:tc>
        <w:tc>
          <w:tcPr>
            <w:tcW w:w="1134" w:type="dxa"/>
            <w:vAlign w:val="center"/>
          </w:tcPr>
          <w:p w14:paraId="3C46BC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4704.00 </w:t>
            </w:r>
          </w:p>
        </w:tc>
        <w:tc>
          <w:tcPr>
            <w:tcW w:w="1122" w:type="dxa"/>
            <w:vAlign w:val="center"/>
          </w:tcPr>
          <w:p w14:paraId="00AD32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19.20 </w:t>
            </w:r>
          </w:p>
        </w:tc>
      </w:tr>
      <w:tr w14:paraId="7014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Align w:val="center"/>
          </w:tcPr>
          <w:p w14:paraId="6450A97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游客</w:t>
            </w:r>
          </w:p>
        </w:tc>
        <w:tc>
          <w:tcPr>
            <w:tcW w:w="567" w:type="dxa"/>
            <w:vMerge w:val="continue"/>
            <w:vAlign w:val="center"/>
          </w:tcPr>
          <w:p w14:paraId="05825BE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993" w:type="dxa"/>
            <w:shd w:val="clear" w:color="auto" w:fill="auto"/>
            <w:vAlign w:val="center"/>
          </w:tcPr>
          <w:p w14:paraId="750BFC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6551.10 </w:t>
            </w:r>
          </w:p>
        </w:tc>
        <w:tc>
          <w:tcPr>
            <w:tcW w:w="1134" w:type="dxa"/>
            <w:vAlign w:val="center"/>
          </w:tcPr>
          <w:p w14:paraId="67D7A1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5240.88 </w:t>
            </w:r>
          </w:p>
        </w:tc>
        <w:tc>
          <w:tcPr>
            <w:tcW w:w="1134" w:type="dxa"/>
            <w:vAlign w:val="center"/>
          </w:tcPr>
          <w:p w14:paraId="5652C5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21.39 </w:t>
            </w:r>
          </w:p>
        </w:tc>
        <w:tc>
          <w:tcPr>
            <w:tcW w:w="1134" w:type="dxa"/>
            <w:vAlign w:val="center"/>
          </w:tcPr>
          <w:p w14:paraId="406D06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16439.36 </w:t>
            </w:r>
          </w:p>
        </w:tc>
        <w:tc>
          <w:tcPr>
            <w:tcW w:w="1134" w:type="dxa"/>
            <w:vAlign w:val="center"/>
          </w:tcPr>
          <w:p w14:paraId="319941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13151.49 </w:t>
            </w:r>
          </w:p>
        </w:tc>
        <w:tc>
          <w:tcPr>
            <w:tcW w:w="1122" w:type="dxa"/>
            <w:vAlign w:val="center"/>
          </w:tcPr>
          <w:p w14:paraId="5F7A40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53.68 </w:t>
            </w:r>
          </w:p>
        </w:tc>
      </w:tr>
      <w:tr w14:paraId="1F87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663" w:type="dxa"/>
            <w:vAlign w:val="center"/>
          </w:tcPr>
          <w:p w14:paraId="68BB656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合计</w:t>
            </w:r>
          </w:p>
        </w:tc>
        <w:tc>
          <w:tcPr>
            <w:tcW w:w="567" w:type="dxa"/>
            <w:vMerge w:val="continue"/>
            <w:vAlign w:val="center"/>
          </w:tcPr>
          <w:p w14:paraId="782E346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993" w:type="dxa"/>
            <w:shd w:val="clear" w:color="auto" w:fill="auto"/>
            <w:vAlign w:val="center"/>
          </w:tcPr>
          <w:p w14:paraId="1F9D23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21158.35 </w:t>
            </w:r>
          </w:p>
        </w:tc>
        <w:tc>
          <w:tcPr>
            <w:tcW w:w="1134" w:type="dxa"/>
            <w:vAlign w:val="center"/>
          </w:tcPr>
          <w:p w14:paraId="6A5FBF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16926.68 </w:t>
            </w:r>
          </w:p>
        </w:tc>
        <w:tc>
          <w:tcPr>
            <w:tcW w:w="1134" w:type="dxa"/>
            <w:vAlign w:val="center"/>
          </w:tcPr>
          <w:p w14:paraId="76558B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55.51 </w:t>
            </w:r>
          </w:p>
        </w:tc>
        <w:tc>
          <w:tcPr>
            <w:tcW w:w="1134" w:type="dxa"/>
            <w:vAlign w:val="center"/>
          </w:tcPr>
          <w:p w14:paraId="4AE7D6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34966.61 </w:t>
            </w:r>
          </w:p>
        </w:tc>
        <w:tc>
          <w:tcPr>
            <w:tcW w:w="1134" w:type="dxa"/>
            <w:vAlign w:val="center"/>
          </w:tcPr>
          <w:p w14:paraId="3B248B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27973.29 </w:t>
            </w:r>
          </w:p>
        </w:tc>
        <w:tc>
          <w:tcPr>
            <w:tcW w:w="1122" w:type="dxa"/>
            <w:vAlign w:val="center"/>
          </w:tcPr>
          <w:p w14:paraId="041B1F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100.60 </w:t>
            </w:r>
          </w:p>
        </w:tc>
      </w:tr>
    </w:tbl>
    <w:p w14:paraId="5E01712C">
      <w:pPr>
        <w:pStyle w:val="28"/>
        <w:tabs>
          <w:tab w:val="left" w:pos="840"/>
        </w:tabs>
        <w:spacing w:line="360" w:lineRule="auto"/>
        <w:jc w:val="center"/>
        <w:rPr>
          <w:rFonts w:hint="default" w:ascii="Times New Roman" w:hAnsi="Times New Roman" w:eastAsia="黑体" w:cs="Times New Roman"/>
          <w:bCs/>
          <w:color w:val="auto"/>
          <w:kern w:val="0"/>
          <w:szCs w:val="21"/>
          <w:highlight w:val="none"/>
        </w:rPr>
      </w:pPr>
      <w:r>
        <w:rPr>
          <w:rFonts w:hint="default" w:ascii="Times New Roman" w:hAnsi="Times New Roman" w:eastAsia="黑体" w:cs="Times New Roman"/>
          <w:bCs/>
          <w:color w:val="auto"/>
          <w:kern w:val="0"/>
          <w:szCs w:val="21"/>
          <w:highlight w:val="none"/>
        </w:rPr>
        <w:t>表5.2-14  景区废水产生量估算表（情景二：特殊情况）</w:t>
      </w:r>
    </w:p>
    <w:tbl>
      <w:tblPr>
        <w:tblStyle w:val="58"/>
        <w:tblW w:w="8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68"/>
        <w:gridCol w:w="598"/>
        <w:gridCol w:w="1665"/>
        <w:gridCol w:w="1666"/>
        <w:gridCol w:w="1666"/>
        <w:gridCol w:w="1666"/>
      </w:tblGrid>
      <w:tr w14:paraId="6108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668" w:type="dxa"/>
            <w:vMerge w:val="restart"/>
            <w:vAlign w:val="center"/>
          </w:tcPr>
          <w:p w14:paraId="785F9C3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排水主体</w:t>
            </w:r>
          </w:p>
        </w:tc>
        <w:tc>
          <w:tcPr>
            <w:tcW w:w="598" w:type="dxa"/>
            <w:vMerge w:val="restart"/>
            <w:vAlign w:val="center"/>
          </w:tcPr>
          <w:p w14:paraId="06F803A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产污系数</w:t>
            </w:r>
          </w:p>
        </w:tc>
        <w:tc>
          <w:tcPr>
            <w:tcW w:w="3331" w:type="dxa"/>
            <w:gridSpan w:val="2"/>
            <w:vAlign w:val="center"/>
          </w:tcPr>
          <w:p w14:paraId="73B00CD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3332" w:type="dxa"/>
            <w:gridSpan w:val="2"/>
            <w:vAlign w:val="center"/>
          </w:tcPr>
          <w:p w14:paraId="43E91CF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r>
      <w:tr w14:paraId="43DE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668" w:type="dxa"/>
            <w:vMerge w:val="continue"/>
            <w:vAlign w:val="center"/>
          </w:tcPr>
          <w:p w14:paraId="188625D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598" w:type="dxa"/>
            <w:vMerge w:val="continue"/>
            <w:vAlign w:val="center"/>
          </w:tcPr>
          <w:p w14:paraId="6D6599E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p>
        </w:tc>
        <w:tc>
          <w:tcPr>
            <w:tcW w:w="1665" w:type="dxa"/>
            <w:vAlign w:val="center"/>
          </w:tcPr>
          <w:p w14:paraId="6DCEA1C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r>
              <w:rPr>
                <w:rFonts w:hint="default" w:ascii="Times New Roman" w:hAnsi="Times New Roman" w:cs="Times New Roman" w:eastAsiaTheme="minorEastAsia"/>
                <w:bCs/>
                <w:color w:val="auto"/>
                <w:spacing w:val="0"/>
                <w:kern w:val="24"/>
                <w:sz w:val="20"/>
                <w:highlight w:val="none"/>
              </w:rPr>
              <w:t>旺季用水量（m</w:t>
            </w:r>
            <w:r>
              <w:rPr>
                <w:rFonts w:hint="default" w:ascii="Times New Roman" w:hAnsi="Times New Roman" w:cs="Times New Roman" w:eastAsiaTheme="minorEastAsia"/>
                <w:bCs/>
                <w:color w:val="auto"/>
                <w:spacing w:val="0"/>
                <w:kern w:val="24"/>
                <w:sz w:val="20"/>
                <w:highlight w:val="none"/>
                <w:vertAlign w:val="superscript"/>
              </w:rPr>
              <w:t>3</w:t>
            </w:r>
            <w:r>
              <w:rPr>
                <w:rFonts w:hint="default" w:ascii="Times New Roman" w:hAnsi="Times New Roman" w:cs="Times New Roman" w:eastAsiaTheme="minorEastAsia"/>
                <w:bCs/>
                <w:color w:val="auto"/>
                <w:spacing w:val="0"/>
                <w:kern w:val="24"/>
                <w:sz w:val="20"/>
                <w:highlight w:val="none"/>
              </w:rPr>
              <w:t>/d）</w:t>
            </w:r>
          </w:p>
        </w:tc>
        <w:tc>
          <w:tcPr>
            <w:tcW w:w="1666" w:type="dxa"/>
            <w:vAlign w:val="center"/>
          </w:tcPr>
          <w:p w14:paraId="2B219EE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r>
              <w:rPr>
                <w:rFonts w:hint="default" w:ascii="Times New Roman" w:hAnsi="Times New Roman" w:cs="Times New Roman" w:eastAsiaTheme="minorEastAsia"/>
                <w:bCs/>
                <w:color w:val="auto"/>
                <w:spacing w:val="0"/>
                <w:kern w:val="24"/>
                <w:sz w:val="20"/>
                <w:highlight w:val="none"/>
              </w:rPr>
              <w:t>旺季废水量（m</w:t>
            </w:r>
            <w:r>
              <w:rPr>
                <w:rFonts w:hint="default" w:ascii="Times New Roman" w:hAnsi="Times New Roman" w:cs="Times New Roman" w:eastAsiaTheme="minorEastAsia"/>
                <w:bCs/>
                <w:color w:val="auto"/>
                <w:spacing w:val="0"/>
                <w:kern w:val="24"/>
                <w:sz w:val="20"/>
                <w:highlight w:val="none"/>
                <w:vertAlign w:val="superscript"/>
              </w:rPr>
              <w:t>3</w:t>
            </w:r>
            <w:r>
              <w:rPr>
                <w:rFonts w:hint="default" w:ascii="Times New Roman" w:hAnsi="Times New Roman" w:cs="Times New Roman" w:eastAsiaTheme="minorEastAsia"/>
                <w:bCs/>
                <w:color w:val="auto"/>
                <w:spacing w:val="0"/>
                <w:kern w:val="24"/>
                <w:sz w:val="20"/>
                <w:highlight w:val="none"/>
              </w:rPr>
              <w:t>/d）</w:t>
            </w:r>
          </w:p>
        </w:tc>
        <w:tc>
          <w:tcPr>
            <w:tcW w:w="1666" w:type="dxa"/>
            <w:vAlign w:val="center"/>
          </w:tcPr>
          <w:p w14:paraId="43DA83C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r>
              <w:rPr>
                <w:rFonts w:hint="default" w:ascii="Times New Roman" w:hAnsi="Times New Roman" w:cs="Times New Roman" w:eastAsiaTheme="minorEastAsia"/>
                <w:bCs/>
                <w:color w:val="auto"/>
                <w:spacing w:val="0"/>
                <w:kern w:val="24"/>
                <w:sz w:val="20"/>
                <w:highlight w:val="none"/>
              </w:rPr>
              <w:t>旺季用水量（m</w:t>
            </w:r>
            <w:r>
              <w:rPr>
                <w:rFonts w:hint="default" w:ascii="Times New Roman" w:hAnsi="Times New Roman" w:cs="Times New Roman" w:eastAsiaTheme="minorEastAsia"/>
                <w:bCs/>
                <w:color w:val="auto"/>
                <w:spacing w:val="0"/>
                <w:kern w:val="24"/>
                <w:sz w:val="20"/>
                <w:highlight w:val="none"/>
                <w:vertAlign w:val="superscript"/>
              </w:rPr>
              <w:t>3</w:t>
            </w:r>
            <w:r>
              <w:rPr>
                <w:rFonts w:hint="default" w:ascii="Times New Roman" w:hAnsi="Times New Roman" w:cs="Times New Roman" w:eastAsiaTheme="minorEastAsia"/>
                <w:bCs/>
                <w:color w:val="auto"/>
                <w:spacing w:val="0"/>
                <w:kern w:val="24"/>
                <w:sz w:val="20"/>
                <w:highlight w:val="none"/>
              </w:rPr>
              <w:t>/d）</w:t>
            </w:r>
          </w:p>
        </w:tc>
        <w:tc>
          <w:tcPr>
            <w:tcW w:w="1666" w:type="dxa"/>
            <w:vAlign w:val="center"/>
          </w:tcPr>
          <w:p w14:paraId="30FF0E9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r>
              <w:rPr>
                <w:rFonts w:hint="default" w:ascii="Times New Roman" w:hAnsi="Times New Roman" w:cs="Times New Roman" w:eastAsiaTheme="minorEastAsia"/>
                <w:bCs/>
                <w:color w:val="auto"/>
                <w:spacing w:val="0"/>
                <w:kern w:val="24"/>
                <w:sz w:val="20"/>
                <w:highlight w:val="none"/>
              </w:rPr>
              <w:t>旺季废水量（m</w:t>
            </w:r>
            <w:r>
              <w:rPr>
                <w:rFonts w:hint="default" w:ascii="Times New Roman" w:hAnsi="Times New Roman" w:cs="Times New Roman" w:eastAsiaTheme="minorEastAsia"/>
                <w:bCs/>
                <w:color w:val="auto"/>
                <w:spacing w:val="0"/>
                <w:kern w:val="24"/>
                <w:sz w:val="20"/>
                <w:highlight w:val="none"/>
                <w:vertAlign w:val="superscript"/>
              </w:rPr>
              <w:t>3</w:t>
            </w:r>
            <w:r>
              <w:rPr>
                <w:rFonts w:hint="default" w:ascii="Times New Roman" w:hAnsi="Times New Roman" w:cs="Times New Roman" w:eastAsiaTheme="minorEastAsia"/>
                <w:bCs/>
                <w:color w:val="auto"/>
                <w:spacing w:val="0"/>
                <w:kern w:val="24"/>
                <w:sz w:val="20"/>
                <w:highlight w:val="none"/>
              </w:rPr>
              <w:t>/d）</w:t>
            </w:r>
          </w:p>
        </w:tc>
      </w:tr>
      <w:tr w14:paraId="1CA2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668" w:type="dxa"/>
            <w:vAlign w:val="center"/>
          </w:tcPr>
          <w:p w14:paraId="4A2A61B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其他废水小计</w:t>
            </w:r>
          </w:p>
        </w:tc>
        <w:tc>
          <w:tcPr>
            <w:tcW w:w="598" w:type="dxa"/>
            <w:vMerge w:val="restart"/>
            <w:vAlign w:val="center"/>
          </w:tcPr>
          <w:p w14:paraId="56F3B1C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0.8</w:t>
            </w:r>
          </w:p>
        </w:tc>
        <w:tc>
          <w:tcPr>
            <w:tcW w:w="1665" w:type="dxa"/>
            <w:vAlign w:val="center"/>
          </w:tcPr>
          <w:p w14:paraId="5DF7E247">
            <w:pPr>
              <w:jc w:val="center"/>
              <w:rPr>
                <w:rFonts w:hint="default" w:ascii="Times New Roman" w:hAnsi="Times New Roman" w:cs="Times New Roman" w:eastAsiaTheme="minorEastAsia"/>
                <w:bCs/>
                <w:color w:val="auto"/>
                <w:kern w:val="24"/>
                <w:szCs w:val="21"/>
                <w:highlight w:val="none"/>
                <w:lang w:val="en-US" w:eastAsia="zh-CN"/>
              </w:rPr>
            </w:pPr>
            <w:r>
              <w:rPr>
                <w:rFonts w:hint="default" w:ascii="Times New Roman" w:hAnsi="Times New Roman" w:cs="Times New Roman" w:eastAsiaTheme="minorEastAsia"/>
                <w:bCs/>
                <w:color w:val="auto"/>
                <w:kern w:val="24"/>
                <w:szCs w:val="21"/>
                <w:highlight w:val="none"/>
                <w:lang w:val="en-US" w:eastAsia="zh-CN"/>
              </w:rPr>
              <w:t>42.65</w:t>
            </w:r>
          </w:p>
        </w:tc>
        <w:tc>
          <w:tcPr>
            <w:tcW w:w="1666" w:type="dxa"/>
            <w:vAlign w:val="center"/>
          </w:tcPr>
          <w:p w14:paraId="09B0A679">
            <w:pPr>
              <w:keepNext w:val="0"/>
              <w:keepLines w:val="0"/>
              <w:widowControl/>
              <w:suppressLineNumbers w:val="0"/>
              <w:jc w:val="center"/>
              <w:textAlignment w:val="center"/>
              <w:rPr>
                <w:rFonts w:hint="default" w:ascii="Times New Roman" w:hAnsi="Times New Roman" w:cs="Times New Roman" w:eastAsiaTheme="minorEastAsia"/>
                <w:bCs/>
                <w:color w:val="auto"/>
                <w:kern w:val="24"/>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34.12</w:t>
            </w:r>
          </w:p>
        </w:tc>
        <w:tc>
          <w:tcPr>
            <w:tcW w:w="1666" w:type="dxa"/>
            <w:vAlign w:val="center"/>
          </w:tcPr>
          <w:p w14:paraId="58EF19EA">
            <w:pPr>
              <w:jc w:val="center"/>
              <w:rPr>
                <w:rFonts w:hint="default" w:ascii="Times New Roman" w:hAnsi="Times New Roman" w:cs="Times New Roman" w:eastAsiaTheme="minorEastAsia"/>
                <w:bCs/>
                <w:color w:val="auto"/>
                <w:kern w:val="24"/>
                <w:szCs w:val="21"/>
                <w:highlight w:val="none"/>
                <w:lang w:val="en-US" w:eastAsia="zh-CN"/>
              </w:rPr>
            </w:pPr>
            <w:r>
              <w:rPr>
                <w:rFonts w:hint="default" w:ascii="Times New Roman" w:hAnsi="Times New Roman" w:cs="Times New Roman" w:eastAsiaTheme="minorEastAsia"/>
                <w:bCs/>
                <w:color w:val="auto"/>
                <w:kern w:val="24"/>
                <w:szCs w:val="21"/>
                <w:highlight w:val="none"/>
                <w:lang w:val="en-US" w:eastAsia="zh-CN"/>
              </w:rPr>
              <w:t>58.65</w:t>
            </w:r>
          </w:p>
        </w:tc>
        <w:tc>
          <w:tcPr>
            <w:tcW w:w="1666" w:type="dxa"/>
            <w:vAlign w:val="center"/>
          </w:tcPr>
          <w:p w14:paraId="67C21B6B">
            <w:pPr>
              <w:keepNext w:val="0"/>
              <w:keepLines w:val="0"/>
              <w:widowControl/>
              <w:suppressLineNumbers w:val="0"/>
              <w:jc w:val="center"/>
              <w:textAlignment w:val="center"/>
              <w:rPr>
                <w:rFonts w:hint="default" w:ascii="Times New Roman" w:hAnsi="Times New Roman" w:cs="Times New Roman" w:eastAsiaTheme="minorEastAsia"/>
                <w:bCs/>
                <w:color w:val="auto"/>
                <w:kern w:val="24"/>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46.92 </w:t>
            </w:r>
          </w:p>
        </w:tc>
      </w:tr>
      <w:tr w14:paraId="1DE9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668" w:type="dxa"/>
            <w:vAlign w:val="center"/>
          </w:tcPr>
          <w:p w14:paraId="2C28DB0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游客</w:t>
            </w:r>
          </w:p>
        </w:tc>
        <w:tc>
          <w:tcPr>
            <w:tcW w:w="598" w:type="dxa"/>
            <w:vMerge w:val="continue"/>
            <w:vAlign w:val="center"/>
          </w:tcPr>
          <w:p w14:paraId="36670D7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665" w:type="dxa"/>
            <w:vAlign w:val="center"/>
          </w:tcPr>
          <w:p w14:paraId="2A7C15A6">
            <w:pPr>
              <w:jc w:val="center"/>
              <w:rPr>
                <w:rFonts w:hint="default" w:ascii="Times New Roman" w:hAnsi="Times New Roman" w:cs="Times New Roman" w:eastAsiaTheme="minorEastAsia"/>
                <w:bCs/>
                <w:color w:val="auto"/>
                <w:kern w:val="24"/>
                <w:szCs w:val="21"/>
                <w:highlight w:val="none"/>
                <w:lang w:val="en-US" w:eastAsia="zh-CN"/>
              </w:rPr>
            </w:pPr>
            <w:r>
              <w:rPr>
                <w:rFonts w:hint="default" w:ascii="Times New Roman" w:hAnsi="Times New Roman" w:cs="Times New Roman" w:eastAsiaTheme="minorEastAsia"/>
                <w:bCs/>
                <w:color w:val="auto"/>
                <w:kern w:val="24"/>
                <w:szCs w:val="21"/>
                <w:highlight w:val="none"/>
                <w:lang w:val="en-US" w:eastAsia="zh-CN"/>
              </w:rPr>
              <w:t>39.40</w:t>
            </w:r>
          </w:p>
        </w:tc>
        <w:tc>
          <w:tcPr>
            <w:tcW w:w="1666" w:type="dxa"/>
            <w:vAlign w:val="center"/>
          </w:tcPr>
          <w:p w14:paraId="75575A77">
            <w:pPr>
              <w:keepNext w:val="0"/>
              <w:keepLines w:val="0"/>
              <w:widowControl/>
              <w:suppressLineNumbers w:val="0"/>
              <w:jc w:val="center"/>
              <w:textAlignment w:val="center"/>
              <w:rPr>
                <w:rFonts w:hint="default" w:ascii="Times New Roman" w:hAnsi="Times New Roman" w:cs="Times New Roman" w:eastAsiaTheme="minorEastAsia"/>
                <w:bCs/>
                <w:color w:val="auto"/>
                <w:kern w:val="24"/>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31.52</w:t>
            </w:r>
          </w:p>
        </w:tc>
        <w:tc>
          <w:tcPr>
            <w:tcW w:w="1666" w:type="dxa"/>
            <w:vAlign w:val="center"/>
          </w:tcPr>
          <w:p w14:paraId="33368D47">
            <w:pPr>
              <w:jc w:val="center"/>
              <w:rPr>
                <w:rFonts w:hint="default" w:ascii="Times New Roman" w:hAnsi="Times New Roman" w:cs="Times New Roman" w:eastAsiaTheme="minorEastAsia"/>
                <w:bCs/>
                <w:color w:val="auto"/>
                <w:kern w:val="24"/>
                <w:szCs w:val="21"/>
                <w:highlight w:val="none"/>
                <w:lang w:val="en-US" w:eastAsia="zh-CN"/>
              </w:rPr>
            </w:pPr>
            <w:r>
              <w:rPr>
                <w:rFonts w:hint="default" w:ascii="Times New Roman" w:hAnsi="Times New Roman" w:cs="Times New Roman" w:eastAsiaTheme="minorEastAsia"/>
                <w:bCs/>
                <w:color w:val="auto"/>
                <w:kern w:val="24"/>
                <w:szCs w:val="21"/>
                <w:highlight w:val="none"/>
                <w:lang w:val="en-US" w:eastAsia="zh-CN"/>
              </w:rPr>
              <w:t>98.66</w:t>
            </w:r>
          </w:p>
        </w:tc>
        <w:tc>
          <w:tcPr>
            <w:tcW w:w="1666" w:type="dxa"/>
            <w:vAlign w:val="center"/>
          </w:tcPr>
          <w:p w14:paraId="4ED6B4FC">
            <w:pPr>
              <w:keepNext w:val="0"/>
              <w:keepLines w:val="0"/>
              <w:widowControl/>
              <w:suppressLineNumbers w:val="0"/>
              <w:jc w:val="center"/>
              <w:textAlignment w:val="center"/>
              <w:rPr>
                <w:rFonts w:hint="default" w:ascii="Times New Roman" w:hAnsi="Times New Roman" w:cs="Times New Roman" w:eastAsiaTheme="minorEastAsia"/>
                <w:bCs/>
                <w:color w:val="auto"/>
                <w:kern w:val="24"/>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78.93 </w:t>
            </w:r>
          </w:p>
        </w:tc>
      </w:tr>
      <w:tr w14:paraId="34CE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668" w:type="dxa"/>
            <w:vAlign w:val="center"/>
          </w:tcPr>
          <w:p w14:paraId="3410727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合计</w:t>
            </w:r>
          </w:p>
        </w:tc>
        <w:tc>
          <w:tcPr>
            <w:tcW w:w="598" w:type="dxa"/>
            <w:vMerge w:val="continue"/>
            <w:vAlign w:val="center"/>
          </w:tcPr>
          <w:p w14:paraId="7604784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665" w:type="dxa"/>
            <w:vAlign w:val="center"/>
          </w:tcPr>
          <w:p w14:paraId="248814D7">
            <w:pPr>
              <w:jc w:val="center"/>
              <w:rPr>
                <w:rFonts w:hint="default" w:ascii="Times New Roman" w:hAnsi="Times New Roman" w:cs="Times New Roman" w:eastAsiaTheme="minorEastAsia"/>
                <w:bCs/>
                <w:color w:val="auto"/>
                <w:kern w:val="24"/>
                <w:szCs w:val="21"/>
                <w:highlight w:val="none"/>
                <w:lang w:val="en-US" w:eastAsia="zh-CN"/>
              </w:rPr>
            </w:pPr>
            <w:r>
              <w:rPr>
                <w:rFonts w:hint="default" w:ascii="Times New Roman" w:hAnsi="Times New Roman" w:cs="Times New Roman" w:eastAsiaTheme="minorEastAsia"/>
                <w:bCs/>
                <w:color w:val="auto"/>
                <w:kern w:val="24"/>
                <w:szCs w:val="21"/>
                <w:highlight w:val="none"/>
                <w:lang w:val="en-US" w:eastAsia="zh-CN"/>
              </w:rPr>
              <w:t>82.05</w:t>
            </w:r>
          </w:p>
        </w:tc>
        <w:tc>
          <w:tcPr>
            <w:tcW w:w="1666" w:type="dxa"/>
            <w:vAlign w:val="center"/>
          </w:tcPr>
          <w:p w14:paraId="1394411E">
            <w:pPr>
              <w:keepNext w:val="0"/>
              <w:keepLines w:val="0"/>
              <w:widowControl/>
              <w:suppressLineNumbers w:val="0"/>
              <w:jc w:val="center"/>
              <w:textAlignment w:val="center"/>
              <w:rPr>
                <w:rFonts w:hint="default" w:ascii="Times New Roman" w:hAnsi="Times New Roman" w:cs="Times New Roman" w:eastAsiaTheme="minorEastAsia"/>
                <w:bCs/>
                <w:color w:val="auto"/>
                <w:kern w:val="24"/>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65.64</w:t>
            </w:r>
          </w:p>
        </w:tc>
        <w:tc>
          <w:tcPr>
            <w:tcW w:w="1666" w:type="dxa"/>
            <w:vAlign w:val="center"/>
          </w:tcPr>
          <w:p w14:paraId="3992DA8A">
            <w:pPr>
              <w:jc w:val="center"/>
              <w:rPr>
                <w:rFonts w:hint="default" w:ascii="Times New Roman" w:hAnsi="Times New Roman" w:cs="Times New Roman" w:eastAsiaTheme="minorEastAsia"/>
                <w:bCs/>
                <w:color w:val="auto"/>
                <w:kern w:val="24"/>
                <w:szCs w:val="21"/>
                <w:highlight w:val="none"/>
                <w:lang w:val="en-US" w:eastAsia="zh-CN"/>
              </w:rPr>
            </w:pPr>
            <w:r>
              <w:rPr>
                <w:rFonts w:hint="default" w:ascii="Times New Roman" w:hAnsi="Times New Roman" w:cs="Times New Roman" w:eastAsiaTheme="minorEastAsia"/>
                <w:bCs/>
                <w:color w:val="auto"/>
                <w:kern w:val="24"/>
                <w:szCs w:val="21"/>
                <w:highlight w:val="none"/>
                <w:lang w:val="en-US" w:eastAsia="zh-CN"/>
              </w:rPr>
              <w:t>157.31</w:t>
            </w:r>
          </w:p>
        </w:tc>
        <w:tc>
          <w:tcPr>
            <w:tcW w:w="1666" w:type="dxa"/>
            <w:vAlign w:val="center"/>
          </w:tcPr>
          <w:p w14:paraId="51D6B447">
            <w:pPr>
              <w:keepNext w:val="0"/>
              <w:keepLines w:val="0"/>
              <w:widowControl/>
              <w:suppressLineNumbers w:val="0"/>
              <w:jc w:val="center"/>
              <w:textAlignment w:val="center"/>
              <w:rPr>
                <w:rFonts w:hint="default" w:ascii="Times New Roman" w:hAnsi="Times New Roman" w:cs="Times New Roman" w:eastAsiaTheme="minorEastAsia"/>
                <w:bCs/>
                <w:color w:val="auto"/>
                <w:kern w:val="24"/>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125.85 </w:t>
            </w:r>
          </w:p>
        </w:tc>
      </w:tr>
    </w:tbl>
    <w:p w14:paraId="7F98F6A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此外，景区产生的废水还包括初期雨水。由于景区内村庄牲畜多采用散养方式，动物在室外生活，动物粪便、尿液会对初期雨水产生一定污染，主要污染物为COD、氨氮、BOD</w:t>
      </w:r>
      <w:r>
        <w:rPr>
          <w:rFonts w:hint="default" w:ascii="Times New Roman" w:hAnsi="Times New Roman" w:cs="Times New Roman"/>
          <w:color w:val="auto"/>
          <w:spacing w:val="0"/>
          <w:kern w:val="24"/>
          <w:highlight w:val="none"/>
          <w:vertAlign w:val="subscript"/>
        </w:rPr>
        <w:t>5</w:t>
      </w:r>
      <w:r>
        <w:rPr>
          <w:rFonts w:hint="default" w:ascii="Times New Roman" w:hAnsi="Times New Roman" w:cs="Times New Roman"/>
          <w:color w:val="auto"/>
          <w:spacing w:val="0"/>
          <w:kern w:val="24"/>
          <w:highlight w:val="none"/>
        </w:rPr>
        <w:t>、SS，初期雨水产生量、主要污染物浓度与动物室外生活情况、降雨量、集雨面积等因素有关，难以计量。</w:t>
      </w:r>
    </w:p>
    <w:p w14:paraId="2A3C960E">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噪声</w:t>
      </w:r>
    </w:p>
    <w:p w14:paraId="715561F0">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景区噪声源主要为游客自驾车及大巴车的交通噪声、建筑物内各种机电设备噪声、旅游活动产生的社会生活噪声。</w:t>
      </w:r>
    </w:p>
    <w:p w14:paraId="739B1FA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交通噪声主要产生于内部交通道路，属线性噪声源，噪声源强在60~85dB（A）之间；设备噪声源包括空调风机、通排风机、水泵、空压机、变配电器等设备噪声，源强在70~85dB（A）之间，主要位于室内，通过基础减振、建筑隔声后对环境影响较小；社会生活噪声一般在40~65dB（A）之间。</w:t>
      </w:r>
    </w:p>
    <w:p w14:paraId="211975FA">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固体废物</w:t>
      </w:r>
    </w:p>
    <w:p w14:paraId="68CFAF7D">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（一）生活垃圾</w:t>
      </w:r>
    </w:p>
    <w:p w14:paraId="028C4D0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常住居民、留宿游客和工作人员的生活垃圾产生量按0.5kg/人·d计，一日游客生活垃圾产生量按0.2kg/人计。</w:t>
      </w:r>
    </w:p>
    <w:p w14:paraId="5B74516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产生的生活垃圾经统一收集后交由环卫部门定期运往</w:t>
      </w:r>
      <w:r>
        <w:rPr>
          <w:rFonts w:hint="default" w:ascii="Times New Roman" w:hAnsi="Times New Roman" w:cs="Times New Roman"/>
          <w:color w:val="auto"/>
          <w:spacing w:val="0"/>
          <w:kern w:val="24"/>
          <w:highlight w:val="none"/>
          <w:lang w:eastAsia="zh-CN"/>
        </w:rPr>
        <w:t>波密县县城生活垃圾填埋场</w:t>
      </w:r>
      <w:r>
        <w:rPr>
          <w:rFonts w:hint="default" w:ascii="Times New Roman" w:hAnsi="Times New Roman" w:cs="Times New Roman"/>
          <w:color w:val="auto"/>
          <w:spacing w:val="0"/>
          <w:kern w:val="24"/>
          <w:highlight w:val="none"/>
        </w:rPr>
        <w:t>处理。</w:t>
      </w:r>
    </w:p>
    <w:p w14:paraId="18647F7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根据情景设置，景区生活垃圾产生情况见表5.2-15。</w:t>
      </w:r>
    </w:p>
    <w:p w14:paraId="6279EF69">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表5.2-15  景区生活垃圾产生量估算表</w:t>
      </w:r>
    </w:p>
    <w:tbl>
      <w:tblPr>
        <w:tblStyle w:val="58"/>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45"/>
        <w:gridCol w:w="1276"/>
        <w:gridCol w:w="992"/>
        <w:gridCol w:w="1134"/>
        <w:gridCol w:w="993"/>
        <w:gridCol w:w="850"/>
        <w:gridCol w:w="1276"/>
        <w:gridCol w:w="1314"/>
      </w:tblGrid>
      <w:tr w14:paraId="1535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45" w:type="dxa"/>
            <w:vMerge w:val="restart"/>
            <w:vAlign w:val="center"/>
          </w:tcPr>
          <w:p w14:paraId="7AE2756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产污主体</w:t>
            </w:r>
          </w:p>
        </w:tc>
        <w:tc>
          <w:tcPr>
            <w:tcW w:w="1276" w:type="dxa"/>
            <w:vMerge w:val="restart"/>
            <w:vAlign w:val="center"/>
          </w:tcPr>
          <w:p w14:paraId="5CBF87C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产污系数</w:t>
            </w:r>
          </w:p>
        </w:tc>
        <w:tc>
          <w:tcPr>
            <w:tcW w:w="3969" w:type="dxa"/>
            <w:gridSpan w:val="4"/>
            <w:vAlign w:val="center"/>
          </w:tcPr>
          <w:p w14:paraId="3AC7B09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情景一：一般情况</w:t>
            </w:r>
          </w:p>
        </w:tc>
        <w:tc>
          <w:tcPr>
            <w:tcW w:w="2590" w:type="dxa"/>
            <w:gridSpan w:val="2"/>
            <w:vAlign w:val="center"/>
          </w:tcPr>
          <w:p w14:paraId="19CE2A2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情景二：特殊情况</w:t>
            </w:r>
          </w:p>
        </w:tc>
      </w:tr>
      <w:tr w14:paraId="0853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45" w:type="dxa"/>
            <w:vMerge w:val="continue"/>
            <w:vAlign w:val="center"/>
          </w:tcPr>
          <w:p w14:paraId="2FA798C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276" w:type="dxa"/>
            <w:vMerge w:val="continue"/>
            <w:vAlign w:val="center"/>
          </w:tcPr>
          <w:p w14:paraId="4B9CA27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2126" w:type="dxa"/>
            <w:gridSpan w:val="2"/>
            <w:vAlign w:val="center"/>
          </w:tcPr>
          <w:p w14:paraId="5312AF5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1843" w:type="dxa"/>
            <w:gridSpan w:val="2"/>
            <w:vAlign w:val="center"/>
          </w:tcPr>
          <w:p w14:paraId="0EDC6D5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c>
          <w:tcPr>
            <w:tcW w:w="1276" w:type="dxa"/>
            <w:vAlign w:val="center"/>
          </w:tcPr>
          <w:p w14:paraId="395BCEA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年旺季</w:t>
            </w:r>
          </w:p>
        </w:tc>
        <w:tc>
          <w:tcPr>
            <w:tcW w:w="1314" w:type="dxa"/>
            <w:vAlign w:val="center"/>
          </w:tcPr>
          <w:p w14:paraId="1213453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年旺季</w:t>
            </w:r>
          </w:p>
        </w:tc>
      </w:tr>
      <w:tr w14:paraId="2AAF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6" w:hRule="atLeast"/>
          <w:jc w:val="center"/>
        </w:trPr>
        <w:tc>
          <w:tcPr>
            <w:tcW w:w="1145" w:type="dxa"/>
            <w:vMerge w:val="continue"/>
            <w:vAlign w:val="center"/>
          </w:tcPr>
          <w:p w14:paraId="7A29684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276" w:type="dxa"/>
            <w:vMerge w:val="continue"/>
            <w:vAlign w:val="center"/>
          </w:tcPr>
          <w:p w14:paraId="2191A98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992" w:type="dxa"/>
            <w:vAlign w:val="center"/>
          </w:tcPr>
          <w:p w14:paraId="6C2296E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日产生量（kg/d）</w:t>
            </w:r>
          </w:p>
        </w:tc>
        <w:tc>
          <w:tcPr>
            <w:tcW w:w="1134" w:type="dxa"/>
            <w:vAlign w:val="center"/>
          </w:tcPr>
          <w:p w14:paraId="060438D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年产生量（t/a）</w:t>
            </w:r>
          </w:p>
        </w:tc>
        <w:tc>
          <w:tcPr>
            <w:tcW w:w="993" w:type="dxa"/>
            <w:vAlign w:val="center"/>
          </w:tcPr>
          <w:p w14:paraId="6B04918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日产生量（kg/d）</w:t>
            </w:r>
          </w:p>
        </w:tc>
        <w:tc>
          <w:tcPr>
            <w:tcW w:w="850" w:type="dxa"/>
            <w:vAlign w:val="center"/>
          </w:tcPr>
          <w:p w14:paraId="2950B01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年产生量（t/a）</w:t>
            </w:r>
          </w:p>
        </w:tc>
        <w:tc>
          <w:tcPr>
            <w:tcW w:w="1276" w:type="dxa"/>
            <w:vAlign w:val="center"/>
          </w:tcPr>
          <w:p w14:paraId="177FD1C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日产生量（kg/d）</w:t>
            </w:r>
          </w:p>
        </w:tc>
        <w:tc>
          <w:tcPr>
            <w:tcW w:w="1314" w:type="dxa"/>
            <w:vAlign w:val="center"/>
          </w:tcPr>
          <w:p w14:paraId="1DA0537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日产生量（kg/d）</w:t>
            </w:r>
          </w:p>
        </w:tc>
      </w:tr>
      <w:tr w14:paraId="2046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45" w:type="dxa"/>
            <w:vAlign w:val="center"/>
          </w:tcPr>
          <w:p w14:paraId="249E98A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常住居民</w:t>
            </w:r>
          </w:p>
        </w:tc>
        <w:tc>
          <w:tcPr>
            <w:tcW w:w="1276" w:type="dxa"/>
            <w:vAlign w:val="center"/>
          </w:tcPr>
          <w:p w14:paraId="7352F18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0.5kg/人·d</w:t>
            </w:r>
          </w:p>
        </w:tc>
        <w:tc>
          <w:tcPr>
            <w:tcW w:w="992" w:type="dxa"/>
            <w:vAlign w:val="center"/>
          </w:tcPr>
          <w:p w14:paraId="50094826">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247.5</w:t>
            </w:r>
          </w:p>
        </w:tc>
        <w:tc>
          <w:tcPr>
            <w:tcW w:w="1134" w:type="dxa"/>
            <w:vAlign w:val="center"/>
          </w:tcPr>
          <w:p w14:paraId="0F21ADF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90.34</w:t>
            </w:r>
          </w:p>
        </w:tc>
        <w:tc>
          <w:tcPr>
            <w:tcW w:w="993" w:type="dxa"/>
            <w:vAlign w:val="center"/>
          </w:tcPr>
          <w:p w14:paraId="1A1B1C7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247.5</w:t>
            </w:r>
          </w:p>
        </w:tc>
        <w:tc>
          <w:tcPr>
            <w:tcW w:w="850" w:type="dxa"/>
            <w:vAlign w:val="center"/>
          </w:tcPr>
          <w:p w14:paraId="1D1EFAB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90.34</w:t>
            </w:r>
          </w:p>
        </w:tc>
        <w:tc>
          <w:tcPr>
            <w:tcW w:w="1276" w:type="dxa"/>
            <w:shd w:val="clear" w:color="auto" w:fill="auto"/>
            <w:vAlign w:val="center"/>
          </w:tcPr>
          <w:p w14:paraId="4885D66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247.5</w:t>
            </w:r>
          </w:p>
        </w:tc>
        <w:tc>
          <w:tcPr>
            <w:tcW w:w="1314" w:type="dxa"/>
            <w:shd w:val="clear" w:color="auto" w:fill="auto"/>
            <w:vAlign w:val="center"/>
          </w:tcPr>
          <w:p w14:paraId="517F6B5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247.5</w:t>
            </w:r>
          </w:p>
        </w:tc>
      </w:tr>
      <w:tr w14:paraId="372F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45" w:type="dxa"/>
            <w:vAlign w:val="center"/>
          </w:tcPr>
          <w:p w14:paraId="4EA3979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工作人员</w:t>
            </w:r>
          </w:p>
        </w:tc>
        <w:tc>
          <w:tcPr>
            <w:tcW w:w="1276" w:type="dxa"/>
            <w:vAlign w:val="center"/>
          </w:tcPr>
          <w:p w14:paraId="74FC7EC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0.5kg/人·d</w:t>
            </w:r>
          </w:p>
        </w:tc>
        <w:tc>
          <w:tcPr>
            <w:tcW w:w="992" w:type="dxa"/>
            <w:vAlign w:val="center"/>
          </w:tcPr>
          <w:p w14:paraId="1598BE9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50</w:t>
            </w:r>
          </w:p>
        </w:tc>
        <w:tc>
          <w:tcPr>
            <w:tcW w:w="1134" w:type="dxa"/>
            <w:vAlign w:val="center"/>
          </w:tcPr>
          <w:p w14:paraId="1FD3503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12.25</w:t>
            </w:r>
          </w:p>
        </w:tc>
        <w:tc>
          <w:tcPr>
            <w:tcW w:w="993" w:type="dxa"/>
            <w:vAlign w:val="center"/>
          </w:tcPr>
          <w:p w14:paraId="08B80BE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150</w:t>
            </w:r>
          </w:p>
        </w:tc>
        <w:tc>
          <w:tcPr>
            <w:tcW w:w="850" w:type="dxa"/>
            <w:vAlign w:val="center"/>
          </w:tcPr>
          <w:p w14:paraId="17ADFEFB">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36.75</w:t>
            </w:r>
          </w:p>
        </w:tc>
        <w:tc>
          <w:tcPr>
            <w:tcW w:w="1276" w:type="dxa"/>
            <w:shd w:val="clear" w:color="auto" w:fill="auto"/>
            <w:vAlign w:val="center"/>
          </w:tcPr>
          <w:p w14:paraId="091B970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50</w:t>
            </w:r>
          </w:p>
        </w:tc>
        <w:tc>
          <w:tcPr>
            <w:tcW w:w="1314" w:type="dxa"/>
            <w:shd w:val="clear" w:color="auto" w:fill="auto"/>
            <w:vAlign w:val="center"/>
          </w:tcPr>
          <w:p w14:paraId="027E026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150</w:t>
            </w:r>
          </w:p>
        </w:tc>
      </w:tr>
      <w:tr w14:paraId="4892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45" w:type="dxa"/>
            <w:vAlign w:val="center"/>
          </w:tcPr>
          <w:p w14:paraId="7104880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一日游客</w:t>
            </w:r>
          </w:p>
        </w:tc>
        <w:tc>
          <w:tcPr>
            <w:tcW w:w="1276" w:type="dxa"/>
            <w:vAlign w:val="center"/>
          </w:tcPr>
          <w:p w14:paraId="55E3C94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0.2kg/人</w:t>
            </w:r>
          </w:p>
        </w:tc>
        <w:tc>
          <w:tcPr>
            <w:tcW w:w="992" w:type="dxa"/>
            <w:vAlign w:val="center"/>
          </w:tcPr>
          <w:p w14:paraId="1EAD034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166</w:t>
            </w:r>
          </w:p>
        </w:tc>
        <w:tc>
          <w:tcPr>
            <w:tcW w:w="1134" w:type="dxa"/>
            <w:vAlign w:val="center"/>
          </w:tcPr>
          <w:p w14:paraId="6E62AE6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40.67</w:t>
            </w:r>
          </w:p>
        </w:tc>
        <w:tc>
          <w:tcPr>
            <w:tcW w:w="993" w:type="dxa"/>
            <w:vAlign w:val="center"/>
          </w:tcPr>
          <w:p w14:paraId="5AC889F1">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360</w:t>
            </w:r>
          </w:p>
        </w:tc>
        <w:tc>
          <w:tcPr>
            <w:tcW w:w="850" w:type="dxa"/>
            <w:vAlign w:val="center"/>
          </w:tcPr>
          <w:p w14:paraId="5A60C023">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88.20</w:t>
            </w:r>
          </w:p>
        </w:tc>
        <w:tc>
          <w:tcPr>
            <w:tcW w:w="1276" w:type="dxa"/>
            <w:vAlign w:val="center"/>
          </w:tcPr>
          <w:p w14:paraId="4CB7D38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244</w:t>
            </w:r>
          </w:p>
        </w:tc>
        <w:tc>
          <w:tcPr>
            <w:tcW w:w="1314" w:type="dxa"/>
            <w:vAlign w:val="center"/>
          </w:tcPr>
          <w:p w14:paraId="433AF9E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243.4</w:t>
            </w:r>
          </w:p>
        </w:tc>
      </w:tr>
      <w:tr w14:paraId="7C02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45" w:type="dxa"/>
            <w:shd w:val="clear" w:color="auto" w:fill="auto"/>
            <w:vAlign w:val="center"/>
          </w:tcPr>
          <w:p w14:paraId="1F15E8A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bidi="ar-SA"/>
              </w:rPr>
            </w:pPr>
            <w:r>
              <w:rPr>
                <w:rFonts w:hint="default" w:ascii="Times New Roman" w:hAnsi="Times New Roman" w:cs="Times New Roman" w:eastAsiaTheme="minorEastAsia"/>
                <w:color w:val="auto"/>
                <w:spacing w:val="0"/>
                <w:kern w:val="24"/>
                <w:sz w:val="21"/>
                <w:szCs w:val="21"/>
                <w:highlight w:val="none"/>
              </w:rPr>
              <w:t>留宿游客</w:t>
            </w:r>
          </w:p>
        </w:tc>
        <w:tc>
          <w:tcPr>
            <w:tcW w:w="1276" w:type="dxa"/>
            <w:shd w:val="clear" w:color="auto" w:fill="auto"/>
            <w:vAlign w:val="center"/>
          </w:tcPr>
          <w:p w14:paraId="6660433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bidi="ar-SA"/>
              </w:rPr>
            </w:pPr>
            <w:r>
              <w:rPr>
                <w:rFonts w:hint="default" w:ascii="Times New Roman" w:hAnsi="Times New Roman" w:cs="Times New Roman" w:eastAsiaTheme="minorEastAsia"/>
                <w:bCs/>
                <w:color w:val="auto"/>
                <w:spacing w:val="0"/>
                <w:kern w:val="24"/>
                <w:sz w:val="21"/>
                <w:szCs w:val="21"/>
                <w:highlight w:val="none"/>
              </w:rPr>
              <w:t>0.5kg/人</w:t>
            </w:r>
          </w:p>
        </w:tc>
        <w:tc>
          <w:tcPr>
            <w:tcW w:w="992" w:type="dxa"/>
            <w:vAlign w:val="center"/>
          </w:tcPr>
          <w:p w14:paraId="3FDF9E3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46</w:t>
            </w:r>
          </w:p>
        </w:tc>
        <w:tc>
          <w:tcPr>
            <w:tcW w:w="1134" w:type="dxa"/>
            <w:vAlign w:val="center"/>
          </w:tcPr>
          <w:p w14:paraId="1BD4DA4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11.27</w:t>
            </w:r>
          </w:p>
        </w:tc>
        <w:tc>
          <w:tcPr>
            <w:tcW w:w="993" w:type="dxa"/>
            <w:vAlign w:val="center"/>
          </w:tcPr>
          <w:p w14:paraId="53013B9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123</w:t>
            </w:r>
          </w:p>
        </w:tc>
        <w:tc>
          <w:tcPr>
            <w:tcW w:w="850" w:type="dxa"/>
            <w:vAlign w:val="center"/>
          </w:tcPr>
          <w:p w14:paraId="149B988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30.14</w:t>
            </w:r>
          </w:p>
        </w:tc>
        <w:tc>
          <w:tcPr>
            <w:tcW w:w="1276" w:type="dxa"/>
            <w:vAlign w:val="center"/>
          </w:tcPr>
          <w:p w14:paraId="4FA9CAC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31</w:t>
            </w:r>
          </w:p>
        </w:tc>
        <w:tc>
          <w:tcPr>
            <w:tcW w:w="1314" w:type="dxa"/>
            <w:vAlign w:val="center"/>
          </w:tcPr>
          <w:p w14:paraId="0DE8FF4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83</w:t>
            </w:r>
          </w:p>
        </w:tc>
      </w:tr>
      <w:tr w14:paraId="18C0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21" w:type="dxa"/>
            <w:gridSpan w:val="2"/>
            <w:vAlign w:val="center"/>
          </w:tcPr>
          <w:p w14:paraId="3F0468C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合计</w:t>
            </w:r>
          </w:p>
        </w:tc>
        <w:tc>
          <w:tcPr>
            <w:tcW w:w="992" w:type="dxa"/>
            <w:vAlign w:val="center"/>
          </w:tcPr>
          <w:p w14:paraId="2734DEE8">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509.5</w:t>
            </w:r>
          </w:p>
        </w:tc>
        <w:tc>
          <w:tcPr>
            <w:tcW w:w="1134" w:type="dxa"/>
            <w:vAlign w:val="center"/>
          </w:tcPr>
          <w:p w14:paraId="325835BC">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154.53</w:t>
            </w:r>
          </w:p>
        </w:tc>
        <w:tc>
          <w:tcPr>
            <w:tcW w:w="993" w:type="dxa"/>
            <w:vAlign w:val="center"/>
          </w:tcPr>
          <w:p w14:paraId="7D1243C3">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880.5</w:t>
            </w:r>
          </w:p>
        </w:tc>
        <w:tc>
          <w:tcPr>
            <w:tcW w:w="850" w:type="dxa"/>
            <w:vAlign w:val="center"/>
          </w:tcPr>
          <w:p w14:paraId="40BE8135">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245.43</w:t>
            </w:r>
          </w:p>
        </w:tc>
        <w:tc>
          <w:tcPr>
            <w:tcW w:w="1276" w:type="dxa"/>
            <w:vAlign w:val="center"/>
          </w:tcPr>
          <w:p w14:paraId="676FA159">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572.5</w:t>
            </w:r>
          </w:p>
        </w:tc>
        <w:tc>
          <w:tcPr>
            <w:tcW w:w="1314" w:type="dxa"/>
            <w:vAlign w:val="center"/>
          </w:tcPr>
          <w:p w14:paraId="408DBE08">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723.9</w:t>
            </w:r>
          </w:p>
        </w:tc>
      </w:tr>
    </w:tbl>
    <w:p w14:paraId="19A211D3">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（二）餐厨垃圾及废油</w:t>
      </w:r>
    </w:p>
    <w:p w14:paraId="79927B14">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餐饮服务会产生餐厨垃圾和废油，参照《生活源产排污核算方法和系数手册》中快餐服务产排污系数，折算后餐饮服务产生的餐厨垃圾为0.4kg/人·d、废油为15g/人·d。</w:t>
      </w:r>
    </w:p>
    <w:p w14:paraId="0388ADA6">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景区餐饮服务对象主要为游客和工作人员，根据情景设置，景区餐厨垃圾及废油产生情况见表5.2-16。</w:t>
      </w:r>
    </w:p>
    <w:p w14:paraId="2D7A64B1">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表5.2-16  景区餐厨垃圾及废油产生量估算表</w:t>
      </w:r>
    </w:p>
    <w:tbl>
      <w:tblPr>
        <w:tblStyle w:val="58"/>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04"/>
        <w:gridCol w:w="1134"/>
        <w:gridCol w:w="992"/>
        <w:gridCol w:w="992"/>
        <w:gridCol w:w="992"/>
        <w:gridCol w:w="993"/>
        <w:gridCol w:w="1436"/>
        <w:gridCol w:w="1437"/>
      </w:tblGrid>
      <w:tr w14:paraId="0C61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4" w:type="dxa"/>
            <w:vMerge w:val="restart"/>
            <w:vAlign w:val="center"/>
          </w:tcPr>
          <w:p w14:paraId="4B75944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废物种类</w:t>
            </w:r>
          </w:p>
        </w:tc>
        <w:tc>
          <w:tcPr>
            <w:tcW w:w="1134" w:type="dxa"/>
            <w:vMerge w:val="restart"/>
            <w:vAlign w:val="center"/>
          </w:tcPr>
          <w:p w14:paraId="78C6F1B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产污主体</w:t>
            </w:r>
          </w:p>
        </w:tc>
        <w:tc>
          <w:tcPr>
            <w:tcW w:w="3969" w:type="dxa"/>
            <w:gridSpan w:val="4"/>
            <w:vAlign w:val="center"/>
          </w:tcPr>
          <w:p w14:paraId="0333C59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情景一：一般情况</w:t>
            </w:r>
          </w:p>
        </w:tc>
        <w:tc>
          <w:tcPr>
            <w:tcW w:w="2873" w:type="dxa"/>
            <w:gridSpan w:val="2"/>
            <w:vAlign w:val="center"/>
          </w:tcPr>
          <w:p w14:paraId="7430BA2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情景二：特殊情况</w:t>
            </w:r>
          </w:p>
        </w:tc>
      </w:tr>
      <w:tr w14:paraId="4AC3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4" w:type="dxa"/>
            <w:vMerge w:val="continue"/>
            <w:vAlign w:val="center"/>
          </w:tcPr>
          <w:p w14:paraId="0C512E2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134" w:type="dxa"/>
            <w:vMerge w:val="continue"/>
            <w:vAlign w:val="center"/>
          </w:tcPr>
          <w:p w14:paraId="2165364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984" w:type="dxa"/>
            <w:gridSpan w:val="2"/>
            <w:vAlign w:val="center"/>
          </w:tcPr>
          <w:p w14:paraId="42E0625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w:t>
            </w:r>
          </w:p>
        </w:tc>
        <w:tc>
          <w:tcPr>
            <w:tcW w:w="1985" w:type="dxa"/>
            <w:gridSpan w:val="2"/>
            <w:vAlign w:val="center"/>
          </w:tcPr>
          <w:p w14:paraId="352A6D7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w:t>
            </w:r>
          </w:p>
        </w:tc>
        <w:tc>
          <w:tcPr>
            <w:tcW w:w="1436" w:type="dxa"/>
            <w:vAlign w:val="center"/>
          </w:tcPr>
          <w:p w14:paraId="37B551D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30</w:t>
            </w:r>
            <w:r>
              <w:rPr>
                <w:rFonts w:hint="default" w:ascii="Times New Roman" w:hAnsi="Times New Roman" w:cs="Times New Roman" w:eastAsiaTheme="minorEastAsia"/>
                <w:bCs/>
                <w:color w:val="auto"/>
                <w:spacing w:val="0"/>
                <w:kern w:val="24"/>
                <w:sz w:val="21"/>
                <w:szCs w:val="21"/>
                <w:highlight w:val="none"/>
              </w:rPr>
              <w:t>年旺季</w:t>
            </w:r>
          </w:p>
        </w:tc>
        <w:tc>
          <w:tcPr>
            <w:tcW w:w="1437" w:type="dxa"/>
            <w:vAlign w:val="center"/>
          </w:tcPr>
          <w:p w14:paraId="4212152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w:t>
            </w:r>
            <w:r>
              <w:rPr>
                <w:rFonts w:hint="default" w:ascii="Times New Roman" w:hAnsi="Times New Roman" w:cs="Times New Roman" w:eastAsiaTheme="minorEastAsia"/>
                <w:bCs/>
                <w:color w:val="auto"/>
                <w:spacing w:val="0"/>
                <w:kern w:val="24"/>
                <w:sz w:val="21"/>
                <w:szCs w:val="21"/>
                <w:highlight w:val="none"/>
                <w:lang w:val="en-US" w:eastAsia="zh-CN"/>
              </w:rPr>
              <w:t>35</w:t>
            </w:r>
            <w:r>
              <w:rPr>
                <w:rFonts w:hint="default" w:ascii="Times New Roman" w:hAnsi="Times New Roman" w:cs="Times New Roman" w:eastAsiaTheme="minorEastAsia"/>
                <w:bCs/>
                <w:color w:val="auto"/>
                <w:spacing w:val="0"/>
                <w:kern w:val="24"/>
                <w:sz w:val="21"/>
                <w:szCs w:val="21"/>
                <w:highlight w:val="none"/>
              </w:rPr>
              <w:t>年旺季</w:t>
            </w:r>
          </w:p>
        </w:tc>
      </w:tr>
      <w:tr w14:paraId="7428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4" w:type="dxa"/>
            <w:vMerge w:val="continue"/>
            <w:vAlign w:val="center"/>
          </w:tcPr>
          <w:p w14:paraId="3E5339A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134" w:type="dxa"/>
            <w:vMerge w:val="continue"/>
            <w:vAlign w:val="center"/>
          </w:tcPr>
          <w:p w14:paraId="19D7ECE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p>
        </w:tc>
        <w:tc>
          <w:tcPr>
            <w:tcW w:w="992" w:type="dxa"/>
            <w:vAlign w:val="center"/>
          </w:tcPr>
          <w:p w14:paraId="0BA7171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r>
              <w:rPr>
                <w:rFonts w:hint="default" w:ascii="Times New Roman" w:hAnsi="Times New Roman" w:cs="Times New Roman" w:eastAsiaTheme="minorEastAsia"/>
                <w:bCs/>
                <w:color w:val="auto"/>
                <w:spacing w:val="0"/>
                <w:kern w:val="24"/>
                <w:sz w:val="20"/>
                <w:highlight w:val="none"/>
              </w:rPr>
              <w:t>日产生量（kg/d）</w:t>
            </w:r>
          </w:p>
        </w:tc>
        <w:tc>
          <w:tcPr>
            <w:tcW w:w="992" w:type="dxa"/>
            <w:vAlign w:val="center"/>
          </w:tcPr>
          <w:p w14:paraId="242E367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r>
              <w:rPr>
                <w:rFonts w:hint="default" w:ascii="Times New Roman" w:hAnsi="Times New Roman" w:cs="Times New Roman" w:eastAsiaTheme="minorEastAsia"/>
                <w:bCs/>
                <w:color w:val="auto"/>
                <w:spacing w:val="0"/>
                <w:kern w:val="24"/>
                <w:sz w:val="20"/>
                <w:highlight w:val="none"/>
              </w:rPr>
              <w:t>年产生量（t/a）</w:t>
            </w:r>
          </w:p>
        </w:tc>
        <w:tc>
          <w:tcPr>
            <w:tcW w:w="992" w:type="dxa"/>
            <w:vAlign w:val="center"/>
          </w:tcPr>
          <w:p w14:paraId="1BEC039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r>
              <w:rPr>
                <w:rFonts w:hint="default" w:ascii="Times New Roman" w:hAnsi="Times New Roman" w:cs="Times New Roman" w:eastAsiaTheme="minorEastAsia"/>
                <w:bCs/>
                <w:color w:val="auto"/>
                <w:spacing w:val="0"/>
                <w:kern w:val="24"/>
                <w:sz w:val="20"/>
                <w:highlight w:val="none"/>
              </w:rPr>
              <w:t>日产生量（kg/d）</w:t>
            </w:r>
          </w:p>
        </w:tc>
        <w:tc>
          <w:tcPr>
            <w:tcW w:w="993" w:type="dxa"/>
            <w:vAlign w:val="center"/>
          </w:tcPr>
          <w:p w14:paraId="48519C1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r>
              <w:rPr>
                <w:rFonts w:hint="default" w:ascii="Times New Roman" w:hAnsi="Times New Roman" w:cs="Times New Roman" w:eastAsiaTheme="minorEastAsia"/>
                <w:bCs/>
                <w:color w:val="auto"/>
                <w:spacing w:val="0"/>
                <w:kern w:val="24"/>
                <w:sz w:val="20"/>
                <w:highlight w:val="none"/>
              </w:rPr>
              <w:t>年产生量（t/a）</w:t>
            </w:r>
          </w:p>
        </w:tc>
        <w:tc>
          <w:tcPr>
            <w:tcW w:w="1436" w:type="dxa"/>
            <w:vAlign w:val="center"/>
          </w:tcPr>
          <w:p w14:paraId="7DDD934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r>
              <w:rPr>
                <w:rFonts w:hint="default" w:ascii="Times New Roman" w:hAnsi="Times New Roman" w:cs="Times New Roman" w:eastAsiaTheme="minorEastAsia"/>
                <w:bCs/>
                <w:color w:val="auto"/>
                <w:spacing w:val="0"/>
                <w:kern w:val="24"/>
                <w:sz w:val="20"/>
                <w:highlight w:val="none"/>
              </w:rPr>
              <w:t>日产生量（kg/d）</w:t>
            </w:r>
          </w:p>
        </w:tc>
        <w:tc>
          <w:tcPr>
            <w:tcW w:w="1437" w:type="dxa"/>
            <w:vAlign w:val="center"/>
          </w:tcPr>
          <w:p w14:paraId="3867760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0"/>
                <w:highlight w:val="none"/>
              </w:rPr>
            </w:pPr>
            <w:r>
              <w:rPr>
                <w:rFonts w:hint="default" w:ascii="Times New Roman" w:hAnsi="Times New Roman" w:cs="Times New Roman" w:eastAsiaTheme="minorEastAsia"/>
                <w:bCs/>
                <w:color w:val="auto"/>
                <w:spacing w:val="0"/>
                <w:kern w:val="24"/>
                <w:sz w:val="20"/>
                <w:highlight w:val="none"/>
              </w:rPr>
              <w:t>日产生量（kg/d）</w:t>
            </w:r>
          </w:p>
        </w:tc>
      </w:tr>
      <w:tr w14:paraId="6163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4" w:type="dxa"/>
            <w:vMerge w:val="restart"/>
            <w:vAlign w:val="center"/>
          </w:tcPr>
          <w:p w14:paraId="4419035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餐厨垃圾</w:t>
            </w:r>
          </w:p>
        </w:tc>
        <w:tc>
          <w:tcPr>
            <w:tcW w:w="1134" w:type="dxa"/>
            <w:vAlign w:val="center"/>
          </w:tcPr>
          <w:p w14:paraId="0EA1418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工作人员</w:t>
            </w:r>
          </w:p>
        </w:tc>
        <w:tc>
          <w:tcPr>
            <w:tcW w:w="992" w:type="dxa"/>
            <w:vAlign w:val="center"/>
          </w:tcPr>
          <w:p w14:paraId="5B5B784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40</w:t>
            </w:r>
          </w:p>
        </w:tc>
        <w:tc>
          <w:tcPr>
            <w:tcW w:w="992" w:type="dxa"/>
            <w:vAlign w:val="center"/>
          </w:tcPr>
          <w:p w14:paraId="5F21803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9.8</w:t>
            </w:r>
          </w:p>
        </w:tc>
        <w:tc>
          <w:tcPr>
            <w:tcW w:w="992" w:type="dxa"/>
            <w:vAlign w:val="center"/>
          </w:tcPr>
          <w:p w14:paraId="2340FB6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120</w:t>
            </w:r>
          </w:p>
        </w:tc>
        <w:tc>
          <w:tcPr>
            <w:tcW w:w="993" w:type="dxa"/>
            <w:vAlign w:val="center"/>
          </w:tcPr>
          <w:p w14:paraId="0EF9591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29.4</w:t>
            </w:r>
          </w:p>
        </w:tc>
        <w:tc>
          <w:tcPr>
            <w:tcW w:w="1436" w:type="dxa"/>
            <w:vAlign w:val="center"/>
          </w:tcPr>
          <w:p w14:paraId="0EDB837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40</w:t>
            </w:r>
          </w:p>
        </w:tc>
        <w:tc>
          <w:tcPr>
            <w:tcW w:w="1437" w:type="dxa"/>
            <w:vAlign w:val="center"/>
          </w:tcPr>
          <w:p w14:paraId="164EA02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120</w:t>
            </w:r>
          </w:p>
        </w:tc>
      </w:tr>
      <w:tr w14:paraId="3546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4" w:type="dxa"/>
            <w:vMerge w:val="continue"/>
            <w:vAlign w:val="center"/>
          </w:tcPr>
          <w:p w14:paraId="4D44111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134" w:type="dxa"/>
            <w:vAlign w:val="center"/>
          </w:tcPr>
          <w:p w14:paraId="4750090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游客</w:t>
            </w:r>
          </w:p>
        </w:tc>
        <w:tc>
          <w:tcPr>
            <w:tcW w:w="992" w:type="dxa"/>
            <w:vAlign w:val="center"/>
          </w:tcPr>
          <w:p w14:paraId="6477266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 xml:space="preserve">368.8 </w:t>
            </w:r>
          </w:p>
        </w:tc>
        <w:tc>
          <w:tcPr>
            <w:tcW w:w="992" w:type="dxa"/>
            <w:vAlign w:val="center"/>
          </w:tcPr>
          <w:p w14:paraId="4A0A68C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 xml:space="preserve">90.4 </w:t>
            </w:r>
          </w:p>
        </w:tc>
        <w:tc>
          <w:tcPr>
            <w:tcW w:w="992" w:type="dxa"/>
            <w:vAlign w:val="center"/>
          </w:tcPr>
          <w:p w14:paraId="0C63AA0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 xml:space="preserve">818.3 </w:t>
            </w:r>
          </w:p>
        </w:tc>
        <w:tc>
          <w:tcPr>
            <w:tcW w:w="993" w:type="dxa"/>
            <w:vAlign w:val="center"/>
          </w:tcPr>
          <w:p w14:paraId="667EF72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 xml:space="preserve">200.5 </w:t>
            </w:r>
          </w:p>
        </w:tc>
        <w:tc>
          <w:tcPr>
            <w:tcW w:w="1436" w:type="dxa"/>
            <w:vAlign w:val="center"/>
          </w:tcPr>
          <w:p w14:paraId="2FDBA15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eastAsia="zh-CN"/>
              </w:rPr>
            </w:pPr>
            <w:r>
              <w:rPr>
                <w:rFonts w:hint="default" w:ascii="Times New Roman" w:hAnsi="Times New Roman" w:cs="Times New Roman" w:eastAsiaTheme="minorEastAsia"/>
                <w:bCs/>
                <w:color w:val="auto"/>
                <w:spacing w:val="0"/>
                <w:kern w:val="24"/>
                <w:sz w:val="21"/>
                <w:szCs w:val="21"/>
                <w:highlight w:val="none"/>
                <w:lang w:val="en-US" w:eastAsia="zh-CN"/>
              </w:rPr>
              <w:t xml:space="preserve">542.4 </w:t>
            </w:r>
          </w:p>
        </w:tc>
        <w:tc>
          <w:tcPr>
            <w:tcW w:w="1437" w:type="dxa"/>
            <w:vAlign w:val="center"/>
          </w:tcPr>
          <w:p w14:paraId="17C9D6E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lang w:val="en-US"/>
              </w:rPr>
            </w:pPr>
            <w:r>
              <w:rPr>
                <w:rFonts w:hint="default" w:ascii="Times New Roman" w:hAnsi="Times New Roman" w:cs="Times New Roman" w:eastAsiaTheme="minorEastAsia"/>
                <w:bCs/>
                <w:color w:val="auto"/>
                <w:spacing w:val="0"/>
                <w:kern w:val="24"/>
                <w:sz w:val="21"/>
                <w:szCs w:val="21"/>
                <w:highlight w:val="none"/>
                <w:lang w:val="en-US" w:eastAsia="zh-CN"/>
              </w:rPr>
              <w:t xml:space="preserve">1202.8 </w:t>
            </w:r>
          </w:p>
        </w:tc>
      </w:tr>
      <w:tr w14:paraId="2538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4" w:type="dxa"/>
            <w:vMerge w:val="continue"/>
            <w:vAlign w:val="center"/>
          </w:tcPr>
          <w:p w14:paraId="670F658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134" w:type="dxa"/>
            <w:vAlign w:val="center"/>
          </w:tcPr>
          <w:p w14:paraId="54B67E66">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小计</w:t>
            </w:r>
          </w:p>
        </w:tc>
        <w:tc>
          <w:tcPr>
            <w:tcW w:w="992" w:type="dxa"/>
            <w:vAlign w:val="center"/>
          </w:tcPr>
          <w:p w14:paraId="781BFC2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408.8 </w:t>
            </w:r>
          </w:p>
        </w:tc>
        <w:tc>
          <w:tcPr>
            <w:tcW w:w="992" w:type="dxa"/>
            <w:vAlign w:val="center"/>
          </w:tcPr>
          <w:p w14:paraId="64A529A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100.2 </w:t>
            </w:r>
          </w:p>
        </w:tc>
        <w:tc>
          <w:tcPr>
            <w:tcW w:w="992" w:type="dxa"/>
            <w:vAlign w:val="center"/>
          </w:tcPr>
          <w:p w14:paraId="2F3AC7A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938.3 </w:t>
            </w:r>
          </w:p>
        </w:tc>
        <w:tc>
          <w:tcPr>
            <w:tcW w:w="993" w:type="dxa"/>
            <w:vAlign w:val="center"/>
          </w:tcPr>
          <w:p w14:paraId="7D0A140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229.9 </w:t>
            </w:r>
          </w:p>
        </w:tc>
        <w:tc>
          <w:tcPr>
            <w:tcW w:w="1436" w:type="dxa"/>
            <w:vAlign w:val="center"/>
          </w:tcPr>
          <w:p w14:paraId="06B0346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582.4 </w:t>
            </w:r>
          </w:p>
        </w:tc>
        <w:tc>
          <w:tcPr>
            <w:tcW w:w="1437" w:type="dxa"/>
            <w:vAlign w:val="center"/>
          </w:tcPr>
          <w:p w14:paraId="30D6383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1322.8 </w:t>
            </w:r>
          </w:p>
        </w:tc>
      </w:tr>
      <w:tr w14:paraId="4AC9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4" w:type="dxa"/>
            <w:vMerge w:val="restart"/>
            <w:vAlign w:val="center"/>
          </w:tcPr>
          <w:p w14:paraId="0202393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废油</w:t>
            </w:r>
          </w:p>
        </w:tc>
        <w:tc>
          <w:tcPr>
            <w:tcW w:w="1134" w:type="dxa"/>
            <w:vAlign w:val="center"/>
          </w:tcPr>
          <w:p w14:paraId="2A5A36D8">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工作人员</w:t>
            </w:r>
          </w:p>
        </w:tc>
        <w:tc>
          <w:tcPr>
            <w:tcW w:w="992" w:type="dxa"/>
            <w:vAlign w:val="center"/>
          </w:tcPr>
          <w:p w14:paraId="61F6CEF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1.5 </w:t>
            </w:r>
          </w:p>
        </w:tc>
        <w:tc>
          <w:tcPr>
            <w:tcW w:w="992" w:type="dxa"/>
            <w:vAlign w:val="center"/>
          </w:tcPr>
          <w:p w14:paraId="546ECA0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0.4 </w:t>
            </w:r>
          </w:p>
        </w:tc>
        <w:tc>
          <w:tcPr>
            <w:tcW w:w="992" w:type="dxa"/>
            <w:vAlign w:val="center"/>
          </w:tcPr>
          <w:p w14:paraId="394A12E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4.5 </w:t>
            </w:r>
          </w:p>
        </w:tc>
        <w:tc>
          <w:tcPr>
            <w:tcW w:w="993" w:type="dxa"/>
            <w:vAlign w:val="center"/>
          </w:tcPr>
          <w:p w14:paraId="69C46BB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1.1 </w:t>
            </w:r>
          </w:p>
        </w:tc>
        <w:tc>
          <w:tcPr>
            <w:tcW w:w="1436" w:type="dxa"/>
            <w:vAlign w:val="center"/>
          </w:tcPr>
          <w:p w14:paraId="2F64CA4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1.5 </w:t>
            </w:r>
          </w:p>
        </w:tc>
        <w:tc>
          <w:tcPr>
            <w:tcW w:w="1437" w:type="dxa"/>
            <w:vAlign w:val="center"/>
          </w:tcPr>
          <w:p w14:paraId="48B1099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4.5 </w:t>
            </w:r>
          </w:p>
        </w:tc>
      </w:tr>
      <w:tr w14:paraId="67F8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4" w:type="dxa"/>
            <w:vMerge w:val="continue"/>
            <w:vAlign w:val="center"/>
          </w:tcPr>
          <w:p w14:paraId="3BB45FD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134" w:type="dxa"/>
            <w:vAlign w:val="center"/>
          </w:tcPr>
          <w:p w14:paraId="11CD9B51">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游客</w:t>
            </w:r>
          </w:p>
        </w:tc>
        <w:tc>
          <w:tcPr>
            <w:tcW w:w="992" w:type="dxa"/>
            <w:vAlign w:val="center"/>
          </w:tcPr>
          <w:p w14:paraId="17CC2E9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13.8 </w:t>
            </w:r>
          </w:p>
        </w:tc>
        <w:tc>
          <w:tcPr>
            <w:tcW w:w="992" w:type="dxa"/>
            <w:vAlign w:val="center"/>
          </w:tcPr>
          <w:p w14:paraId="0F245197">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3.4 </w:t>
            </w:r>
          </w:p>
        </w:tc>
        <w:tc>
          <w:tcPr>
            <w:tcW w:w="992" w:type="dxa"/>
            <w:vAlign w:val="center"/>
          </w:tcPr>
          <w:p w14:paraId="7F5AD58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30.7 </w:t>
            </w:r>
          </w:p>
        </w:tc>
        <w:tc>
          <w:tcPr>
            <w:tcW w:w="993" w:type="dxa"/>
            <w:vAlign w:val="center"/>
          </w:tcPr>
          <w:p w14:paraId="5ABFC8A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7.5 </w:t>
            </w:r>
          </w:p>
        </w:tc>
        <w:tc>
          <w:tcPr>
            <w:tcW w:w="1436" w:type="dxa"/>
            <w:vAlign w:val="center"/>
          </w:tcPr>
          <w:p w14:paraId="0A80C81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20.3 </w:t>
            </w:r>
          </w:p>
        </w:tc>
        <w:tc>
          <w:tcPr>
            <w:tcW w:w="1437" w:type="dxa"/>
            <w:vAlign w:val="center"/>
          </w:tcPr>
          <w:p w14:paraId="0989010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45.1 </w:t>
            </w:r>
          </w:p>
        </w:tc>
      </w:tr>
      <w:tr w14:paraId="3097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4" w:type="dxa"/>
            <w:vMerge w:val="continue"/>
            <w:vAlign w:val="center"/>
          </w:tcPr>
          <w:p w14:paraId="42FBED6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1134" w:type="dxa"/>
            <w:vAlign w:val="center"/>
          </w:tcPr>
          <w:p w14:paraId="55D0A340">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小计</w:t>
            </w:r>
          </w:p>
        </w:tc>
        <w:tc>
          <w:tcPr>
            <w:tcW w:w="992" w:type="dxa"/>
            <w:vAlign w:val="center"/>
          </w:tcPr>
          <w:p w14:paraId="4013A59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15.3 </w:t>
            </w:r>
          </w:p>
        </w:tc>
        <w:tc>
          <w:tcPr>
            <w:tcW w:w="992" w:type="dxa"/>
            <w:vAlign w:val="center"/>
          </w:tcPr>
          <w:p w14:paraId="4CC5704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3.8 </w:t>
            </w:r>
          </w:p>
        </w:tc>
        <w:tc>
          <w:tcPr>
            <w:tcW w:w="992" w:type="dxa"/>
            <w:vAlign w:val="center"/>
          </w:tcPr>
          <w:p w14:paraId="4D71DB8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35.2 </w:t>
            </w:r>
          </w:p>
        </w:tc>
        <w:tc>
          <w:tcPr>
            <w:tcW w:w="993" w:type="dxa"/>
            <w:vAlign w:val="center"/>
          </w:tcPr>
          <w:p w14:paraId="2400255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8.6 </w:t>
            </w:r>
          </w:p>
        </w:tc>
        <w:tc>
          <w:tcPr>
            <w:tcW w:w="1436" w:type="dxa"/>
            <w:vAlign w:val="center"/>
          </w:tcPr>
          <w:p w14:paraId="34A6074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21.8 </w:t>
            </w:r>
          </w:p>
        </w:tc>
        <w:tc>
          <w:tcPr>
            <w:tcW w:w="1437" w:type="dxa"/>
            <w:vAlign w:val="center"/>
          </w:tcPr>
          <w:p w14:paraId="6072D66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lang w:val="en-US" w:eastAsia="zh-CN"/>
              </w:rPr>
              <w:t xml:space="preserve">49.6 </w:t>
            </w:r>
          </w:p>
        </w:tc>
      </w:tr>
    </w:tbl>
    <w:p w14:paraId="39E6C5D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景区内涉及餐饮等区域产生的餐厨垃圾及废油应进行严格监管，禁止随意排放，应完善环保设施和设备，加强对其收集和管理，定期由市政部门专用车辆分类转运，送至相关处理机构进行处理。</w:t>
      </w:r>
    </w:p>
    <w:p w14:paraId="0EB8A835">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（三）医疗废物</w:t>
      </w:r>
    </w:p>
    <w:p w14:paraId="5D19BF9C">
      <w:pPr>
        <w:pStyle w:val="545"/>
        <w:adjustRightInd/>
        <w:spacing w:line="360" w:lineRule="auto"/>
        <w:ind w:firstLine="512"/>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kern w:val="0"/>
          <w:highlight w:val="none"/>
        </w:rPr>
        <w:t>本规划区内</w:t>
      </w:r>
      <w:r>
        <w:rPr>
          <w:rFonts w:hint="default" w:ascii="Times New Roman" w:hAnsi="Times New Roman" w:cs="Times New Roman"/>
          <w:color w:val="auto"/>
          <w:kern w:val="0"/>
          <w:highlight w:val="none"/>
          <w:lang w:val="en-US" w:eastAsia="zh-CN"/>
        </w:rPr>
        <w:t>现状</w:t>
      </w:r>
      <w:r>
        <w:rPr>
          <w:rFonts w:hint="default" w:ascii="Times New Roman" w:hAnsi="Times New Roman" w:cs="Times New Roman"/>
          <w:color w:val="auto"/>
          <w:kern w:val="0"/>
          <w:highlight w:val="none"/>
        </w:rPr>
        <w:t>设置医务室</w:t>
      </w:r>
      <w:r>
        <w:rPr>
          <w:rFonts w:hint="default" w:ascii="Times New Roman" w:hAnsi="Times New Roman" w:cs="Times New Roman"/>
          <w:color w:val="auto"/>
          <w:kern w:val="0"/>
          <w:highlight w:val="none"/>
          <w:lang w:val="en-US" w:eastAsia="zh-CN"/>
        </w:rPr>
        <w:t>1</w:t>
      </w:r>
      <w:r>
        <w:rPr>
          <w:rFonts w:hint="default" w:ascii="Times New Roman" w:hAnsi="Times New Roman" w:cs="Times New Roman"/>
          <w:color w:val="auto"/>
          <w:kern w:val="0"/>
          <w:highlight w:val="none"/>
        </w:rPr>
        <w:t>处</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位于巴卡村（武警爱民医务室），规划在岗巴村游客中心内设置1处</w:t>
      </w:r>
      <w:r>
        <w:rPr>
          <w:rFonts w:hint="default" w:ascii="Times New Roman" w:hAnsi="Times New Roman" w:cs="Times New Roman"/>
          <w:color w:val="auto"/>
          <w:kern w:val="0"/>
          <w:highlight w:val="none"/>
        </w:rPr>
        <w:t>，配备医务人员，仅供感冒及高反游客休息，不进行医疗活动，不产生医疗废物。规划区外最近的医疗设施为规划区</w:t>
      </w:r>
      <w:r>
        <w:rPr>
          <w:rFonts w:hint="default" w:ascii="Times New Roman" w:hAnsi="Times New Roman" w:cs="Times New Roman"/>
          <w:color w:val="auto"/>
          <w:kern w:val="0"/>
          <w:highlight w:val="none"/>
          <w:lang w:val="en-US" w:eastAsia="zh-CN"/>
        </w:rPr>
        <w:t>外东侧约5km处的波密县城内的波密县人民医院、波密县藏医院、波密普济医院等。波密县</w:t>
      </w:r>
      <w:r>
        <w:rPr>
          <w:rFonts w:hint="default" w:ascii="Times New Roman" w:hAnsi="Times New Roman" w:cs="Times New Roman"/>
          <w:color w:val="auto"/>
          <w:kern w:val="0"/>
          <w:highlight w:val="none"/>
        </w:rPr>
        <w:t>的医疗设施配套有供氧设施和部分医疗救助设施，能处理大多数意外事故。因此规划区内无医疗废物产生。</w:t>
      </w:r>
    </w:p>
    <w:p w14:paraId="3FD8B304">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主要生态因子变化量评估</w:t>
      </w:r>
    </w:p>
    <w:p w14:paraId="7758772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生态因子主要包括生物量、植被覆盖率、重要生境面积等，影响程度主要由占地面积和扰动范围而异，本次规划已明确分期建设的内容和建设时序，旅游设施面积、数量不会因游客规模不同而发生变化，因此不论何种情景下建设期的生态因子压力不会改变。</w:t>
      </w:r>
    </w:p>
    <w:p w14:paraId="17DFA65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运营期进行生态旅游，主要是游览观光，管理部门将严格限定活动范围，严禁进入非游线区活动。游客增多会增加对旅游区地被物的践踏，攀折花木的风险，但通过限量游览、加强文明旅游宣传教育，主要生态因子变化量不大。</w:t>
      </w:r>
    </w:p>
    <w:p w14:paraId="79FD9159">
      <w:pPr>
        <w:pStyle w:val="3"/>
        <w:spacing w:before="156" w:after="156"/>
        <w:rPr>
          <w:rFonts w:hint="default" w:ascii="Times New Roman" w:hAnsi="Times New Roman" w:cs="Times New Roman"/>
          <w:color w:val="auto"/>
          <w:highlight w:val="none"/>
        </w:rPr>
      </w:pPr>
      <w:bookmarkStart w:id="153" w:name="_Toc71388163"/>
      <w:bookmarkStart w:id="154" w:name="_Toc24123"/>
      <w:r>
        <w:rPr>
          <w:rFonts w:hint="default" w:ascii="Times New Roman" w:hAnsi="Times New Roman" w:cs="Times New Roman"/>
          <w:color w:val="auto"/>
          <w:highlight w:val="none"/>
        </w:rPr>
        <w:t>环境影响预测与评价</w:t>
      </w:r>
      <w:bookmarkEnd w:id="153"/>
      <w:bookmarkEnd w:id="154"/>
    </w:p>
    <w:p w14:paraId="32860177">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本次规划环评环境影响预测与评价采用的主要方式和方法为类比分析、对比分析、负荷分析、弹性系数法、趋势分析、供需平衡分析、综合指数法、生态学分析法、叠图分析、情景分析、相关性分析法等方法。</w:t>
      </w:r>
    </w:p>
    <w:p w14:paraId="0FBE0E8D">
      <w:pPr>
        <w:pStyle w:val="4"/>
        <w:spacing w:before="156" w:after="156"/>
        <w:rPr>
          <w:rFonts w:hint="default" w:ascii="Times New Roman" w:hAnsi="Times New Roman" w:cs="Times New Roman"/>
          <w:color w:val="auto"/>
          <w:highlight w:val="none"/>
        </w:rPr>
      </w:pPr>
      <w:bookmarkStart w:id="155" w:name="_Toc36557439"/>
      <w:r>
        <w:rPr>
          <w:rFonts w:hint="default" w:ascii="Times New Roman" w:hAnsi="Times New Roman" w:cs="Times New Roman"/>
          <w:color w:val="auto"/>
          <w:highlight w:val="none"/>
        </w:rPr>
        <w:t>大气环境</w:t>
      </w:r>
    </w:p>
    <w:p w14:paraId="0940FD96">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1D4D061D">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规划区建设期产生的大气污染物主要为扬尘、各类燃油废气、装修废气。</w:t>
      </w:r>
    </w:p>
    <w:p w14:paraId="2EF036DE">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（一）扬尘</w:t>
      </w:r>
    </w:p>
    <w:p w14:paraId="50759C3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建设期的主要大气环境影响为施工扬尘，扬尘主要来源于地表开挖等基础施工、建材装卸、颗粒料和粉料（沙、水泥）卸装及露天堆放以及建材和渣土运输等。采取定期对施工场地洒水、加强施工场地道路的清扫、对进出施工场地的车辆轮胎进行清洗、运输粉料的车辆加盖，对施工区散装物料采取防尘网遮盖，加强施工管理、做好扬尘防范措施后，可有效降低扬尘源强，将施工扬尘对区域大气环境的影响控制在可接受范围之内。施工扬尘污染是短期的，待建设期结束后也将随之消失。</w:t>
      </w:r>
    </w:p>
    <w:p w14:paraId="4AF5F0D2">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（二）燃油废气</w:t>
      </w:r>
    </w:p>
    <w:p w14:paraId="58248D2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建设期间，使用机动车运送原材料、设备和建筑机械设备的运转，均会排放一定量的CO、NO</w:t>
      </w:r>
      <w:r>
        <w:rPr>
          <w:rFonts w:hint="default" w:ascii="Times New Roman" w:hAnsi="Times New Roman" w:cs="Times New Roman"/>
          <w:color w:val="auto"/>
          <w:spacing w:val="0"/>
          <w:kern w:val="24"/>
          <w:highlight w:val="none"/>
          <w:vertAlign w:val="subscript"/>
        </w:rPr>
        <w:t>x</w:t>
      </w:r>
      <w:r>
        <w:rPr>
          <w:rFonts w:hint="default" w:ascii="Times New Roman" w:hAnsi="Times New Roman" w:cs="Times New Roman"/>
          <w:color w:val="auto"/>
          <w:spacing w:val="0"/>
          <w:kern w:val="24"/>
          <w:highlight w:val="none"/>
        </w:rPr>
        <w:t>以及未完全燃烧的THC等，其特点是排放量小，且属间断性无组织排放，对外环境影响不明显。在施工期内应多加注意施工设备的维护，使其能够正常的运行，提高设备原料的利用率。</w:t>
      </w:r>
    </w:p>
    <w:p w14:paraId="0D478AA7">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（三）装修有机废气</w:t>
      </w:r>
    </w:p>
    <w:p w14:paraId="0C9EE3B7">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在房屋装修阶段会产生装修有机废气，其主要污染因子为甲醛、甲苯和二甲苯，此外还有极少量的汽油、丁醇和丙醇等，属无组织排放。环评要求：规划项目方装修使用无毒无害的环保建筑材料，环保型油漆、涂料及装修材料的选取应按照国家质检总局颁布的《室内装修材料10项有害物质限量》规定进行，严格控制室内甲醛、苯系物等挥发性有机物及放射性元素。室内空气各项指标达到《室内空气质量标准》（GB/T18883-2022）、《室内空气质量卫生规范》以及《民用建筑工程室内环境污染控制规范》的限值要求，避免对室内环境造成污染。</w:t>
      </w:r>
    </w:p>
    <w:p w14:paraId="46929C0D">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01797DE3">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该规划以旅游业为主导产业，没有工业项目。规划投入运营后，对环境空气的影响主要为液化石油气燃烧废气、餐饮油烟、汽车尾气及恶臭等。</w:t>
      </w:r>
    </w:p>
    <w:p w14:paraId="2CDF14CE">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（一）燃料燃烧废气</w:t>
      </w:r>
    </w:p>
    <w:p w14:paraId="052DE42E">
      <w:pPr>
        <w:pStyle w:val="545"/>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景区规划以液化石油气为燃料，以电为能源，禁止燃烧原煤，液化石油气属于清洁能源，污染物排放量很少。根据表5.2-6和表5.2-7可知，景区远期液化石油气燃烧所排放PM</w:t>
      </w:r>
      <w:r>
        <w:rPr>
          <w:rFonts w:hint="default" w:ascii="Times New Roman" w:hAnsi="Times New Roman" w:cs="Times New Roman"/>
          <w:color w:val="auto"/>
          <w:spacing w:val="0"/>
          <w:kern w:val="24"/>
          <w:highlight w:val="none"/>
          <w:vertAlign w:val="subscript"/>
        </w:rPr>
        <w:t>2.5</w:t>
      </w:r>
      <w:r>
        <w:rPr>
          <w:rFonts w:hint="default" w:ascii="Times New Roman" w:hAnsi="Times New Roman" w:cs="Times New Roman"/>
          <w:color w:val="auto"/>
          <w:spacing w:val="0"/>
          <w:kern w:val="24"/>
          <w:highlight w:val="none"/>
        </w:rPr>
        <w:t>约</w:t>
      </w:r>
      <w:r>
        <w:rPr>
          <w:rFonts w:hint="default" w:ascii="Times New Roman" w:hAnsi="Times New Roman" w:cs="Times New Roman"/>
          <w:color w:val="auto"/>
          <w:spacing w:val="0"/>
          <w:kern w:val="24"/>
          <w:highlight w:val="none"/>
          <w:lang w:val="en-US" w:eastAsia="zh-CN"/>
        </w:rPr>
        <w:t>1.2433</w:t>
      </w:r>
      <w:r>
        <w:rPr>
          <w:rFonts w:hint="default" w:ascii="Times New Roman" w:hAnsi="Times New Roman" w:cs="Times New Roman"/>
          <w:color w:val="auto"/>
          <w:spacing w:val="0"/>
          <w:kern w:val="24"/>
          <w:highlight w:val="none"/>
        </w:rPr>
        <w:t>kg/a、SO</w:t>
      </w:r>
      <w:r>
        <w:rPr>
          <w:rFonts w:hint="default" w:ascii="Times New Roman" w:hAnsi="Times New Roman" w:cs="Times New Roman"/>
          <w:color w:val="auto"/>
          <w:spacing w:val="0"/>
          <w:kern w:val="24"/>
          <w:highlight w:val="none"/>
          <w:vertAlign w:val="subscript"/>
        </w:rPr>
        <w:t>2</w:t>
      </w:r>
      <w:r>
        <w:rPr>
          <w:rFonts w:hint="default" w:ascii="Times New Roman" w:hAnsi="Times New Roman" w:cs="Times New Roman"/>
          <w:color w:val="auto"/>
          <w:spacing w:val="0"/>
          <w:kern w:val="24"/>
          <w:highlight w:val="none"/>
        </w:rPr>
        <w:t>约0.0</w:t>
      </w:r>
      <w:r>
        <w:rPr>
          <w:rFonts w:hint="default" w:ascii="Times New Roman" w:hAnsi="Times New Roman" w:cs="Times New Roman"/>
          <w:color w:val="auto"/>
          <w:spacing w:val="0"/>
          <w:kern w:val="24"/>
          <w:highlight w:val="none"/>
          <w:lang w:val="en-US" w:eastAsia="zh-CN"/>
        </w:rPr>
        <w:t>319</w:t>
      </w:r>
      <w:r>
        <w:rPr>
          <w:rFonts w:hint="default" w:ascii="Times New Roman" w:hAnsi="Times New Roman" w:cs="Times New Roman"/>
          <w:color w:val="auto"/>
          <w:spacing w:val="0"/>
          <w:kern w:val="24"/>
          <w:highlight w:val="none"/>
        </w:rPr>
        <w:t>kg/a、NO</w:t>
      </w:r>
      <w:r>
        <w:rPr>
          <w:rFonts w:hint="default" w:ascii="Times New Roman" w:hAnsi="Times New Roman" w:cs="Times New Roman"/>
          <w:color w:val="auto"/>
          <w:spacing w:val="0"/>
          <w:kern w:val="24"/>
          <w:highlight w:val="none"/>
          <w:vertAlign w:val="subscript"/>
        </w:rPr>
        <w:t>x</w:t>
      </w:r>
      <w:r>
        <w:rPr>
          <w:rFonts w:hint="default" w:ascii="Times New Roman" w:hAnsi="Times New Roman" w:cs="Times New Roman"/>
          <w:color w:val="auto"/>
          <w:spacing w:val="0"/>
          <w:kern w:val="24"/>
          <w:highlight w:val="none"/>
        </w:rPr>
        <w:t>约</w:t>
      </w:r>
      <w:r>
        <w:rPr>
          <w:rFonts w:hint="default" w:ascii="Times New Roman" w:hAnsi="Times New Roman" w:cs="Times New Roman"/>
          <w:color w:val="auto"/>
          <w:spacing w:val="0"/>
          <w:kern w:val="24"/>
          <w:highlight w:val="none"/>
          <w:lang w:val="en-US" w:eastAsia="zh-CN"/>
        </w:rPr>
        <w:t>34.4304</w:t>
      </w:r>
      <w:r>
        <w:rPr>
          <w:rFonts w:hint="default" w:ascii="Times New Roman" w:hAnsi="Times New Roman" w:cs="Times New Roman"/>
          <w:color w:val="auto"/>
          <w:spacing w:val="0"/>
          <w:kern w:val="24"/>
          <w:highlight w:val="none"/>
        </w:rPr>
        <w:t>kg/a、TVOC约</w:t>
      </w:r>
      <w:r>
        <w:rPr>
          <w:rFonts w:hint="default" w:ascii="Times New Roman" w:hAnsi="Times New Roman" w:cs="Times New Roman"/>
          <w:color w:val="auto"/>
          <w:spacing w:val="0"/>
          <w:kern w:val="24"/>
          <w:highlight w:val="none"/>
          <w:lang w:val="en-US" w:eastAsia="zh-CN"/>
        </w:rPr>
        <w:t>120.1876</w:t>
      </w:r>
      <w:r>
        <w:rPr>
          <w:rFonts w:hint="default" w:ascii="Times New Roman" w:hAnsi="Times New Roman" w:cs="Times New Roman"/>
          <w:color w:val="auto"/>
          <w:spacing w:val="0"/>
          <w:kern w:val="24"/>
          <w:highlight w:val="none"/>
        </w:rPr>
        <w:t>kg/a；景区远期旅游旺季液化石油气燃烧所排放PM</w:t>
      </w:r>
      <w:r>
        <w:rPr>
          <w:rFonts w:hint="default" w:ascii="Times New Roman" w:hAnsi="Times New Roman" w:cs="Times New Roman"/>
          <w:color w:val="auto"/>
          <w:spacing w:val="0"/>
          <w:kern w:val="24"/>
          <w:highlight w:val="none"/>
          <w:vertAlign w:val="subscript"/>
        </w:rPr>
        <w:t>2.5</w:t>
      </w:r>
      <w:r>
        <w:rPr>
          <w:rFonts w:hint="default" w:ascii="Times New Roman" w:hAnsi="Times New Roman" w:cs="Times New Roman"/>
          <w:color w:val="auto"/>
          <w:spacing w:val="0"/>
          <w:kern w:val="24"/>
          <w:highlight w:val="none"/>
        </w:rPr>
        <w:t>约</w:t>
      </w:r>
      <w:r>
        <w:rPr>
          <w:rFonts w:hint="default" w:ascii="Times New Roman" w:hAnsi="Times New Roman" w:cs="Times New Roman"/>
          <w:color w:val="auto"/>
          <w:spacing w:val="0"/>
          <w:kern w:val="24"/>
          <w:highlight w:val="none"/>
          <w:lang w:val="en-US" w:eastAsia="zh-CN"/>
        </w:rPr>
        <w:t>5.1815</w:t>
      </w:r>
      <w:r>
        <w:rPr>
          <w:rFonts w:hint="default" w:ascii="Times New Roman" w:hAnsi="Times New Roman" w:cs="Times New Roman"/>
          <w:color w:val="auto"/>
          <w:spacing w:val="0"/>
          <w:kern w:val="24"/>
          <w:highlight w:val="none"/>
        </w:rPr>
        <w:t>g/d、SO</w:t>
      </w:r>
      <w:r>
        <w:rPr>
          <w:rFonts w:hint="default" w:ascii="Times New Roman" w:hAnsi="Times New Roman" w:cs="Times New Roman"/>
          <w:color w:val="auto"/>
          <w:spacing w:val="0"/>
          <w:kern w:val="24"/>
          <w:highlight w:val="none"/>
          <w:vertAlign w:val="subscript"/>
        </w:rPr>
        <w:t>2</w:t>
      </w:r>
      <w:r>
        <w:rPr>
          <w:rFonts w:hint="default" w:ascii="Times New Roman" w:hAnsi="Times New Roman" w:cs="Times New Roman"/>
          <w:color w:val="auto"/>
          <w:spacing w:val="0"/>
          <w:kern w:val="24"/>
          <w:highlight w:val="none"/>
        </w:rPr>
        <w:t>约0.</w:t>
      </w:r>
      <w:r>
        <w:rPr>
          <w:rFonts w:hint="default" w:ascii="Times New Roman" w:hAnsi="Times New Roman" w:cs="Times New Roman"/>
          <w:color w:val="auto"/>
          <w:spacing w:val="0"/>
          <w:kern w:val="24"/>
          <w:highlight w:val="none"/>
          <w:lang w:val="en-US" w:eastAsia="zh-CN"/>
        </w:rPr>
        <w:t>1329</w:t>
      </w:r>
      <w:r>
        <w:rPr>
          <w:rFonts w:hint="default" w:ascii="Times New Roman" w:hAnsi="Times New Roman" w:cs="Times New Roman"/>
          <w:color w:val="auto"/>
          <w:spacing w:val="0"/>
          <w:kern w:val="24"/>
          <w:highlight w:val="none"/>
        </w:rPr>
        <w:t>g/d、NO</w:t>
      </w:r>
      <w:r>
        <w:rPr>
          <w:rFonts w:hint="default" w:ascii="Times New Roman" w:hAnsi="Times New Roman" w:cs="Times New Roman"/>
          <w:color w:val="auto"/>
          <w:spacing w:val="0"/>
          <w:kern w:val="24"/>
          <w:highlight w:val="none"/>
          <w:vertAlign w:val="subscript"/>
        </w:rPr>
        <w:t>x</w:t>
      </w:r>
      <w:r>
        <w:rPr>
          <w:rFonts w:hint="default" w:ascii="Times New Roman" w:hAnsi="Times New Roman" w:cs="Times New Roman"/>
          <w:color w:val="auto"/>
          <w:spacing w:val="0"/>
          <w:kern w:val="24"/>
          <w:highlight w:val="none"/>
        </w:rPr>
        <w:t>约</w:t>
      </w:r>
      <w:r>
        <w:rPr>
          <w:rFonts w:hint="default" w:ascii="Times New Roman" w:hAnsi="Times New Roman" w:cs="Times New Roman"/>
          <w:color w:val="auto"/>
          <w:spacing w:val="0"/>
          <w:kern w:val="24"/>
          <w:highlight w:val="none"/>
          <w:lang w:val="en-US" w:eastAsia="zh-CN"/>
        </w:rPr>
        <w:t>143.4888</w:t>
      </w:r>
      <w:r>
        <w:rPr>
          <w:rFonts w:hint="default" w:ascii="Times New Roman" w:hAnsi="Times New Roman" w:cs="Times New Roman"/>
          <w:color w:val="auto"/>
          <w:spacing w:val="0"/>
          <w:kern w:val="24"/>
          <w:highlight w:val="none"/>
        </w:rPr>
        <w:t>g/d、TVOC约</w:t>
      </w:r>
      <w:r>
        <w:rPr>
          <w:rFonts w:hint="default" w:ascii="Times New Roman" w:hAnsi="Times New Roman" w:cs="Times New Roman"/>
          <w:color w:val="auto"/>
          <w:spacing w:val="0"/>
          <w:kern w:val="24"/>
          <w:highlight w:val="none"/>
          <w:lang w:val="en-US" w:eastAsia="zh-CN"/>
        </w:rPr>
        <w:t>500.8822</w:t>
      </w:r>
      <w:r>
        <w:rPr>
          <w:rFonts w:hint="default" w:ascii="Times New Roman" w:hAnsi="Times New Roman" w:cs="Times New Roman"/>
          <w:color w:val="auto"/>
          <w:spacing w:val="0"/>
          <w:kern w:val="24"/>
          <w:highlight w:val="none"/>
        </w:rPr>
        <w:t>g/d。产生的污染物较少，对大气环境不会造成大的影响。</w:t>
      </w:r>
    </w:p>
    <w:p w14:paraId="4C97604F">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（二）餐饮油烟</w:t>
      </w:r>
    </w:p>
    <w:p w14:paraId="6656A39B">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规划区油烟废气主要来源于常住居民和工作人员，由旅游活动产生的油烟废气量不大，主要集中于喜德林卡</w:t>
      </w:r>
      <w:r>
        <w:rPr>
          <w:rFonts w:hint="default" w:ascii="Times New Roman" w:hAnsi="Times New Roman" w:cs="Times New Roman"/>
          <w:color w:val="auto"/>
          <w:spacing w:val="0"/>
          <w:kern w:val="24"/>
          <w:highlight w:val="none"/>
          <w:lang w:eastAsia="zh-CN"/>
        </w:rPr>
        <w:t>、</w:t>
      </w:r>
      <w:r>
        <w:rPr>
          <w:rFonts w:hint="default" w:ascii="Times New Roman" w:hAnsi="Times New Roman" w:cs="Times New Roman"/>
          <w:color w:val="auto"/>
          <w:spacing w:val="0"/>
          <w:kern w:val="24"/>
          <w:highlight w:val="none"/>
          <w:lang w:val="en-US" w:eastAsia="zh-CN"/>
        </w:rPr>
        <w:t>云杉居、灵溪山居、低碳研学营地、拉卡人家等区域。</w:t>
      </w:r>
      <w:r>
        <w:rPr>
          <w:rFonts w:hint="default" w:ascii="Times New Roman" w:hAnsi="Times New Roman" w:cs="Times New Roman"/>
          <w:color w:val="auto"/>
          <w:spacing w:val="0"/>
          <w:kern w:val="24"/>
          <w:highlight w:val="none"/>
        </w:rPr>
        <w:t>餐饮油烟主要是在食物烹饪、加工过程中挥发的油脂、有机质及其加热分解或裂解产物以及烟气；油烟组分比较复杂，动植物油在高温下蒸发出大量油雾和裂解出大量挥发性物质，化学成分复杂，包括烷烃类、脂肪酸类、酯类、醇类、酮类、杂环化合物、多环芳烃等，其中多种成分为有害甚至是致癌物质，如3,4-苯并芘、焦油等，若不治理，对人体健康将会产生一定的影响。评价要求饮食业厨房按照环保要求设置油烟净化装置，油烟废气经油烟净化装置净化后经专用烟道至屋顶排放，并避开周围敏感建筑物。</w:t>
      </w:r>
    </w:p>
    <w:p w14:paraId="24CF5EDB">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根据表5.2-8和表5.2-9可知，景区远期油烟排放量为87.113kg/a，远期旅游旺季油烟排放量为0.</w:t>
      </w:r>
      <w:r>
        <w:rPr>
          <w:rFonts w:hint="default" w:ascii="Times New Roman" w:hAnsi="Times New Roman" w:cs="Times New Roman"/>
          <w:color w:val="auto"/>
          <w:spacing w:val="0"/>
          <w:kern w:val="24"/>
          <w:highlight w:val="none"/>
          <w:lang w:val="en-US" w:eastAsia="zh-CN"/>
        </w:rPr>
        <w:t>275</w:t>
      </w:r>
      <w:r>
        <w:rPr>
          <w:rFonts w:hint="default" w:ascii="Times New Roman" w:hAnsi="Times New Roman" w:cs="Times New Roman"/>
          <w:color w:val="auto"/>
          <w:spacing w:val="0"/>
          <w:kern w:val="24"/>
          <w:highlight w:val="none"/>
        </w:rPr>
        <w:t>kg/d。油烟净化设施严格按照《饮食业油烟排放标准（试行）》（GB18483-2001）的要求进行设置，做到达标排放，景区油烟排放量较少，对规划区环境空气影响不大。</w:t>
      </w:r>
    </w:p>
    <w:p w14:paraId="4276C077">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（三）汽车尾气</w:t>
      </w:r>
    </w:p>
    <w:p w14:paraId="60C264F4">
      <w:pPr>
        <w:pStyle w:val="545"/>
        <w:adjustRightInd/>
        <w:spacing w:line="360" w:lineRule="auto"/>
        <w:jc w:val="both"/>
        <w:rPr>
          <w:rFonts w:hint="default" w:ascii="Times New Roman" w:hAnsi="Times New Roman" w:cs="Times New Roman"/>
          <w:color w:val="auto"/>
          <w:spacing w:val="0"/>
          <w:kern w:val="24"/>
          <w:highlight w:val="none"/>
        </w:rPr>
      </w:pPr>
      <w:bookmarkStart w:id="156" w:name="_Hlk85032386"/>
      <w:r>
        <w:rPr>
          <w:rFonts w:hint="default" w:ascii="Times New Roman" w:hAnsi="Times New Roman" w:cs="Times New Roman"/>
          <w:color w:val="auto"/>
          <w:spacing w:val="0"/>
          <w:kern w:val="24"/>
          <w:highlight w:val="none"/>
        </w:rPr>
        <w:t>随着</w:t>
      </w:r>
      <w:r>
        <w:rPr>
          <w:rFonts w:hint="default" w:ascii="Times New Roman" w:hAnsi="Times New Roman" w:cs="Times New Roman"/>
          <w:color w:val="auto"/>
          <w:spacing w:val="0"/>
          <w:kern w:val="24"/>
          <w:highlight w:val="none"/>
          <w:lang w:eastAsia="zh-CN"/>
        </w:rPr>
        <w:t>岗云杉林景区</w:t>
      </w:r>
      <w:r>
        <w:rPr>
          <w:rFonts w:hint="default" w:ascii="Times New Roman" w:hAnsi="Times New Roman" w:cs="Times New Roman"/>
          <w:color w:val="auto"/>
          <w:spacing w:val="0"/>
          <w:kern w:val="24"/>
          <w:highlight w:val="none"/>
        </w:rPr>
        <w:t>规划项目的建设，</w:t>
      </w:r>
      <w:r>
        <w:rPr>
          <w:rFonts w:hint="default" w:ascii="Times New Roman" w:hAnsi="Times New Roman" w:cs="Times New Roman"/>
          <w:color w:val="auto"/>
          <w:spacing w:val="0"/>
          <w:kern w:val="24"/>
          <w:highlight w:val="none"/>
          <w:lang w:eastAsia="zh-CN"/>
        </w:rPr>
        <w:t>岗云杉林景区</w:t>
      </w:r>
      <w:r>
        <w:rPr>
          <w:rFonts w:hint="default" w:ascii="Times New Roman" w:hAnsi="Times New Roman" w:cs="Times New Roman"/>
          <w:color w:val="auto"/>
          <w:spacing w:val="0"/>
          <w:kern w:val="24"/>
          <w:highlight w:val="none"/>
        </w:rPr>
        <w:t>旅游业规模日益增加，通往景区的交通量增加，汽车尾气的排放量也将会增加。汽车尾气中主要含CO、NO</w:t>
      </w:r>
      <w:r>
        <w:rPr>
          <w:rFonts w:hint="default" w:ascii="Times New Roman" w:hAnsi="Times New Roman" w:cs="Times New Roman"/>
          <w:color w:val="auto"/>
          <w:spacing w:val="0"/>
          <w:kern w:val="24"/>
          <w:highlight w:val="none"/>
          <w:vertAlign w:val="subscript"/>
        </w:rPr>
        <w:t>x</w:t>
      </w:r>
      <w:r>
        <w:rPr>
          <w:rFonts w:hint="default" w:ascii="Times New Roman" w:hAnsi="Times New Roman" w:cs="Times New Roman"/>
          <w:color w:val="auto"/>
          <w:spacing w:val="0"/>
          <w:kern w:val="24"/>
          <w:highlight w:val="none"/>
        </w:rPr>
        <w:t>、THC等污染物，同时公路上行驶的汽车会产生二次扬尘（轮胎接触路面的积尘），会对大气造成一定的污染，直接或间接地污染自然植被。</w:t>
      </w:r>
    </w:p>
    <w:p w14:paraId="1CA7C8A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规划区汽车尾气主要来自景区游客和居民的机动车辆，景区内不设置服务车辆，主要采取步行与骑马的出行方式。根据规划，</w:t>
      </w:r>
      <w:r>
        <w:rPr>
          <w:rFonts w:hint="default" w:ascii="Times New Roman" w:hAnsi="Times New Roman" w:cs="Times New Roman"/>
          <w:color w:val="auto"/>
          <w:spacing w:val="0"/>
          <w:kern w:val="24"/>
          <w:highlight w:val="none"/>
          <w:lang w:val="en-US" w:eastAsia="zh-CN"/>
        </w:rPr>
        <w:t>共</w:t>
      </w:r>
      <w:r>
        <w:rPr>
          <w:rFonts w:hint="default" w:ascii="Times New Roman" w:hAnsi="Times New Roman" w:cs="Times New Roman"/>
          <w:color w:val="auto"/>
          <w:spacing w:val="0"/>
          <w:kern w:val="24"/>
          <w:highlight w:val="none"/>
        </w:rPr>
        <w:t>设置</w:t>
      </w:r>
      <w:r>
        <w:rPr>
          <w:rFonts w:hint="default" w:ascii="Times New Roman" w:hAnsi="Times New Roman" w:cs="Times New Roman"/>
          <w:color w:val="auto"/>
          <w:spacing w:val="0"/>
          <w:kern w:val="24"/>
          <w:highlight w:val="none"/>
          <w:lang w:val="en-US" w:eastAsia="zh-CN"/>
        </w:rPr>
        <w:t>6</w:t>
      </w:r>
      <w:r>
        <w:rPr>
          <w:rFonts w:hint="default" w:ascii="Times New Roman" w:hAnsi="Times New Roman" w:cs="Times New Roman"/>
          <w:color w:val="auto"/>
          <w:spacing w:val="0"/>
          <w:kern w:val="24"/>
          <w:highlight w:val="none"/>
        </w:rPr>
        <w:t>处集中停车场，游览观光道路禁止机动车行驶。汽车尾气主要污染因子为CO、NO</w:t>
      </w:r>
      <w:r>
        <w:rPr>
          <w:rFonts w:hint="default" w:ascii="Times New Roman" w:hAnsi="Times New Roman" w:cs="Times New Roman"/>
          <w:color w:val="auto"/>
          <w:spacing w:val="0"/>
          <w:kern w:val="24"/>
          <w:highlight w:val="none"/>
          <w:vertAlign w:val="subscript"/>
        </w:rPr>
        <w:t>x</w:t>
      </w:r>
      <w:r>
        <w:rPr>
          <w:rFonts w:hint="default" w:ascii="Times New Roman" w:hAnsi="Times New Roman" w:cs="Times New Roman"/>
          <w:color w:val="auto"/>
          <w:spacing w:val="0"/>
          <w:kern w:val="24"/>
          <w:highlight w:val="none"/>
        </w:rPr>
        <w:t>、THC，根据表5.2-11和表5.2-12可知，景区远期汽车尾气排放CO约</w:t>
      </w:r>
      <w:r>
        <w:rPr>
          <w:rFonts w:hint="default" w:ascii="Times New Roman" w:hAnsi="Times New Roman" w:cs="Times New Roman"/>
          <w:color w:val="auto"/>
          <w:spacing w:val="0"/>
          <w:kern w:val="24"/>
          <w:highlight w:val="none"/>
          <w:lang w:val="en-US" w:eastAsia="zh-CN"/>
        </w:rPr>
        <w:t>39.576</w:t>
      </w:r>
      <w:r>
        <w:rPr>
          <w:rFonts w:hint="default" w:ascii="Times New Roman" w:hAnsi="Times New Roman" w:cs="Times New Roman"/>
          <w:color w:val="auto"/>
          <w:spacing w:val="0"/>
          <w:kern w:val="24"/>
          <w:highlight w:val="none"/>
        </w:rPr>
        <w:t>t/a、NO</w:t>
      </w:r>
      <w:r>
        <w:rPr>
          <w:rFonts w:hint="default" w:ascii="Times New Roman" w:hAnsi="Times New Roman" w:cs="Times New Roman"/>
          <w:color w:val="auto"/>
          <w:spacing w:val="0"/>
          <w:kern w:val="24"/>
          <w:highlight w:val="none"/>
          <w:vertAlign w:val="subscript"/>
        </w:rPr>
        <w:t>x</w:t>
      </w:r>
      <w:r>
        <w:rPr>
          <w:rFonts w:hint="default" w:ascii="Times New Roman" w:hAnsi="Times New Roman" w:cs="Times New Roman"/>
          <w:color w:val="auto"/>
          <w:spacing w:val="0"/>
          <w:kern w:val="24"/>
          <w:highlight w:val="none"/>
        </w:rPr>
        <w:t>约</w:t>
      </w:r>
      <w:r>
        <w:rPr>
          <w:rFonts w:hint="default" w:ascii="Times New Roman" w:hAnsi="Times New Roman" w:cs="Times New Roman"/>
          <w:color w:val="auto"/>
          <w:spacing w:val="0"/>
          <w:kern w:val="24"/>
          <w:highlight w:val="none"/>
          <w:lang w:val="en-US" w:eastAsia="zh-CN"/>
        </w:rPr>
        <w:t>5.141</w:t>
      </w:r>
      <w:r>
        <w:rPr>
          <w:rFonts w:hint="default" w:ascii="Times New Roman" w:hAnsi="Times New Roman" w:cs="Times New Roman"/>
          <w:color w:val="auto"/>
          <w:spacing w:val="0"/>
          <w:kern w:val="24"/>
          <w:highlight w:val="none"/>
        </w:rPr>
        <w:t>t/a、THC约</w:t>
      </w:r>
      <w:r>
        <w:rPr>
          <w:rFonts w:hint="default" w:ascii="Times New Roman" w:hAnsi="Times New Roman" w:cs="Times New Roman"/>
          <w:color w:val="auto"/>
          <w:spacing w:val="0"/>
          <w:kern w:val="24"/>
          <w:highlight w:val="none"/>
          <w:lang w:val="en-US" w:eastAsia="zh-CN"/>
        </w:rPr>
        <w:t>7.794</w:t>
      </w:r>
      <w:r>
        <w:rPr>
          <w:rFonts w:hint="default" w:ascii="Times New Roman" w:hAnsi="Times New Roman" w:cs="Times New Roman"/>
          <w:color w:val="auto"/>
          <w:spacing w:val="0"/>
          <w:kern w:val="24"/>
          <w:highlight w:val="none"/>
        </w:rPr>
        <w:t>t/a；远期旅游旺季汽车尾气排放CO约</w:t>
      </w:r>
      <w:r>
        <w:rPr>
          <w:rFonts w:hint="default" w:ascii="Times New Roman" w:hAnsi="Times New Roman" w:cs="Times New Roman"/>
          <w:color w:val="auto"/>
          <w:spacing w:val="0"/>
          <w:kern w:val="24"/>
          <w:highlight w:val="none"/>
          <w:lang w:val="en-US" w:eastAsia="zh-CN"/>
        </w:rPr>
        <w:t>237.307</w:t>
      </w:r>
      <w:r>
        <w:rPr>
          <w:rFonts w:hint="default" w:ascii="Times New Roman" w:hAnsi="Times New Roman" w:cs="Times New Roman"/>
          <w:color w:val="auto"/>
          <w:spacing w:val="0"/>
          <w:kern w:val="24"/>
          <w:highlight w:val="none"/>
        </w:rPr>
        <w:t>kg/d、NO</w:t>
      </w:r>
      <w:r>
        <w:rPr>
          <w:rFonts w:hint="default" w:ascii="Times New Roman" w:hAnsi="Times New Roman" w:cs="Times New Roman"/>
          <w:color w:val="auto"/>
          <w:spacing w:val="0"/>
          <w:kern w:val="24"/>
          <w:highlight w:val="none"/>
          <w:vertAlign w:val="subscript"/>
        </w:rPr>
        <w:t>x</w:t>
      </w:r>
      <w:r>
        <w:rPr>
          <w:rFonts w:hint="default" w:ascii="Times New Roman" w:hAnsi="Times New Roman" w:cs="Times New Roman"/>
          <w:color w:val="auto"/>
          <w:spacing w:val="0"/>
          <w:kern w:val="24"/>
          <w:highlight w:val="none"/>
        </w:rPr>
        <w:t>约</w:t>
      </w:r>
      <w:r>
        <w:rPr>
          <w:rFonts w:hint="default" w:ascii="Times New Roman" w:hAnsi="Times New Roman" w:cs="Times New Roman"/>
          <w:color w:val="auto"/>
          <w:spacing w:val="0"/>
          <w:kern w:val="24"/>
          <w:highlight w:val="none"/>
          <w:lang w:val="en-US" w:eastAsia="zh-CN"/>
        </w:rPr>
        <w:t>30.854</w:t>
      </w:r>
      <w:r>
        <w:rPr>
          <w:rFonts w:hint="default" w:ascii="Times New Roman" w:hAnsi="Times New Roman" w:cs="Times New Roman"/>
          <w:color w:val="auto"/>
          <w:spacing w:val="0"/>
          <w:kern w:val="24"/>
          <w:highlight w:val="none"/>
        </w:rPr>
        <w:t>kg/d、THC约</w:t>
      </w:r>
      <w:r>
        <w:rPr>
          <w:rFonts w:hint="default" w:ascii="Times New Roman" w:hAnsi="Times New Roman" w:cs="Times New Roman"/>
          <w:color w:val="auto"/>
          <w:spacing w:val="0"/>
          <w:kern w:val="24"/>
          <w:highlight w:val="none"/>
          <w:lang w:val="en-US" w:eastAsia="zh-CN"/>
        </w:rPr>
        <w:t>46.733</w:t>
      </w:r>
      <w:r>
        <w:rPr>
          <w:rFonts w:hint="default" w:ascii="Times New Roman" w:hAnsi="Times New Roman" w:cs="Times New Roman"/>
          <w:color w:val="auto"/>
          <w:spacing w:val="0"/>
          <w:kern w:val="24"/>
          <w:highlight w:val="none"/>
        </w:rPr>
        <w:t>kg/d。</w:t>
      </w:r>
    </w:p>
    <w:p w14:paraId="6BCA34C4">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随着规划实施，景区内道路、停车场更加完善，路况较好、地势平坦，空气扩散情况良好，可能在车辆密集处（如停车场）有短期的污染情况，规划区内植被覆盖率较高，对废气具有一定净化作用，废气影响程度更低。</w:t>
      </w:r>
    </w:p>
    <w:p w14:paraId="47572B94">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总体来说，由于汽车尾气的排放并不是连续的，仅在进出停车场时，废气的排放污染物浓度较高，但地面停车场通风较好，对大气环境和保护目标的影响不明显。</w:t>
      </w:r>
    </w:p>
    <w:bookmarkEnd w:id="156"/>
    <w:p w14:paraId="762FA7A7">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（四）恶臭</w:t>
      </w:r>
    </w:p>
    <w:p w14:paraId="4C6E1C1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由于生活垃圾中含有各类易发酵的有机物，尤其是在气温较高时，生活垃圾在堆存、压装、运输过程中会散发出较难闻的恶臭气体，其主要成份为H</w:t>
      </w:r>
      <w:r>
        <w:rPr>
          <w:rFonts w:hint="default" w:ascii="Times New Roman" w:hAnsi="Times New Roman" w:cs="Times New Roman"/>
          <w:color w:val="auto"/>
          <w:spacing w:val="0"/>
          <w:kern w:val="24"/>
          <w:highlight w:val="none"/>
          <w:vertAlign w:val="subscript"/>
        </w:rPr>
        <w:t>2</w:t>
      </w:r>
      <w:r>
        <w:rPr>
          <w:rFonts w:hint="default" w:ascii="Times New Roman" w:hAnsi="Times New Roman" w:cs="Times New Roman"/>
          <w:color w:val="auto"/>
          <w:spacing w:val="0"/>
          <w:kern w:val="24"/>
          <w:highlight w:val="none"/>
        </w:rPr>
        <w:t>S和NH</w:t>
      </w:r>
      <w:r>
        <w:rPr>
          <w:rFonts w:hint="default" w:ascii="Times New Roman" w:hAnsi="Times New Roman" w:cs="Times New Roman"/>
          <w:color w:val="auto"/>
          <w:spacing w:val="0"/>
          <w:kern w:val="24"/>
          <w:highlight w:val="none"/>
          <w:vertAlign w:val="subscript"/>
        </w:rPr>
        <w:t>3</w:t>
      </w:r>
      <w:r>
        <w:rPr>
          <w:rFonts w:hint="default" w:ascii="Times New Roman" w:hAnsi="Times New Roman" w:cs="Times New Roman"/>
          <w:color w:val="auto"/>
          <w:spacing w:val="0"/>
          <w:kern w:val="24"/>
          <w:highlight w:val="none"/>
        </w:rPr>
        <w:t>，此外还有甲硫醇、甲胺、甲基硫等有机气体，在氧气量足够时，垃圾中的有机成份如蛋白质，在好氧细菌作用下产生NH</w:t>
      </w:r>
      <w:r>
        <w:rPr>
          <w:rFonts w:hint="default" w:ascii="Times New Roman" w:hAnsi="Times New Roman" w:cs="Times New Roman"/>
          <w:color w:val="auto"/>
          <w:spacing w:val="0"/>
          <w:kern w:val="24"/>
          <w:highlight w:val="none"/>
          <w:vertAlign w:val="subscript"/>
        </w:rPr>
        <w:t>3</w:t>
      </w:r>
      <w:r>
        <w:rPr>
          <w:rFonts w:hint="default" w:ascii="Times New Roman" w:hAnsi="Times New Roman" w:cs="Times New Roman"/>
          <w:color w:val="auto"/>
          <w:spacing w:val="0"/>
          <w:kern w:val="24"/>
          <w:highlight w:val="none"/>
        </w:rPr>
        <w:t>；在氧气不足时，厌氧细菌将有机物分解为不彻底的氧化产物H</w:t>
      </w:r>
      <w:r>
        <w:rPr>
          <w:rFonts w:hint="default" w:ascii="Times New Roman" w:hAnsi="Times New Roman" w:cs="Times New Roman"/>
          <w:color w:val="auto"/>
          <w:spacing w:val="0"/>
          <w:kern w:val="24"/>
          <w:highlight w:val="none"/>
          <w:vertAlign w:val="subscript"/>
        </w:rPr>
        <w:t>2</w:t>
      </w:r>
      <w:r>
        <w:rPr>
          <w:rFonts w:hint="default" w:ascii="Times New Roman" w:hAnsi="Times New Roman" w:cs="Times New Roman"/>
          <w:color w:val="auto"/>
          <w:spacing w:val="0"/>
          <w:kern w:val="24"/>
          <w:highlight w:val="none"/>
        </w:rPr>
        <w:t>S和NH</w:t>
      </w:r>
      <w:r>
        <w:rPr>
          <w:rFonts w:hint="default" w:ascii="Times New Roman" w:hAnsi="Times New Roman" w:cs="Times New Roman"/>
          <w:color w:val="auto"/>
          <w:spacing w:val="0"/>
          <w:kern w:val="24"/>
          <w:highlight w:val="none"/>
          <w:vertAlign w:val="subscript"/>
        </w:rPr>
        <w:t>3</w:t>
      </w:r>
      <w:r>
        <w:rPr>
          <w:rFonts w:hint="default" w:ascii="Times New Roman" w:hAnsi="Times New Roman" w:cs="Times New Roman"/>
          <w:color w:val="auto"/>
          <w:spacing w:val="0"/>
          <w:kern w:val="24"/>
          <w:highlight w:val="none"/>
        </w:rPr>
        <w:t>、硫醇类、胺类等化合物。</w:t>
      </w:r>
    </w:p>
    <w:p w14:paraId="2331F77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本次规划在规划区</w:t>
      </w:r>
      <w:r>
        <w:rPr>
          <w:rFonts w:hint="default" w:ascii="Times New Roman" w:hAnsi="Times New Roman" w:cs="Times New Roman"/>
          <w:color w:val="auto"/>
          <w:spacing w:val="0"/>
          <w:kern w:val="24"/>
          <w:highlight w:val="none"/>
          <w:lang w:val="en-US" w:eastAsia="zh-CN"/>
        </w:rPr>
        <w:t>均匀布设垃圾桶</w:t>
      </w:r>
      <w:r>
        <w:rPr>
          <w:rFonts w:hint="default" w:ascii="Times New Roman" w:hAnsi="Times New Roman" w:cs="Times New Roman"/>
          <w:color w:val="auto"/>
          <w:spacing w:val="0"/>
          <w:kern w:val="24"/>
          <w:highlight w:val="none"/>
        </w:rPr>
        <w:t>，为控制臭气对周围环境的影响，规划范围内的</w:t>
      </w:r>
      <w:r>
        <w:rPr>
          <w:rFonts w:hint="default" w:ascii="Times New Roman" w:hAnsi="Times New Roman" w:cs="Times New Roman"/>
          <w:color w:val="auto"/>
          <w:spacing w:val="0"/>
          <w:kern w:val="24"/>
          <w:highlight w:val="none"/>
          <w:lang w:eastAsia="zh-CN"/>
        </w:rPr>
        <w:t>垃圾桶</w:t>
      </w:r>
      <w:r>
        <w:rPr>
          <w:rFonts w:hint="default" w:ascii="Times New Roman" w:hAnsi="Times New Roman" w:cs="Times New Roman"/>
          <w:color w:val="auto"/>
          <w:spacing w:val="0"/>
          <w:kern w:val="24"/>
          <w:highlight w:val="none"/>
        </w:rPr>
        <w:t>应采取密闭等措施，同时加强收运作业管理，通过合理安排作业时段，尽量避开人们出行时间，生活垃圾经统一收集后及时交由环卫部门定期运往</w:t>
      </w:r>
      <w:r>
        <w:rPr>
          <w:rFonts w:hint="default" w:ascii="Times New Roman" w:hAnsi="Times New Roman" w:cs="Times New Roman"/>
          <w:color w:val="auto"/>
          <w:spacing w:val="0"/>
          <w:kern w:val="24"/>
          <w:highlight w:val="none"/>
          <w:lang w:val="en-US" w:eastAsia="zh-CN"/>
        </w:rPr>
        <w:t>波密县县城生活垃圾填埋场</w:t>
      </w:r>
      <w:r>
        <w:rPr>
          <w:rFonts w:hint="default" w:ascii="Times New Roman" w:hAnsi="Times New Roman" w:cs="Times New Roman"/>
          <w:color w:val="auto"/>
          <w:spacing w:val="0"/>
          <w:kern w:val="24"/>
          <w:highlight w:val="none"/>
        </w:rPr>
        <w:t>处理，避免长期积累产生恶臭影响周边居民和游客。在夏季蚊蝇高繁殖季节，需定时喷洒药水进行消毒处理，控制大量蚊蝇滋生。</w:t>
      </w:r>
      <w:r>
        <w:rPr>
          <w:rFonts w:hint="default" w:ascii="Times New Roman" w:hAnsi="Times New Roman" w:cs="Times New Roman"/>
          <w:color w:val="auto"/>
          <w:spacing w:val="0"/>
          <w:kern w:val="24"/>
          <w:highlight w:val="none"/>
          <w:lang w:eastAsia="zh-CN"/>
        </w:rPr>
        <w:t>垃圾桶</w:t>
      </w:r>
      <w:r>
        <w:rPr>
          <w:rFonts w:hint="default" w:ascii="Times New Roman" w:hAnsi="Times New Roman" w:cs="Times New Roman"/>
          <w:color w:val="auto"/>
          <w:spacing w:val="0"/>
          <w:kern w:val="24"/>
          <w:highlight w:val="none"/>
        </w:rPr>
        <w:t>外围可设置绿化隔离带，垃圾运输车辆采用拉臂勾车与移动式垃圾收集箱相结合的方式，密闭运输，运输过程不会造成垃圾散落和臭气的污染。实施以上措施后对周围环境影响小。</w:t>
      </w:r>
    </w:p>
    <w:p w14:paraId="7B9E220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p w14:paraId="7C8CE512">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443CE517">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（一）噪声源分析</w:t>
      </w:r>
    </w:p>
    <w:p w14:paraId="6F2D7F7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建设期噪声主要来源于各类施工机械和运输车辆，其噪声源强见表5.3-1。</w:t>
      </w:r>
    </w:p>
    <w:p w14:paraId="3F7EF4F5">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表5.3-</w:t>
      </w:r>
      <w:r>
        <w:rPr>
          <w:rFonts w:hint="default" w:ascii="Times New Roman" w:hAnsi="Times New Roman" w:eastAsia="黑体" w:cs="Times New Roman"/>
          <w:color w:val="auto"/>
          <w:kern w:val="0"/>
          <w:szCs w:val="21"/>
          <w:highlight w:val="none"/>
          <w:lang w:val="en-US"/>
        </w:rPr>
        <w:t xml:space="preserve">1  </w:t>
      </w:r>
      <w:r>
        <w:rPr>
          <w:rFonts w:hint="default" w:ascii="Times New Roman" w:hAnsi="Times New Roman" w:eastAsia="黑体" w:cs="Times New Roman"/>
          <w:color w:val="auto"/>
          <w:kern w:val="0"/>
          <w:szCs w:val="21"/>
          <w:highlight w:val="none"/>
        </w:rPr>
        <w:t>各施工阶段主要噪声源状况</w:t>
      </w:r>
    </w:p>
    <w:tbl>
      <w:tblPr>
        <w:tblStyle w:val="58"/>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96"/>
        <w:gridCol w:w="3402"/>
        <w:gridCol w:w="3582"/>
      </w:tblGrid>
      <w:tr w14:paraId="7861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Align w:val="center"/>
          </w:tcPr>
          <w:p w14:paraId="04882BD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施工阶段</w:t>
            </w:r>
          </w:p>
        </w:tc>
        <w:tc>
          <w:tcPr>
            <w:tcW w:w="3402" w:type="dxa"/>
            <w:vAlign w:val="center"/>
          </w:tcPr>
          <w:p w14:paraId="770723A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声源</w:t>
            </w:r>
          </w:p>
        </w:tc>
        <w:tc>
          <w:tcPr>
            <w:tcW w:w="3582" w:type="dxa"/>
            <w:vAlign w:val="center"/>
          </w:tcPr>
          <w:p w14:paraId="67EFDF9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噪声源强dB（A）</w:t>
            </w:r>
          </w:p>
        </w:tc>
      </w:tr>
      <w:tr w14:paraId="1CB2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restart"/>
            <w:vAlign w:val="center"/>
          </w:tcPr>
          <w:p w14:paraId="4C6846A2">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土石方阶段</w:t>
            </w:r>
          </w:p>
        </w:tc>
        <w:tc>
          <w:tcPr>
            <w:tcW w:w="3402" w:type="dxa"/>
            <w:vAlign w:val="center"/>
          </w:tcPr>
          <w:p w14:paraId="576A8E17">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挖土机</w:t>
            </w:r>
          </w:p>
        </w:tc>
        <w:tc>
          <w:tcPr>
            <w:tcW w:w="3582" w:type="dxa"/>
            <w:vAlign w:val="center"/>
          </w:tcPr>
          <w:p w14:paraId="2DD9EF02">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76～96</w:t>
            </w:r>
          </w:p>
        </w:tc>
      </w:tr>
      <w:tr w14:paraId="1E79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183CCB70">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6F55493F">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冲击机</w:t>
            </w:r>
          </w:p>
        </w:tc>
        <w:tc>
          <w:tcPr>
            <w:tcW w:w="3582" w:type="dxa"/>
            <w:vAlign w:val="center"/>
          </w:tcPr>
          <w:p w14:paraId="35E7F39E">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95</w:t>
            </w:r>
          </w:p>
        </w:tc>
      </w:tr>
      <w:tr w14:paraId="7088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40BED948">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74A27F23">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空压机</w:t>
            </w:r>
          </w:p>
        </w:tc>
        <w:tc>
          <w:tcPr>
            <w:tcW w:w="3582" w:type="dxa"/>
            <w:vAlign w:val="center"/>
          </w:tcPr>
          <w:p w14:paraId="18F455B5">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75～85</w:t>
            </w:r>
          </w:p>
        </w:tc>
      </w:tr>
      <w:tr w14:paraId="6BAD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487F8135">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5E8CAC4A">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打桩机</w:t>
            </w:r>
          </w:p>
        </w:tc>
        <w:tc>
          <w:tcPr>
            <w:tcW w:w="3582" w:type="dxa"/>
            <w:vAlign w:val="center"/>
          </w:tcPr>
          <w:p w14:paraId="55BA6B26">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95～105</w:t>
            </w:r>
          </w:p>
        </w:tc>
      </w:tr>
      <w:tr w14:paraId="1127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76B8CF6C">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2AFA4EF5">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运输车辆</w:t>
            </w:r>
          </w:p>
        </w:tc>
        <w:tc>
          <w:tcPr>
            <w:tcW w:w="3582" w:type="dxa"/>
            <w:vAlign w:val="center"/>
          </w:tcPr>
          <w:p w14:paraId="5FB3D60F">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70～90</w:t>
            </w:r>
          </w:p>
        </w:tc>
      </w:tr>
      <w:tr w14:paraId="79C4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restart"/>
            <w:vAlign w:val="center"/>
          </w:tcPr>
          <w:p w14:paraId="410D9CF6">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地板与结构阶段</w:t>
            </w:r>
          </w:p>
        </w:tc>
        <w:tc>
          <w:tcPr>
            <w:tcW w:w="3402" w:type="dxa"/>
            <w:vAlign w:val="center"/>
          </w:tcPr>
          <w:p w14:paraId="424B5066">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混凝土输送泵</w:t>
            </w:r>
          </w:p>
        </w:tc>
        <w:tc>
          <w:tcPr>
            <w:tcW w:w="3582" w:type="dxa"/>
            <w:vAlign w:val="center"/>
          </w:tcPr>
          <w:p w14:paraId="5E583A63">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90～100</w:t>
            </w:r>
          </w:p>
        </w:tc>
      </w:tr>
      <w:tr w14:paraId="6D41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0C03F0BF">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0E37766D">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捣振器</w:t>
            </w:r>
          </w:p>
        </w:tc>
        <w:tc>
          <w:tcPr>
            <w:tcW w:w="3582" w:type="dxa"/>
            <w:vAlign w:val="center"/>
          </w:tcPr>
          <w:p w14:paraId="00C6FF6E">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100～105</w:t>
            </w:r>
          </w:p>
        </w:tc>
      </w:tr>
      <w:tr w14:paraId="494A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102A7043">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47217469">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电锯</w:t>
            </w:r>
          </w:p>
        </w:tc>
        <w:tc>
          <w:tcPr>
            <w:tcW w:w="3582" w:type="dxa"/>
            <w:vAlign w:val="center"/>
          </w:tcPr>
          <w:p w14:paraId="697BB137">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100～110</w:t>
            </w:r>
          </w:p>
        </w:tc>
      </w:tr>
      <w:tr w14:paraId="3007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491E3A86">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27B815CD">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电焊机</w:t>
            </w:r>
          </w:p>
        </w:tc>
        <w:tc>
          <w:tcPr>
            <w:tcW w:w="3582" w:type="dxa"/>
            <w:vAlign w:val="center"/>
          </w:tcPr>
          <w:p w14:paraId="5C291B42">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90～95</w:t>
            </w:r>
          </w:p>
        </w:tc>
      </w:tr>
      <w:tr w14:paraId="5955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2F751FC9">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3B512B13">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空压机</w:t>
            </w:r>
          </w:p>
        </w:tc>
        <w:tc>
          <w:tcPr>
            <w:tcW w:w="3582" w:type="dxa"/>
            <w:vAlign w:val="center"/>
          </w:tcPr>
          <w:p w14:paraId="33EE5590">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75～85</w:t>
            </w:r>
          </w:p>
        </w:tc>
      </w:tr>
      <w:tr w14:paraId="2E88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3915197A">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797F3EA6">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运输车辆</w:t>
            </w:r>
          </w:p>
        </w:tc>
        <w:tc>
          <w:tcPr>
            <w:tcW w:w="3582" w:type="dxa"/>
            <w:vAlign w:val="center"/>
          </w:tcPr>
          <w:p w14:paraId="219364A3">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70～90</w:t>
            </w:r>
          </w:p>
        </w:tc>
      </w:tr>
      <w:tr w14:paraId="5BBA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restart"/>
            <w:vAlign w:val="center"/>
          </w:tcPr>
          <w:p w14:paraId="45616B6B">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装修、安装阶段</w:t>
            </w:r>
          </w:p>
        </w:tc>
        <w:tc>
          <w:tcPr>
            <w:tcW w:w="3402" w:type="dxa"/>
            <w:vAlign w:val="center"/>
          </w:tcPr>
          <w:p w14:paraId="4562CADA">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电钻</w:t>
            </w:r>
          </w:p>
        </w:tc>
        <w:tc>
          <w:tcPr>
            <w:tcW w:w="3582" w:type="dxa"/>
            <w:vAlign w:val="center"/>
          </w:tcPr>
          <w:p w14:paraId="7A0CE502">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100～115</w:t>
            </w:r>
          </w:p>
        </w:tc>
      </w:tr>
      <w:tr w14:paraId="0699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1BD16CF8">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4C4E312C">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电锤</w:t>
            </w:r>
          </w:p>
        </w:tc>
        <w:tc>
          <w:tcPr>
            <w:tcW w:w="3582" w:type="dxa"/>
            <w:vAlign w:val="center"/>
          </w:tcPr>
          <w:p w14:paraId="6EC13EF9">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100～105</w:t>
            </w:r>
          </w:p>
        </w:tc>
      </w:tr>
      <w:tr w14:paraId="279C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51EA7B53">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2B89EE21">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手工锯</w:t>
            </w:r>
          </w:p>
        </w:tc>
        <w:tc>
          <w:tcPr>
            <w:tcW w:w="3582" w:type="dxa"/>
            <w:vAlign w:val="center"/>
          </w:tcPr>
          <w:p w14:paraId="65812CB2">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100～105</w:t>
            </w:r>
          </w:p>
        </w:tc>
      </w:tr>
      <w:tr w14:paraId="13CF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3D861B29">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5CCCCB8F">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多功能木工刨</w:t>
            </w:r>
          </w:p>
        </w:tc>
        <w:tc>
          <w:tcPr>
            <w:tcW w:w="3582" w:type="dxa"/>
            <w:vAlign w:val="center"/>
          </w:tcPr>
          <w:p w14:paraId="37AA1AB8">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90～100</w:t>
            </w:r>
          </w:p>
        </w:tc>
      </w:tr>
      <w:tr w14:paraId="644E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29370A65">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3F96837B">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混凝土搅拌机</w:t>
            </w:r>
          </w:p>
        </w:tc>
        <w:tc>
          <w:tcPr>
            <w:tcW w:w="3582" w:type="dxa"/>
            <w:vAlign w:val="center"/>
          </w:tcPr>
          <w:p w14:paraId="0C3EE7C5">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90～100</w:t>
            </w:r>
          </w:p>
        </w:tc>
      </w:tr>
      <w:tr w14:paraId="6EBC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996" w:type="dxa"/>
            <w:vMerge w:val="continue"/>
            <w:vAlign w:val="center"/>
          </w:tcPr>
          <w:p w14:paraId="23737B0F">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3402" w:type="dxa"/>
            <w:vAlign w:val="center"/>
          </w:tcPr>
          <w:p w14:paraId="2044BF86">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运输车辆</w:t>
            </w:r>
          </w:p>
        </w:tc>
        <w:tc>
          <w:tcPr>
            <w:tcW w:w="3582" w:type="dxa"/>
            <w:vAlign w:val="center"/>
          </w:tcPr>
          <w:p w14:paraId="08743FB1">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70～90</w:t>
            </w:r>
          </w:p>
        </w:tc>
      </w:tr>
    </w:tbl>
    <w:p w14:paraId="3F1C4D52">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施工噪声具有阶段性、临时性和不固定性，不同的施工设备产生的噪声不同。在多台机械设备同时作业时，各台设备产生的噪声会产生叠加，根据类比调查，叠加后的噪声增值约为3～8dB（A）。</w:t>
      </w:r>
    </w:p>
    <w:p w14:paraId="3BCF2B04">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（二）噪声预测</w:t>
      </w:r>
    </w:p>
    <w:p w14:paraId="15B2055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1、建设期噪声预测模式</w:t>
      </w:r>
    </w:p>
    <w:p w14:paraId="69834F4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建设期各施工阶段的设备作业时需要一定的作业空间，施工机械操作运转时有一定的工作间距，因此各工场的施工机械噪声可近似作为点声源处理。根据点声源噪声传播衰减模式，可估算施工期间离噪声声源不同距离处的噪声值。噪声源强为点声源，预测模式如下：</w:t>
      </w:r>
    </w:p>
    <w:p w14:paraId="6D85B9AC">
      <w:pPr>
        <w:pStyle w:val="545"/>
        <w:adjustRightInd/>
        <w:spacing w:line="360" w:lineRule="auto"/>
        <w:ind w:firstLine="0" w:firstLineChars="0"/>
        <w:jc w:val="center"/>
        <w:rPr>
          <w:rFonts w:hint="default" w:ascii="Times New Roman" w:hAnsi="Times New Roman" w:cs="Times New Roman"/>
          <w:color w:val="auto"/>
          <w:spacing w:val="0"/>
          <w:kern w:val="24"/>
          <w:szCs w:val="24"/>
          <w:highlight w:val="none"/>
        </w:rPr>
      </w:pPr>
      <w:r>
        <w:rPr>
          <w:rFonts w:hint="default" w:ascii="Times New Roman" w:hAnsi="Times New Roman" w:cs="Times New Roman"/>
          <w:color w:val="auto"/>
          <w:spacing w:val="0"/>
          <w:kern w:val="24"/>
          <w:szCs w:val="24"/>
          <w:highlight w:val="none"/>
        </w:rPr>
        <w:t>L</w:t>
      </w:r>
      <w:r>
        <w:rPr>
          <w:rFonts w:hint="default" w:ascii="Times New Roman" w:hAnsi="Times New Roman" w:cs="Times New Roman"/>
          <w:color w:val="auto"/>
          <w:spacing w:val="0"/>
          <w:kern w:val="24"/>
          <w:szCs w:val="24"/>
          <w:highlight w:val="none"/>
          <w:vertAlign w:val="subscript"/>
        </w:rPr>
        <w:t>A</w:t>
      </w:r>
      <w:r>
        <w:rPr>
          <w:rFonts w:hint="default" w:ascii="Times New Roman" w:hAnsi="Times New Roman" w:cs="Times New Roman"/>
          <w:color w:val="auto"/>
          <w:spacing w:val="0"/>
          <w:kern w:val="24"/>
          <w:szCs w:val="24"/>
          <w:highlight w:val="none"/>
        </w:rPr>
        <w:t>=L</w:t>
      </w:r>
      <w:r>
        <w:rPr>
          <w:rFonts w:hint="default" w:ascii="Times New Roman" w:hAnsi="Times New Roman" w:cs="Times New Roman"/>
          <w:color w:val="auto"/>
          <w:spacing w:val="0"/>
          <w:kern w:val="24"/>
          <w:szCs w:val="24"/>
          <w:highlight w:val="none"/>
          <w:vertAlign w:val="subscript"/>
        </w:rPr>
        <w:t>0</w:t>
      </w:r>
      <w:r>
        <w:rPr>
          <w:rFonts w:hint="default" w:ascii="Times New Roman" w:hAnsi="Times New Roman" w:cs="Times New Roman"/>
          <w:color w:val="auto"/>
          <w:spacing w:val="0"/>
          <w:kern w:val="24"/>
          <w:szCs w:val="24"/>
          <w:highlight w:val="none"/>
        </w:rPr>
        <w:t>-20lg（r/r</w:t>
      </w:r>
      <w:r>
        <w:rPr>
          <w:rFonts w:hint="default" w:ascii="Times New Roman" w:hAnsi="Times New Roman" w:cs="Times New Roman"/>
          <w:color w:val="auto"/>
          <w:spacing w:val="0"/>
          <w:kern w:val="24"/>
          <w:szCs w:val="24"/>
          <w:highlight w:val="none"/>
          <w:vertAlign w:val="subscript"/>
        </w:rPr>
        <w:t>0</w:t>
      </w:r>
      <w:r>
        <w:rPr>
          <w:rFonts w:hint="default" w:ascii="Times New Roman" w:hAnsi="Times New Roman" w:cs="Times New Roman"/>
          <w:color w:val="auto"/>
          <w:spacing w:val="0"/>
          <w:kern w:val="24"/>
          <w:szCs w:val="24"/>
          <w:highlight w:val="none"/>
        </w:rPr>
        <w:t>）</w:t>
      </w:r>
    </w:p>
    <w:p w14:paraId="3E30FBFD">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式中：L</w:t>
      </w:r>
      <w:r>
        <w:rPr>
          <w:rFonts w:hint="default" w:ascii="Times New Roman" w:hAnsi="Times New Roman" w:cs="Times New Roman"/>
          <w:color w:val="auto"/>
          <w:spacing w:val="0"/>
          <w:kern w:val="24"/>
          <w:highlight w:val="none"/>
          <w:vertAlign w:val="subscript"/>
        </w:rPr>
        <w:t>A</w:t>
      </w:r>
      <w:r>
        <w:rPr>
          <w:rFonts w:hint="default" w:ascii="Times New Roman" w:hAnsi="Times New Roman" w:cs="Times New Roman"/>
          <w:color w:val="auto"/>
          <w:spacing w:val="0"/>
          <w:kern w:val="24"/>
          <w:highlight w:val="none"/>
        </w:rPr>
        <w:t>—距声源r m处的施工噪声预测值；</w:t>
      </w:r>
    </w:p>
    <w:p w14:paraId="783FE02A">
      <w:pPr>
        <w:pStyle w:val="545"/>
        <w:spacing w:line="360" w:lineRule="auto"/>
        <w:ind w:firstLine="1200" w:firstLineChars="500"/>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L</w:t>
      </w:r>
      <w:r>
        <w:rPr>
          <w:rFonts w:hint="default" w:ascii="Times New Roman" w:hAnsi="Times New Roman" w:cs="Times New Roman"/>
          <w:color w:val="auto"/>
          <w:spacing w:val="0"/>
          <w:kern w:val="24"/>
          <w:highlight w:val="none"/>
          <w:vertAlign w:val="subscript"/>
        </w:rPr>
        <w:t>0</w:t>
      </w:r>
      <w:r>
        <w:rPr>
          <w:rFonts w:hint="default" w:ascii="Times New Roman" w:hAnsi="Times New Roman" w:cs="Times New Roman"/>
          <w:color w:val="auto"/>
          <w:spacing w:val="0"/>
          <w:kern w:val="24"/>
          <w:highlight w:val="none"/>
        </w:rPr>
        <w:t>—距声源r</w:t>
      </w:r>
      <w:r>
        <w:rPr>
          <w:rFonts w:hint="default" w:ascii="Times New Roman" w:hAnsi="Times New Roman" w:cs="Times New Roman"/>
          <w:color w:val="auto"/>
          <w:spacing w:val="0"/>
          <w:kern w:val="24"/>
          <w:highlight w:val="none"/>
          <w:vertAlign w:val="subscript"/>
        </w:rPr>
        <w:t>0</w:t>
      </w:r>
      <w:r>
        <w:rPr>
          <w:rFonts w:hint="default" w:ascii="Times New Roman" w:hAnsi="Times New Roman" w:cs="Times New Roman"/>
          <w:color w:val="auto"/>
          <w:spacing w:val="0"/>
          <w:kern w:val="24"/>
          <w:highlight w:val="none"/>
        </w:rPr>
        <w:t xml:space="preserve"> m处的参考声级；</w:t>
      </w:r>
    </w:p>
    <w:p w14:paraId="4587A17F">
      <w:pPr>
        <w:pStyle w:val="545"/>
        <w:spacing w:line="360" w:lineRule="auto"/>
        <w:ind w:firstLine="1200" w:firstLineChars="500"/>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r—声源至预测点的距离；</w:t>
      </w:r>
    </w:p>
    <w:p w14:paraId="7F4B50E3">
      <w:pPr>
        <w:pStyle w:val="545"/>
        <w:adjustRightInd/>
        <w:spacing w:line="360" w:lineRule="auto"/>
        <w:ind w:firstLine="1200" w:firstLineChars="500"/>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r</w:t>
      </w:r>
      <w:r>
        <w:rPr>
          <w:rFonts w:hint="default" w:ascii="Times New Roman" w:hAnsi="Times New Roman" w:cs="Times New Roman"/>
          <w:color w:val="auto"/>
          <w:spacing w:val="0"/>
          <w:kern w:val="24"/>
          <w:highlight w:val="none"/>
          <w:vertAlign w:val="subscript"/>
        </w:rPr>
        <w:t>0</w:t>
      </w:r>
      <w:r>
        <w:rPr>
          <w:rFonts w:hint="default" w:ascii="Times New Roman" w:hAnsi="Times New Roman" w:cs="Times New Roman"/>
          <w:color w:val="auto"/>
          <w:spacing w:val="0"/>
          <w:kern w:val="24"/>
          <w:highlight w:val="none"/>
        </w:rPr>
        <w:t>—声源至参考测点的距离。</w:t>
      </w:r>
    </w:p>
    <w:p w14:paraId="076B06C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各声源在某一预测点产生的合成声级采用以下计算模式：</w:t>
      </w:r>
    </w:p>
    <w:p w14:paraId="2FF0EDDF">
      <w:pPr>
        <w:pStyle w:val="545"/>
        <w:adjustRightInd/>
        <w:spacing w:line="360" w:lineRule="auto"/>
        <w:ind w:firstLine="0" w:firstLineChars="0"/>
        <w:jc w:val="center"/>
        <w:rPr>
          <w:rFonts w:hint="default" w:ascii="Times New Roman" w:hAnsi="Times New Roman" w:cs="Times New Roman"/>
          <w:color w:val="auto"/>
          <w:spacing w:val="0"/>
          <w:kern w:val="24"/>
          <w:highlight w:val="none"/>
        </w:rPr>
      </w:pPr>
      <w:r>
        <w:rPr>
          <w:rFonts w:hint="default" w:ascii="Times New Roman" w:hAnsi="Times New Roman" w:cs="Times New Roman"/>
          <w:color w:val="auto"/>
          <w:kern w:val="0"/>
          <w:szCs w:val="24"/>
          <w:highlight w:val="none"/>
        </w:rPr>
        <w:drawing>
          <wp:inline distT="0" distB="0" distL="114300" distR="114300">
            <wp:extent cx="1409700" cy="457200"/>
            <wp:effectExtent l="0" t="0" r="0" b="0"/>
            <wp:docPr id="6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 name="图片 1"/>
                    <pic:cNvPicPr>
                      <a:picLocks noChangeAspect="1"/>
                    </pic:cNvPicPr>
                  </pic:nvPicPr>
                  <pic:blipFill>
                    <a:blip r:embed="rId60" cstate="print"/>
                    <a:stretch>
                      <a:fillRect/>
                    </a:stretch>
                  </pic:blipFill>
                  <pic:spPr>
                    <a:xfrm>
                      <a:off x="0" y="0"/>
                      <a:ext cx="1409700" cy="457200"/>
                    </a:xfrm>
                    <a:prstGeom prst="rect">
                      <a:avLst/>
                    </a:prstGeom>
                    <a:noFill/>
                    <a:ln>
                      <a:noFill/>
                    </a:ln>
                  </pic:spPr>
                </pic:pic>
              </a:graphicData>
            </a:graphic>
          </wp:inline>
        </w:drawing>
      </w:r>
    </w:p>
    <w:p w14:paraId="48E2401B">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式中：L</w:t>
      </w:r>
      <w:r>
        <w:rPr>
          <w:rFonts w:hint="default" w:ascii="Times New Roman" w:hAnsi="Times New Roman" w:cs="Times New Roman"/>
          <w:color w:val="auto"/>
          <w:spacing w:val="0"/>
          <w:kern w:val="24"/>
          <w:highlight w:val="none"/>
          <w:vertAlign w:val="subscript"/>
        </w:rPr>
        <w:t>TP</w:t>
      </w:r>
      <w:r>
        <w:rPr>
          <w:rFonts w:hint="default" w:ascii="Times New Roman" w:hAnsi="Times New Roman" w:cs="Times New Roman"/>
          <w:color w:val="auto"/>
          <w:spacing w:val="0"/>
          <w:kern w:val="24"/>
          <w:highlight w:val="none"/>
        </w:rPr>
        <w:t>—多台施工机械在某一点处产生的合成噪声级；</w:t>
      </w:r>
    </w:p>
    <w:p w14:paraId="2AC21936">
      <w:pPr>
        <w:pStyle w:val="545"/>
        <w:adjustRightInd/>
        <w:spacing w:line="360" w:lineRule="auto"/>
        <w:ind w:firstLine="1200" w:firstLineChars="500"/>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L</w:t>
      </w:r>
      <w:r>
        <w:rPr>
          <w:rFonts w:hint="default" w:ascii="Times New Roman" w:hAnsi="Times New Roman" w:cs="Times New Roman"/>
          <w:color w:val="auto"/>
          <w:spacing w:val="0"/>
          <w:kern w:val="24"/>
          <w:highlight w:val="none"/>
          <w:vertAlign w:val="subscript"/>
        </w:rPr>
        <w:t>Pi</w:t>
      </w:r>
      <w:r>
        <w:rPr>
          <w:rFonts w:hint="default" w:ascii="Times New Roman" w:hAnsi="Times New Roman" w:cs="Times New Roman"/>
          <w:color w:val="auto"/>
          <w:spacing w:val="0"/>
          <w:kern w:val="24"/>
          <w:highlight w:val="none"/>
        </w:rPr>
        <w:t>—每种施工机械在某一点处的噪声级。</w:t>
      </w:r>
    </w:p>
    <w:p w14:paraId="734DF87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2、建设期噪声预测结果</w:t>
      </w:r>
    </w:p>
    <w:p w14:paraId="1141005D">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在考虑噪声源对环境影响的同时，以场界施工机械为点声源进行考虑，预测施工机械经距离衰减后的噪声，施工机械不同距离的噪声预测结果见表5.3-2。</w:t>
      </w:r>
    </w:p>
    <w:p w14:paraId="05B7A643">
      <w:pPr>
        <w:pStyle w:val="545"/>
        <w:wordWrap w:val="0"/>
        <w:adjustRightInd/>
        <w:spacing w:line="360" w:lineRule="auto"/>
        <w:ind w:firstLine="0" w:firstLineChars="0"/>
        <w:jc w:val="center"/>
        <w:rPr>
          <w:rFonts w:hint="default" w:ascii="Times New Roman" w:hAnsi="Times New Roman" w:cs="Times New Roman"/>
          <w:color w:val="auto"/>
          <w:spacing w:val="0"/>
          <w:kern w:val="24"/>
          <w:sz w:val="21"/>
          <w:szCs w:val="21"/>
          <w:highlight w:val="none"/>
        </w:rPr>
      </w:pPr>
      <w:r>
        <w:rPr>
          <w:rFonts w:hint="default" w:ascii="Times New Roman" w:hAnsi="Times New Roman" w:eastAsia="黑体" w:cs="Times New Roman"/>
          <w:color w:val="auto"/>
          <w:spacing w:val="0"/>
          <w:kern w:val="0"/>
          <w:sz w:val="21"/>
          <w:szCs w:val="21"/>
          <w:highlight w:val="none"/>
        </w:rPr>
        <w:t>表5.3-2  距声源不同距离处的噪声值  单位：dB（A）</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969"/>
        <w:gridCol w:w="971"/>
        <w:gridCol w:w="971"/>
        <w:gridCol w:w="971"/>
        <w:gridCol w:w="971"/>
        <w:gridCol w:w="971"/>
        <w:gridCol w:w="971"/>
        <w:gridCol w:w="971"/>
      </w:tblGrid>
      <w:tr w14:paraId="44CB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14:paraId="71720DD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设备名称</w:t>
            </w:r>
          </w:p>
        </w:tc>
        <w:tc>
          <w:tcPr>
            <w:tcW w:w="528" w:type="pct"/>
            <w:vAlign w:val="center"/>
          </w:tcPr>
          <w:p w14:paraId="3F89BF1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5m</w:t>
            </w:r>
          </w:p>
        </w:tc>
        <w:tc>
          <w:tcPr>
            <w:tcW w:w="529" w:type="pct"/>
            <w:vAlign w:val="center"/>
          </w:tcPr>
          <w:p w14:paraId="22754C1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10m</w:t>
            </w:r>
          </w:p>
        </w:tc>
        <w:tc>
          <w:tcPr>
            <w:tcW w:w="529" w:type="pct"/>
            <w:vAlign w:val="center"/>
          </w:tcPr>
          <w:p w14:paraId="08F5140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20m</w:t>
            </w:r>
          </w:p>
        </w:tc>
        <w:tc>
          <w:tcPr>
            <w:tcW w:w="529" w:type="pct"/>
            <w:vAlign w:val="center"/>
          </w:tcPr>
          <w:p w14:paraId="3D0E2C2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40m</w:t>
            </w:r>
          </w:p>
        </w:tc>
        <w:tc>
          <w:tcPr>
            <w:tcW w:w="529" w:type="pct"/>
            <w:vAlign w:val="center"/>
          </w:tcPr>
          <w:p w14:paraId="63C1C02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50m</w:t>
            </w:r>
          </w:p>
        </w:tc>
        <w:tc>
          <w:tcPr>
            <w:tcW w:w="529" w:type="pct"/>
            <w:vAlign w:val="center"/>
          </w:tcPr>
          <w:p w14:paraId="1AF61B3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100m</w:t>
            </w:r>
          </w:p>
        </w:tc>
        <w:tc>
          <w:tcPr>
            <w:tcW w:w="529" w:type="pct"/>
            <w:vAlign w:val="center"/>
          </w:tcPr>
          <w:p w14:paraId="6E7E246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150m</w:t>
            </w:r>
          </w:p>
        </w:tc>
        <w:tc>
          <w:tcPr>
            <w:tcW w:w="529" w:type="pct"/>
            <w:vAlign w:val="center"/>
          </w:tcPr>
          <w:p w14:paraId="7846878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200m</w:t>
            </w:r>
          </w:p>
        </w:tc>
      </w:tr>
      <w:tr w14:paraId="00B5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14:paraId="4B83AF7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打桩机</w:t>
            </w:r>
          </w:p>
        </w:tc>
        <w:tc>
          <w:tcPr>
            <w:tcW w:w="528" w:type="pct"/>
            <w:vAlign w:val="center"/>
          </w:tcPr>
          <w:p w14:paraId="15EF655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86</w:t>
            </w:r>
          </w:p>
        </w:tc>
        <w:tc>
          <w:tcPr>
            <w:tcW w:w="529" w:type="pct"/>
            <w:vAlign w:val="center"/>
          </w:tcPr>
          <w:p w14:paraId="1C10614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80</w:t>
            </w:r>
          </w:p>
        </w:tc>
        <w:tc>
          <w:tcPr>
            <w:tcW w:w="529" w:type="pct"/>
            <w:vAlign w:val="center"/>
          </w:tcPr>
          <w:p w14:paraId="3B71898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74</w:t>
            </w:r>
          </w:p>
        </w:tc>
        <w:tc>
          <w:tcPr>
            <w:tcW w:w="529" w:type="pct"/>
            <w:vAlign w:val="center"/>
          </w:tcPr>
          <w:p w14:paraId="0DB5257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70</w:t>
            </w:r>
          </w:p>
        </w:tc>
        <w:tc>
          <w:tcPr>
            <w:tcW w:w="529" w:type="pct"/>
            <w:vAlign w:val="center"/>
          </w:tcPr>
          <w:p w14:paraId="796ABC3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66</w:t>
            </w:r>
          </w:p>
        </w:tc>
        <w:tc>
          <w:tcPr>
            <w:tcW w:w="529" w:type="pct"/>
            <w:vAlign w:val="center"/>
          </w:tcPr>
          <w:p w14:paraId="0EC2709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60</w:t>
            </w:r>
          </w:p>
        </w:tc>
        <w:tc>
          <w:tcPr>
            <w:tcW w:w="529" w:type="pct"/>
            <w:vAlign w:val="center"/>
          </w:tcPr>
          <w:p w14:paraId="5466A4D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56</w:t>
            </w:r>
          </w:p>
        </w:tc>
        <w:tc>
          <w:tcPr>
            <w:tcW w:w="529" w:type="pct"/>
            <w:vAlign w:val="center"/>
          </w:tcPr>
          <w:p w14:paraId="00CE2D8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54</w:t>
            </w:r>
          </w:p>
        </w:tc>
      </w:tr>
      <w:tr w14:paraId="6595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14:paraId="5623CB9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推土机</w:t>
            </w:r>
          </w:p>
        </w:tc>
        <w:tc>
          <w:tcPr>
            <w:tcW w:w="528" w:type="pct"/>
            <w:vAlign w:val="center"/>
          </w:tcPr>
          <w:p w14:paraId="36461EF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86</w:t>
            </w:r>
          </w:p>
        </w:tc>
        <w:tc>
          <w:tcPr>
            <w:tcW w:w="529" w:type="pct"/>
            <w:vAlign w:val="center"/>
          </w:tcPr>
          <w:p w14:paraId="3B1F5A7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80</w:t>
            </w:r>
          </w:p>
        </w:tc>
        <w:tc>
          <w:tcPr>
            <w:tcW w:w="529" w:type="pct"/>
            <w:vAlign w:val="center"/>
          </w:tcPr>
          <w:p w14:paraId="3CDEC54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74</w:t>
            </w:r>
          </w:p>
        </w:tc>
        <w:tc>
          <w:tcPr>
            <w:tcW w:w="529" w:type="pct"/>
            <w:vAlign w:val="center"/>
          </w:tcPr>
          <w:p w14:paraId="4941F44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70</w:t>
            </w:r>
          </w:p>
        </w:tc>
        <w:tc>
          <w:tcPr>
            <w:tcW w:w="529" w:type="pct"/>
            <w:vAlign w:val="center"/>
          </w:tcPr>
          <w:p w14:paraId="024615D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66</w:t>
            </w:r>
          </w:p>
        </w:tc>
        <w:tc>
          <w:tcPr>
            <w:tcW w:w="529" w:type="pct"/>
            <w:vAlign w:val="center"/>
          </w:tcPr>
          <w:p w14:paraId="55C0100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60</w:t>
            </w:r>
          </w:p>
        </w:tc>
        <w:tc>
          <w:tcPr>
            <w:tcW w:w="529" w:type="pct"/>
            <w:vAlign w:val="center"/>
          </w:tcPr>
          <w:p w14:paraId="443498B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56</w:t>
            </w:r>
          </w:p>
        </w:tc>
        <w:tc>
          <w:tcPr>
            <w:tcW w:w="529" w:type="pct"/>
            <w:vAlign w:val="center"/>
          </w:tcPr>
          <w:p w14:paraId="30D48F9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54</w:t>
            </w:r>
          </w:p>
        </w:tc>
      </w:tr>
      <w:tr w14:paraId="056F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14:paraId="2671CC8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装载机</w:t>
            </w:r>
          </w:p>
        </w:tc>
        <w:tc>
          <w:tcPr>
            <w:tcW w:w="528" w:type="pct"/>
            <w:vAlign w:val="center"/>
          </w:tcPr>
          <w:p w14:paraId="76BF56B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90</w:t>
            </w:r>
          </w:p>
        </w:tc>
        <w:tc>
          <w:tcPr>
            <w:tcW w:w="529" w:type="pct"/>
            <w:vAlign w:val="center"/>
          </w:tcPr>
          <w:p w14:paraId="256D985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84</w:t>
            </w:r>
          </w:p>
        </w:tc>
        <w:tc>
          <w:tcPr>
            <w:tcW w:w="529" w:type="pct"/>
            <w:vAlign w:val="center"/>
          </w:tcPr>
          <w:p w14:paraId="787B46D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78</w:t>
            </w:r>
          </w:p>
        </w:tc>
        <w:tc>
          <w:tcPr>
            <w:tcW w:w="529" w:type="pct"/>
            <w:vAlign w:val="center"/>
          </w:tcPr>
          <w:p w14:paraId="2C5A314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72</w:t>
            </w:r>
          </w:p>
        </w:tc>
        <w:tc>
          <w:tcPr>
            <w:tcW w:w="529" w:type="pct"/>
            <w:vAlign w:val="center"/>
          </w:tcPr>
          <w:p w14:paraId="1B2226A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70</w:t>
            </w:r>
          </w:p>
        </w:tc>
        <w:tc>
          <w:tcPr>
            <w:tcW w:w="529" w:type="pct"/>
            <w:vAlign w:val="center"/>
          </w:tcPr>
          <w:p w14:paraId="08307ED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64</w:t>
            </w:r>
          </w:p>
        </w:tc>
        <w:tc>
          <w:tcPr>
            <w:tcW w:w="529" w:type="pct"/>
            <w:vAlign w:val="center"/>
          </w:tcPr>
          <w:p w14:paraId="477E2F0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60</w:t>
            </w:r>
          </w:p>
        </w:tc>
        <w:tc>
          <w:tcPr>
            <w:tcW w:w="529" w:type="pct"/>
            <w:vAlign w:val="center"/>
          </w:tcPr>
          <w:p w14:paraId="4EE0141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58</w:t>
            </w:r>
          </w:p>
        </w:tc>
      </w:tr>
      <w:tr w14:paraId="6AB2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14:paraId="1EE85A4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挖掘机</w:t>
            </w:r>
          </w:p>
        </w:tc>
        <w:tc>
          <w:tcPr>
            <w:tcW w:w="528" w:type="pct"/>
            <w:vAlign w:val="center"/>
          </w:tcPr>
          <w:p w14:paraId="52DCB78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84</w:t>
            </w:r>
          </w:p>
        </w:tc>
        <w:tc>
          <w:tcPr>
            <w:tcW w:w="529" w:type="pct"/>
            <w:vAlign w:val="center"/>
          </w:tcPr>
          <w:p w14:paraId="787A80E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78</w:t>
            </w:r>
          </w:p>
        </w:tc>
        <w:tc>
          <w:tcPr>
            <w:tcW w:w="529" w:type="pct"/>
            <w:vAlign w:val="center"/>
          </w:tcPr>
          <w:p w14:paraId="0EB0E2B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72</w:t>
            </w:r>
          </w:p>
        </w:tc>
        <w:tc>
          <w:tcPr>
            <w:tcW w:w="529" w:type="pct"/>
            <w:vAlign w:val="center"/>
          </w:tcPr>
          <w:p w14:paraId="32F709A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66</w:t>
            </w:r>
          </w:p>
        </w:tc>
        <w:tc>
          <w:tcPr>
            <w:tcW w:w="529" w:type="pct"/>
            <w:vAlign w:val="center"/>
          </w:tcPr>
          <w:p w14:paraId="4A3A572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64</w:t>
            </w:r>
          </w:p>
        </w:tc>
        <w:tc>
          <w:tcPr>
            <w:tcW w:w="529" w:type="pct"/>
            <w:vAlign w:val="center"/>
          </w:tcPr>
          <w:p w14:paraId="3B2F882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58</w:t>
            </w:r>
          </w:p>
        </w:tc>
        <w:tc>
          <w:tcPr>
            <w:tcW w:w="529" w:type="pct"/>
            <w:vAlign w:val="center"/>
          </w:tcPr>
          <w:p w14:paraId="2987377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54</w:t>
            </w:r>
          </w:p>
        </w:tc>
        <w:tc>
          <w:tcPr>
            <w:tcW w:w="529" w:type="pct"/>
            <w:vAlign w:val="center"/>
          </w:tcPr>
          <w:p w14:paraId="43673D9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52</w:t>
            </w:r>
          </w:p>
        </w:tc>
      </w:tr>
      <w:tr w14:paraId="48ED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14:paraId="49EF6D5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升降机</w:t>
            </w:r>
          </w:p>
        </w:tc>
        <w:tc>
          <w:tcPr>
            <w:tcW w:w="528" w:type="pct"/>
            <w:vAlign w:val="center"/>
          </w:tcPr>
          <w:p w14:paraId="0141F85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82</w:t>
            </w:r>
          </w:p>
        </w:tc>
        <w:tc>
          <w:tcPr>
            <w:tcW w:w="529" w:type="pct"/>
            <w:vAlign w:val="center"/>
          </w:tcPr>
          <w:p w14:paraId="5AE1371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76</w:t>
            </w:r>
          </w:p>
        </w:tc>
        <w:tc>
          <w:tcPr>
            <w:tcW w:w="529" w:type="pct"/>
            <w:vAlign w:val="center"/>
          </w:tcPr>
          <w:p w14:paraId="0D0B2F2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70</w:t>
            </w:r>
          </w:p>
        </w:tc>
        <w:tc>
          <w:tcPr>
            <w:tcW w:w="529" w:type="pct"/>
            <w:vAlign w:val="center"/>
          </w:tcPr>
          <w:p w14:paraId="011C6FD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64</w:t>
            </w:r>
          </w:p>
        </w:tc>
        <w:tc>
          <w:tcPr>
            <w:tcW w:w="529" w:type="pct"/>
            <w:vAlign w:val="center"/>
          </w:tcPr>
          <w:p w14:paraId="3AFA627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62</w:t>
            </w:r>
          </w:p>
        </w:tc>
        <w:tc>
          <w:tcPr>
            <w:tcW w:w="529" w:type="pct"/>
            <w:vAlign w:val="center"/>
          </w:tcPr>
          <w:p w14:paraId="329F67C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56</w:t>
            </w:r>
          </w:p>
        </w:tc>
        <w:tc>
          <w:tcPr>
            <w:tcW w:w="529" w:type="pct"/>
            <w:vAlign w:val="center"/>
          </w:tcPr>
          <w:p w14:paraId="285C798F">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52</w:t>
            </w:r>
          </w:p>
        </w:tc>
        <w:tc>
          <w:tcPr>
            <w:tcW w:w="529" w:type="pct"/>
            <w:vAlign w:val="center"/>
          </w:tcPr>
          <w:p w14:paraId="7EB034F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50</w:t>
            </w:r>
          </w:p>
        </w:tc>
      </w:tr>
      <w:tr w14:paraId="3238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vAlign w:val="center"/>
          </w:tcPr>
          <w:p w14:paraId="6B3064F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运输车辆</w:t>
            </w:r>
          </w:p>
        </w:tc>
        <w:tc>
          <w:tcPr>
            <w:tcW w:w="528" w:type="pct"/>
            <w:vAlign w:val="center"/>
          </w:tcPr>
          <w:p w14:paraId="3A9F663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85</w:t>
            </w:r>
          </w:p>
        </w:tc>
        <w:tc>
          <w:tcPr>
            <w:tcW w:w="529" w:type="pct"/>
            <w:vAlign w:val="center"/>
          </w:tcPr>
          <w:p w14:paraId="10208B2C">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79</w:t>
            </w:r>
          </w:p>
        </w:tc>
        <w:tc>
          <w:tcPr>
            <w:tcW w:w="529" w:type="pct"/>
            <w:vAlign w:val="center"/>
          </w:tcPr>
          <w:p w14:paraId="4B87C5E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73</w:t>
            </w:r>
          </w:p>
        </w:tc>
        <w:tc>
          <w:tcPr>
            <w:tcW w:w="529" w:type="pct"/>
            <w:vAlign w:val="center"/>
          </w:tcPr>
          <w:p w14:paraId="32BF8A6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67</w:t>
            </w:r>
          </w:p>
        </w:tc>
        <w:tc>
          <w:tcPr>
            <w:tcW w:w="529" w:type="pct"/>
            <w:vAlign w:val="center"/>
          </w:tcPr>
          <w:p w14:paraId="792E663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65</w:t>
            </w:r>
          </w:p>
        </w:tc>
        <w:tc>
          <w:tcPr>
            <w:tcW w:w="529" w:type="pct"/>
            <w:vAlign w:val="center"/>
          </w:tcPr>
          <w:p w14:paraId="0413438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59</w:t>
            </w:r>
          </w:p>
        </w:tc>
        <w:tc>
          <w:tcPr>
            <w:tcW w:w="529" w:type="pct"/>
            <w:vAlign w:val="center"/>
          </w:tcPr>
          <w:p w14:paraId="7212C19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55</w:t>
            </w:r>
          </w:p>
        </w:tc>
        <w:tc>
          <w:tcPr>
            <w:tcW w:w="529" w:type="pct"/>
            <w:vAlign w:val="center"/>
          </w:tcPr>
          <w:p w14:paraId="5499FAD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53</w:t>
            </w:r>
          </w:p>
        </w:tc>
      </w:tr>
    </w:tbl>
    <w:p w14:paraId="35240EB9">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项目建设的施工活动中通常是多台施工机械同时作业，一般情况下同一施工点上可能同时使用且影响较大的高噪机械设备主要是挖掘机、推土机和装载机等。本次评价将对不同情况下六种高噪机械设备产生的噪声采用声级合成模式进行预测，计算结果见表5.3-3。</w:t>
      </w:r>
    </w:p>
    <w:p w14:paraId="4355921E">
      <w:pPr>
        <w:pStyle w:val="545"/>
        <w:adjustRightInd/>
        <w:spacing w:line="360" w:lineRule="auto"/>
        <w:ind w:firstLine="420"/>
        <w:jc w:val="center"/>
        <w:rPr>
          <w:rFonts w:hint="default" w:ascii="Times New Roman" w:hAnsi="Times New Roman" w:cs="Times New Roman"/>
          <w:color w:val="auto"/>
          <w:spacing w:val="0"/>
          <w:kern w:val="24"/>
          <w:sz w:val="21"/>
          <w:szCs w:val="21"/>
          <w:highlight w:val="none"/>
        </w:rPr>
      </w:pPr>
      <w:r>
        <w:rPr>
          <w:rFonts w:hint="default" w:ascii="Times New Roman" w:hAnsi="Times New Roman" w:eastAsia="黑体" w:cs="Times New Roman"/>
          <w:color w:val="auto"/>
          <w:spacing w:val="0"/>
          <w:kern w:val="0"/>
          <w:sz w:val="21"/>
          <w:szCs w:val="21"/>
          <w:highlight w:val="none"/>
        </w:rPr>
        <w:t>表5.3-3  高噪设备叠加噪声预测值  单位：dB（A）</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748"/>
        <w:gridCol w:w="748"/>
        <w:gridCol w:w="749"/>
        <w:gridCol w:w="749"/>
        <w:gridCol w:w="750"/>
        <w:gridCol w:w="749"/>
        <w:gridCol w:w="749"/>
        <w:gridCol w:w="749"/>
        <w:gridCol w:w="749"/>
        <w:gridCol w:w="758"/>
      </w:tblGrid>
      <w:tr w14:paraId="0697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vMerge w:val="restart"/>
            <w:vAlign w:val="center"/>
          </w:tcPr>
          <w:p w14:paraId="44D36A9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叠加机械名称</w:t>
            </w:r>
          </w:p>
        </w:tc>
        <w:tc>
          <w:tcPr>
            <w:tcW w:w="4086" w:type="pct"/>
            <w:gridSpan w:val="10"/>
            <w:vAlign w:val="center"/>
          </w:tcPr>
          <w:p w14:paraId="7DAD90C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叠加噪声预测值</w:t>
            </w:r>
          </w:p>
        </w:tc>
      </w:tr>
      <w:tr w14:paraId="3F60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vMerge w:val="continue"/>
            <w:vAlign w:val="center"/>
          </w:tcPr>
          <w:p w14:paraId="6B85B6BB">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p>
        </w:tc>
        <w:tc>
          <w:tcPr>
            <w:tcW w:w="408" w:type="pct"/>
            <w:vAlign w:val="center"/>
          </w:tcPr>
          <w:p w14:paraId="03C00B7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5m</w:t>
            </w:r>
          </w:p>
        </w:tc>
        <w:tc>
          <w:tcPr>
            <w:tcW w:w="408" w:type="pct"/>
            <w:vAlign w:val="center"/>
          </w:tcPr>
          <w:p w14:paraId="79856F1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10m</w:t>
            </w:r>
          </w:p>
        </w:tc>
        <w:tc>
          <w:tcPr>
            <w:tcW w:w="408" w:type="pct"/>
            <w:vAlign w:val="center"/>
          </w:tcPr>
          <w:p w14:paraId="0F036D1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20m</w:t>
            </w:r>
          </w:p>
        </w:tc>
        <w:tc>
          <w:tcPr>
            <w:tcW w:w="408" w:type="pct"/>
            <w:vAlign w:val="center"/>
          </w:tcPr>
          <w:p w14:paraId="117C098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40m</w:t>
            </w:r>
          </w:p>
        </w:tc>
        <w:tc>
          <w:tcPr>
            <w:tcW w:w="409" w:type="pct"/>
            <w:vAlign w:val="center"/>
          </w:tcPr>
          <w:p w14:paraId="5E857C0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60m</w:t>
            </w:r>
          </w:p>
        </w:tc>
        <w:tc>
          <w:tcPr>
            <w:tcW w:w="408" w:type="pct"/>
            <w:vAlign w:val="center"/>
          </w:tcPr>
          <w:p w14:paraId="41F3A3B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80m</w:t>
            </w:r>
          </w:p>
        </w:tc>
        <w:tc>
          <w:tcPr>
            <w:tcW w:w="408" w:type="pct"/>
            <w:vAlign w:val="center"/>
          </w:tcPr>
          <w:p w14:paraId="3ADC331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100m</w:t>
            </w:r>
          </w:p>
        </w:tc>
        <w:tc>
          <w:tcPr>
            <w:tcW w:w="408" w:type="pct"/>
            <w:vAlign w:val="center"/>
          </w:tcPr>
          <w:p w14:paraId="2C9FE4A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150m</w:t>
            </w:r>
          </w:p>
        </w:tc>
        <w:tc>
          <w:tcPr>
            <w:tcW w:w="408" w:type="pct"/>
            <w:vAlign w:val="center"/>
          </w:tcPr>
          <w:p w14:paraId="0D12929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200m</w:t>
            </w:r>
          </w:p>
        </w:tc>
        <w:tc>
          <w:tcPr>
            <w:tcW w:w="409" w:type="pct"/>
            <w:vAlign w:val="center"/>
          </w:tcPr>
          <w:p w14:paraId="1C8F454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300m</w:t>
            </w:r>
          </w:p>
        </w:tc>
      </w:tr>
      <w:tr w14:paraId="388F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vAlign w:val="center"/>
          </w:tcPr>
          <w:p w14:paraId="036331A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打桩机、推土机、装载机</w:t>
            </w:r>
          </w:p>
        </w:tc>
        <w:tc>
          <w:tcPr>
            <w:tcW w:w="408" w:type="pct"/>
            <w:vAlign w:val="center"/>
          </w:tcPr>
          <w:p w14:paraId="0F740C3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92</w:t>
            </w:r>
          </w:p>
        </w:tc>
        <w:tc>
          <w:tcPr>
            <w:tcW w:w="408" w:type="pct"/>
            <w:vAlign w:val="center"/>
          </w:tcPr>
          <w:p w14:paraId="72045C5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86</w:t>
            </w:r>
          </w:p>
        </w:tc>
        <w:tc>
          <w:tcPr>
            <w:tcW w:w="408" w:type="pct"/>
            <w:vAlign w:val="center"/>
          </w:tcPr>
          <w:p w14:paraId="2C57335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80</w:t>
            </w:r>
          </w:p>
        </w:tc>
        <w:tc>
          <w:tcPr>
            <w:tcW w:w="408" w:type="pct"/>
            <w:vAlign w:val="center"/>
          </w:tcPr>
          <w:p w14:paraId="2859AA9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74</w:t>
            </w:r>
          </w:p>
        </w:tc>
        <w:tc>
          <w:tcPr>
            <w:tcW w:w="409" w:type="pct"/>
            <w:vAlign w:val="center"/>
          </w:tcPr>
          <w:p w14:paraId="12F1FA63">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71</w:t>
            </w:r>
          </w:p>
        </w:tc>
        <w:tc>
          <w:tcPr>
            <w:tcW w:w="408" w:type="pct"/>
            <w:vAlign w:val="center"/>
          </w:tcPr>
          <w:p w14:paraId="681F5CC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68</w:t>
            </w:r>
          </w:p>
        </w:tc>
        <w:tc>
          <w:tcPr>
            <w:tcW w:w="408" w:type="pct"/>
            <w:vAlign w:val="center"/>
          </w:tcPr>
          <w:p w14:paraId="16378D66">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66</w:t>
            </w:r>
          </w:p>
        </w:tc>
        <w:tc>
          <w:tcPr>
            <w:tcW w:w="408" w:type="pct"/>
            <w:vAlign w:val="center"/>
          </w:tcPr>
          <w:p w14:paraId="6C3837A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63</w:t>
            </w:r>
          </w:p>
        </w:tc>
        <w:tc>
          <w:tcPr>
            <w:tcW w:w="408" w:type="pct"/>
            <w:vAlign w:val="center"/>
          </w:tcPr>
          <w:p w14:paraId="43BAF075">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60</w:t>
            </w:r>
          </w:p>
        </w:tc>
        <w:tc>
          <w:tcPr>
            <w:tcW w:w="409" w:type="pct"/>
            <w:vAlign w:val="center"/>
          </w:tcPr>
          <w:p w14:paraId="75A791B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57</w:t>
            </w:r>
          </w:p>
        </w:tc>
      </w:tr>
      <w:tr w14:paraId="24D6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4" w:type="pct"/>
            <w:vAlign w:val="center"/>
          </w:tcPr>
          <w:p w14:paraId="62E61CF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挖掘机、升降机、运输车辆</w:t>
            </w:r>
          </w:p>
        </w:tc>
        <w:tc>
          <w:tcPr>
            <w:tcW w:w="408" w:type="pct"/>
            <w:vAlign w:val="center"/>
          </w:tcPr>
          <w:p w14:paraId="30F3157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88</w:t>
            </w:r>
          </w:p>
        </w:tc>
        <w:tc>
          <w:tcPr>
            <w:tcW w:w="408" w:type="pct"/>
            <w:vAlign w:val="center"/>
          </w:tcPr>
          <w:p w14:paraId="788A495E">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82</w:t>
            </w:r>
          </w:p>
        </w:tc>
        <w:tc>
          <w:tcPr>
            <w:tcW w:w="408" w:type="pct"/>
            <w:vAlign w:val="center"/>
          </w:tcPr>
          <w:p w14:paraId="6C2D99A0">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76</w:t>
            </w:r>
          </w:p>
        </w:tc>
        <w:tc>
          <w:tcPr>
            <w:tcW w:w="408" w:type="pct"/>
            <w:vAlign w:val="center"/>
          </w:tcPr>
          <w:p w14:paraId="2C6B8058">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70</w:t>
            </w:r>
          </w:p>
        </w:tc>
        <w:tc>
          <w:tcPr>
            <w:tcW w:w="409" w:type="pct"/>
            <w:vAlign w:val="center"/>
          </w:tcPr>
          <w:p w14:paraId="33277521">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67</w:t>
            </w:r>
          </w:p>
        </w:tc>
        <w:tc>
          <w:tcPr>
            <w:tcW w:w="408" w:type="pct"/>
            <w:vAlign w:val="center"/>
          </w:tcPr>
          <w:p w14:paraId="0BC53F92">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64</w:t>
            </w:r>
          </w:p>
        </w:tc>
        <w:tc>
          <w:tcPr>
            <w:tcW w:w="408" w:type="pct"/>
            <w:vAlign w:val="center"/>
          </w:tcPr>
          <w:p w14:paraId="29246994">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62</w:t>
            </w:r>
          </w:p>
        </w:tc>
        <w:tc>
          <w:tcPr>
            <w:tcW w:w="408" w:type="pct"/>
            <w:vAlign w:val="center"/>
          </w:tcPr>
          <w:p w14:paraId="74F32CAD">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59</w:t>
            </w:r>
          </w:p>
        </w:tc>
        <w:tc>
          <w:tcPr>
            <w:tcW w:w="408" w:type="pct"/>
            <w:vAlign w:val="center"/>
          </w:tcPr>
          <w:p w14:paraId="3005E7DA">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54</w:t>
            </w:r>
          </w:p>
        </w:tc>
        <w:tc>
          <w:tcPr>
            <w:tcW w:w="409" w:type="pct"/>
            <w:vAlign w:val="center"/>
          </w:tcPr>
          <w:p w14:paraId="6D9C6B89">
            <w:pPr>
              <w:pStyle w:val="545"/>
              <w:adjustRightInd/>
              <w:spacing w:line="240" w:lineRule="auto"/>
              <w:ind w:firstLine="0" w:firstLineChars="0"/>
              <w:jc w:val="center"/>
              <w:rPr>
                <w:rFonts w:hint="default" w:ascii="Times New Roman" w:hAnsi="Times New Roman" w:cs="Times New Roman" w:eastAsiaTheme="minorEastAsia"/>
                <w:bCs/>
                <w:color w:val="auto"/>
                <w:spacing w:val="0"/>
                <w:kern w:val="24"/>
                <w:sz w:val="21"/>
                <w:szCs w:val="21"/>
                <w:highlight w:val="none"/>
              </w:rPr>
            </w:pPr>
            <w:r>
              <w:rPr>
                <w:rFonts w:hint="default" w:ascii="Times New Roman" w:hAnsi="Times New Roman" w:cs="Times New Roman" w:eastAsiaTheme="minorEastAsia"/>
                <w:bCs/>
                <w:color w:val="auto"/>
                <w:spacing w:val="0"/>
                <w:kern w:val="24"/>
                <w:sz w:val="21"/>
                <w:szCs w:val="21"/>
                <w:highlight w:val="none"/>
              </w:rPr>
              <w:t>53</w:t>
            </w:r>
          </w:p>
        </w:tc>
      </w:tr>
    </w:tbl>
    <w:p w14:paraId="4F9557A6">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（三）影响分析</w:t>
      </w:r>
    </w:p>
    <w:p w14:paraId="2F50675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建筑施工噪声排放标准》（GB12523-2025），昼间噪声限值为70dB（A），夜间限值为55dB（A）。从表5.3-3可以看出，昼间单台施工机械噪声在距声源50m以外区域可达标准限值要求，夜间单台施工机械噪声在距声源280m以外区域可达标准限值要求。</w:t>
      </w:r>
    </w:p>
    <w:p w14:paraId="3A99BEB0">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表5.3-4，在施工期噪声最不利情况下，即多台设备同时使用时，施工噪声贡献值较大，昼间施工机械叠加噪声在距声源70m以外区域可达标准限值要求，夜间施工机械噪声叠加在距声源350m以外区域可达标准限值要求。</w:t>
      </w:r>
    </w:p>
    <w:p w14:paraId="37353B5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通过采取严格的管理措施，规划建设期噪声在可接受范围内。</w:t>
      </w:r>
    </w:p>
    <w:p w14:paraId="1032EE99">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0CF82393">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（一）交通噪声</w:t>
      </w:r>
    </w:p>
    <w:p w14:paraId="26797687">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交通噪声源是景区内的重要噪声源，噪声大小主要取决于道路的类型和车流量，本次评价主要针对交通噪声进行预测分析。</w:t>
      </w:r>
    </w:p>
    <w:p w14:paraId="1CC4CE65">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①预测模式</w:t>
      </w:r>
    </w:p>
    <w:p w14:paraId="452EB8C1">
      <w:pPr>
        <w:spacing w:line="360" w:lineRule="auto"/>
        <w:ind w:firstLine="480"/>
        <w:jc w:val="left"/>
        <w:rPr>
          <w:rFonts w:hint="default" w:ascii="Times New Roman" w:hAnsi="Times New Roman" w:cs="Times New Roman"/>
          <w:color w:val="auto"/>
          <w:sz w:val="24"/>
          <w:szCs w:val="22"/>
          <w:highlight w:val="none"/>
        </w:rPr>
      </w:pPr>
      <m:oMathPara>
        <m:oMath>
          <m:r>
            <m:rPr>
              <m:nor/>
            </m:rPr>
            <w:rPr>
              <w:rFonts w:hint="default" w:ascii="Times New Roman" w:hAnsi="Times New Roman" w:cs="Times New Roman"/>
              <w:i/>
              <w:snapToGrid w:val="0"/>
              <w:color w:val="auto"/>
              <w:sz w:val="24"/>
              <w:szCs w:val="22"/>
              <w:highlight w:val="none"/>
            </w:rPr>
            <m:t>Leq</m:t>
          </m:r>
          <m:r>
            <m:rPr>
              <m:nor/>
              <m:sty m:val="p"/>
            </m:rPr>
            <w:rPr>
              <w:rFonts w:hint="default" w:ascii="Times New Roman" w:hAnsi="Times New Roman" w:cs="Times New Roman"/>
              <w:b w:val="0"/>
              <w:i w:val="0"/>
              <w:snapToGrid w:val="0"/>
              <w:color w:val="auto"/>
              <w:sz w:val="24"/>
              <w:szCs w:val="22"/>
              <w:highlight w:val="none"/>
            </w:rPr>
            <m:t>（h</m:t>
          </m:r>
          <m:sSub>
            <m:sSubPr>
              <m:ctrlPr>
                <w:rPr>
                  <w:rFonts w:hint="default" w:ascii="Cambria Math" w:hAnsi="Cambria Math" w:cs="Times New Roman"/>
                  <w:i/>
                  <w:snapToGrid w:val="0"/>
                  <w:color w:val="auto"/>
                  <w:sz w:val="24"/>
                  <w:szCs w:val="22"/>
                  <w:highlight w:val="none"/>
                </w:rPr>
              </m:ctrlPr>
            </m:sSubPr>
            <m:e>
              <m:r>
                <m:rPr>
                  <m:nor/>
                  <m:sty m:val="p"/>
                </m:rPr>
                <w:rPr>
                  <w:rFonts w:hint="default" w:ascii="Times New Roman" w:hAnsi="Times New Roman" w:cs="Times New Roman"/>
                  <w:b w:val="0"/>
                  <w:i w:val="0"/>
                  <w:snapToGrid w:val="0"/>
                  <w:color w:val="auto"/>
                  <w:sz w:val="24"/>
                  <w:szCs w:val="22"/>
                  <w:highlight w:val="none"/>
                </w:rPr>
                <m:t>）</m:t>
              </m:r>
              <m:ctrlPr>
                <w:rPr>
                  <w:rFonts w:hint="default" w:ascii="Cambria Math" w:hAnsi="Cambria Math" w:cs="Times New Roman"/>
                  <w:i/>
                  <w:snapToGrid w:val="0"/>
                  <w:color w:val="auto"/>
                  <w:sz w:val="24"/>
                  <w:szCs w:val="22"/>
                  <w:highlight w:val="none"/>
                </w:rPr>
              </m:ctrlPr>
            </m:e>
            <m:sub>
              <m:r>
                <m:rPr>
                  <m:nor/>
                </m:rPr>
                <w:rPr>
                  <w:rFonts w:hint="default" w:ascii="Times New Roman" w:hAnsi="Times New Roman" w:cs="Times New Roman"/>
                  <w:i/>
                  <w:snapToGrid w:val="0"/>
                  <w:color w:val="auto"/>
                  <w:sz w:val="24"/>
                  <w:szCs w:val="22"/>
                  <w:highlight w:val="none"/>
                </w:rPr>
                <m:t>i</m:t>
              </m:r>
              <m:ctrlPr>
                <w:rPr>
                  <w:rFonts w:hint="default" w:ascii="Cambria Math" w:hAnsi="Cambria Math" w:cs="Times New Roman"/>
                  <w:i/>
                  <w:snapToGrid w:val="0"/>
                  <w:color w:val="auto"/>
                  <w:sz w:val="24"/>
                  <w:szCs w:val="22"/>
                  <w:highlight w:val="none"/>
                </w:rPr>
              </m:ctrlPr>
            </m:sub>
          </m:sSub>
          <m:r>
            <m:rPr>
              <m:nor/>
              <m:sty m:val="p"/>
            </m:rPr>
            <w:rPr>
              <w:rFonts w:hint="default" w:ascii="Times New Roman" w:hAnsi="Times New Roman" w:cs="Times New Roman"/>
              <w:b w:val="0"/>
              <w:i w:val="0"/>
              <w:snapToGrid w:val="0"/>
              <w:color w:val="auto"/>
              <w:sz w:val="24"/>
              <w:szCs w:val="22"/>
              <w:highlight w:val="none"/>
            </w:rPr>
            <m:t>=（</m:t>
          </m:r>
          <m:bar>
            <m:barPr>
              <m:pos m:val="top"/>
              <m:ctrlPr>
                <w:rPr>
                  <w:rFonts w:hint="default" w:ascii="Cambria Math" w:hAnsi="Cambria Math" w:cs="Times New Roman"/>
                  <w:i/>
                  <w:snapToGrid w:val="0"/>
                  <w:color w:val="auto"/>
                  <w:sz w:val="24"/>
                  <w:szCs w:val="22"/>
                  <w:highlight w:val="none"/>
                </w:rPr>
              </m:ctrlPr>
            </m:barPr>
            <m:e>
              <m:sSub>
                <m:sSubPr>
                  <m:ctrlPr>
                    <w:rPr>
                      <w:rFonts w:hint="default" w:ascii="Cambria Math" w:hAnsi="Cambria Math" w:cs="Times New Roman"/>
                      <w:i/>
                      <w:snapToGrid w:val="0"/>
                      <w:color w:val="auto"/>
                      <w:sz w:val="24"/>
                      <w:szCs w:val="22"/>
                      <w:highlight w:val="none"/>
                    </w:rPr>
                  </m:ctrlPr>
                </m:sSubPr>
                <m:e>
                  <m:r>
                    <m:rPr>
                      <m:nor/>
                    </m:rPr>
                    <w:rPr>
                      <w:rFonts w:hint="default" w:ascii="Times New Roman" w:hAnsi="Times New Roman" w:cs="Times New Roman"/>
                      <w:i/>
                      <w:snapToGrid w:val="0"/>
                      <w:color w:val="auto"/>
                      <w:sz w:val="24"/>
                      <w:szCs w:val="22"/>
                      <w:highlight w:val="none"/>
                    </w:rPr>
                    <m:t>L</m:t>
                  </m:r>
                  <m:ctrlPr>
                    <w:rPr>
                      <w:rFonts w:hint="default" w:ascii="Cambria Math" w:hAnsi="Cambria Math" w:cs="Times New Roman"/>
                      <w:i/>
                      <w:snapToGrid w:val="0"/>
                      <w:color w:val="auto"/>
                      <w:sz w:val="24"/>
                      <w:szCs w:val="22"/>
                      <w:highlight w:val="none"/>
                    </w:rPr>
                  </m:ctrlPr>
                </m:e>
                <m:sub>
                  <m:r>
                    <m:rPr>
                      <m:nor/>
                      <m:sty m:val="p"/>
                    </m:rPr>
                    <w:rPr>
                      <w:rFonts w:hint="default" w:ascii="Times New Roman" w:hAnsi="Times New Roman" w:cs="Times New Roman"/>
                      <w:b w:val="0"/>
                      <w:i w:val="0"/>
                      <w:snapToGrid w:val="0"/>
                      <w:color w:val="auto"/>
                      <w:sz w:val="24"/>
                      <w:szCs w:val="22"/>
                      <w:highlight w:val="none"/>
                    </w:rPr>
                    <m:t>0</m:t>
                  </m:r>
                  <m:ctrlPr>
                    <w:rPr>
                      <w:rFonts w:hint="default" w:ascii="Cambria Math" w:hAnsi="Cambria Math" w:cs="Times New Roman"/>
                      <w:i/>
                      <w:snapToGrid w:val="0"/>
                      <w:color w:val="auto"/>
                      <w:sz w:val="24"/>
                      <w:szCs w:val="22"/>
                      <w:highlight w:val="none"/>
                    </w:rPr>
                  </m:ctrlPr>
                </m:sub>
              </m:sSub>
              <m:ctrlPr>
                <w:rPr>
                  <w:rFonts w:hint="default" w:ascii="Cambria Math" w:hAnsi="Cambria Math" w:cs="Times New Roman"/>
                  <w:i/>
                  <w:snapToGrid w:val="0"/>
                  <w:color w:val="auto"/>
                  <w:sz w:val="24"/>
                  <w:szCs w:val="22"/>
                  <w:highlight w:val="none"/>
                </w:rPr>
              </m:ctrlPr>
            </m:e>
          </m:bar>
          <m:sSub>
            <m:sSubPr>
              <m:ctrlPr>
                <w:rPr>
                  <w:rFonts w:hint="default" w:ascii="Cambria Math" w:hAnsi="Cambria Math" w:cs="Times New Roman"/>
                  <w:i/>
                  <w:snapToGrid w:val="0"/>
                  <w:color w:val="auto"/>
                  <w:sz w:val="24"/>
                  <w:szCs w:val="22"/>
                  <w:highlight w:val="none"/>
                </w:rPr>
              </m:ctrlPr>
            </m:sSubPr>
            <m:e>
              <m:r>
                <m:rPr>
                  <m:nor/>
                  <m:sty m:val="p"/>
                </m:rPr>
                <w:rPr>
                  <w:rFonts w:hint="default" w:ascii="Times New Roman" w:hAnsi="Times New Roman" w:cs="Times New Roman"/>
                  <w:b w:val="0"/>
                  <w:i w:val="0"/>
                  <w:snapToGrid w:val="0"/>
                  <w:color w:val="auto"/>
                  <w:sz w:val="24"/>
                  <w:szCs w:val="22"/>
                  <w:highlight w:val="none"/>
                </w:rPr>
                <m:t>）</m:t>
              </m:r>
              <m:ctrlPr>
                <w:rPr>
                  <w:rFonts w:hint="default" w:ascii="Cambria Math" w:hAnsi="Cambria Math" w:cs="Times New Roman"/>
                  <w:i/>
                  <w:snapToGrid w:val="0"/>
                  <w:color w:val="auto"/>
                  <w:sz w:val="24"/>
                  <w:szCs w:val="22"/>
                  <w:highlight w:val="none"/>
                </w:rPr>
              </m:ctrlPr>
            </m:e>
            <m:sub>
              <m:r>
                <m:rPr>
                  <m:nor/>
                </m:rPr>
                <w:rPr>
                  <w:rFonts w:hint="default" w:ascii="Times New Roman" w:hAnsi="Times New Roman" w:cs="Times New Roman"/>
                  <w:i/>
                  <w:snapToGrid w:val="0"/>
                  <w:color w:val="auto"/>
                  <w:sz w:val="24"/>
                  <w:szCs w:val="22"/>
                  <w:highlight w:val="none"/>
                </w:rPr>
                <m:t>Ei</m:t>
              </m:r>
              <m:ctrlPr>
                <w:rPr>
                  <w:rFonts w:hint="default" w:ascii="Cambria Math" w:hAnsi="Cambria Math" w:cs="Times New Roman"/>
                  <w:i/>
                  <w:snapToGrid w:val="0"/>
                  <w:color w:val="auto"/>
                  <w:sz w:val="24"/>
                  <w:szCs w:val="22"/>
                  <w:highlight w:val="none"/>
                </w:rPr>
              </m:ctrlPr>
            </m:sub>
          </m:sSub>
          <m:r>
            <m:rPr>
              <m:nor/>
              <m:sty m:val="p"/>
            </m:rPr>
            <w:rPr>
              <w:rFonts w:hint="default" w:ascii="Times New Roman" w:hAnsi="Times New Roman" w:cs="Times New Roman"/>
              <w:b w:val="0"/>
              <w:i w:val="0"/>
              <w:snapToGrid w:val="0"/>
              <w:color w:val="auto"/>
              <w:sz w:val="24"/>
              <w:szCs w:val="22"/>
              <w:highlight w:val="none"/>
            </w:rPr>
            <m:t>+10</m:t>
          </m:r>
          <m:func>
            <m:funcPr>
              <m:ctrlPr>
                <w:rPr>
                  <w:rFonts w:hint="default" w:ascii="Cambria Math" w:hAnsi="Cambria Math" w:cs="Times New Roman"/>
                  <w:i/>
                  <w:snapToGrid w:val="0"/>
                  <w:color w:val="auto"/>
                  <w:sz w:val="24"/>
                  <w:szCs w:val="22"/>
                  <w:highlight w:val="none"/>
                </w:rPr>
              </m:ctrlPr>
            </m:funcPr>
            <m:fName>
              <m:r>
                <m:rPr>
                  <m:nor/>
                </m:rPr>
                <w:rPr>
                  <w:rFonts w:hint="default" w:ascii="Times New Roman" w:hAnsi="Times New Roman" w:cs="Times New Roman"/>
                  <w:i/>
                  <w:snapToGrid w:val="0"/>
                  <w:color w:val="auto"/>
                  <w:sz w:val="24"/>
                  <w:szCs w:val="22"/>
                  <w:highlight w:val="none"/>
                </w:rPr>
                <m:t>lg</m:t>
              </m:r>
              <m:ctrlPr>
                <w:rPr>
                  <w:rFonts w:hint="default" w:ascii="Cambria Math" w:hAnsi="Cambria Math" w:cs="Times New Roman"/>
                  <w:i/>
                  <w:snapToGrid w:val="0"/>
                  <w:color w:val="auto"/>
                  <w:sz w:val="24"/>
                  <w:szCs w:val="22"/>
                  <w:highlight w:val="none"/>
                </w:rPr>
              </m:ctrlPr>
            </m:fName>
            <m:e>
              <m:r>
                <m:rPr>
                  <m:nor/>
                  <m:sty m:val="p"/>
                </m:rPr>
                <w:rPr>
                  <w:rFonts w:hint="default" w:ascii="Times New Roman" w:hAnsi="Times New Roman" w:cs="Times New Roman"/>
                  <w:b w:val="0"/>
                  <w:i w:val="0"/>
                  <w:snapToGrid w:val="0"/>
                  <w:color w:val="auto"/>
                  <w:sz w:val="24"/>
                  <w:szCs w:val="22"/>
                  <w:highlight w:val="none"/>
                </w:rPr>
                <m:t>（</m:t>
              </m:r>
              <m:ctrlPr>
                <w:rPr>
                  <w:rFonts w:hint="default" w:ascii="Cambria Math" w:hAnsi="Cambria Math" w:cs="Times New Roman"/>
                  <w:i/>
                  <w:snapToGrid w:val="0"/>
                  <w:color w:val="auto"/>
                  <w:sz w:val="24"/>
                  <w:szCs w:val="22"/>
                  <w:highlight w:val="none"/>
                </w:rPr>
              </m:ctrlPr>
            </m:e>
          </m:func>
          <m:f>
            <m:fPr>
              <m:ctrlPr>
                <w:rPr>
                  <w:rFonts w:hint="default" w:ascii="Cambria Math" w:hAnsi="Cambria Math" w:cs="Times New Roman"/>
                  <w:i/>
                  <w:snapToGrid w:val="0"/>
                  <w:color w:val="auto"/>
                  <w:sz w:val="24"/>
                  <w:szCs w:val="22"/>
                  <w:highlight w:val="none"/>
                </w:rPr>
              </m:ctrlPr>
            </m:fPr>
            <m:num>
              <m:sSub>
                <m:sSubPr>
                  <m:ctrlPr>
                    <w:rPr>
                      <w:rFonts w:hint="default" w:ascii="Cambria Math" w:hAnsi="Cambria Math" w:cs="Times New Roman"/>
                      <w:i/>
                      <w:snapToGrid w:val="0"/>
                      <w:color w:val="auto"/>
                      <w:sz w:val="24"/>
                      <w:szCs w:val="22"/>
                      <w:highlight w:val="none"/>
                    </w:rPr>
                  </m:ctrlPr>
                </m:sSubPr>
                <m:e>
                  <m:r>
                    <m:rPr>
                      <m:nor/>
                    </m:rPr>
                    <w:rPr>
                      <w:rFonts w:hint="default" w:ascii="Times New Roman" w:hAnsi="Times New Roman" w:cs="Times New Roman"/>
                      <w:i/>
                      <w:snapToGrid w:val="0"/>
                      <w:color w:val="auto"/>
                      <w:sz w:val="24"/>
                      <w:szCs w:val="22"/>
                      <w:highlight w:val="none"/>
                    </w:rPr>
                    <m:t>N</m:t>
                  </m:r>
                  <m:ctrlPr>
                    <w:rPr>
                      <w:rFonts w:hint="default" w:ascii="Cambria Math" w:hAnsi="Cambria Math" w:cs="Times New Roman"/>
                      <w:i/>
                      <w:snapToGrid w:val="0"/>
                      <w:color w:val="auto"/>
                      <w:sz w:val="24"/>
                      <w:szCs w:val="22"/>
                      <w:highlight w:val="none"/>
                    </w:rPr>
                  </m:ctrlPr>
                </m:e>
                <m:sub>
                  <m:r>
                    <m:rPr>
                      <m:nor/>
                    </m:rPr>
                    <w:rPr>
                      <w:rFonts w:hint="default" w:ascii="Times New Roman" w:hAnsi="Times New Roman" w:cs="Times New Roman"/>
                      <w:i/>
                      <w:snapToGrid w:val="0"/>
                      <w:color w:val="auto"/>
                      <w:sz w:val="24"/>
                      <w:szCs w:val="22"/>
                      <w:highlight w:val="none"/>
                    </w:rPr>
                    <m:t>i</m:t>
                  </m:r>
                  <m:ctrlPr>
                    <w:rPr>
                      <w:rFonts w:hint="default" w:ascii="Cambria Math" w:hAnsi="Cambria Math" w:cs="Times New Roman"/>
                      <w:i/>
                      <w:snapToGrid w:val="0"/>
                      <w:color w:val="auto"/>
                      <w:sz w:val="24"/>
                      <w:szCs w:val="22"/>
                      <w:highlight w:val="none"/>
                    </w:rPr>
                  </m:ctrlPr>
                </m:sub>
              </m:sSub>
              <m:ctrlPr>
                <w:rPr>
                  <w:rFonts w:hint="default" w:ascii="Cambria Math" w:hAnsi="Cambria Math" w:cs="Times New Roman"/>
                  <w:i/>
                  <w:snapToGrid w:val="0"/>
                  <w:color w:val="auto"/>
                  <w:sz w:val="24"/>
                  <w:szCs w:val="22"/>
                  <w:highlight w:val="none"/>
                </w:rPr>
              </m:ctrlPr>
            </m:num>
            <m:den>
              <m:sSub>
                <m:sSubPr>
                  <m:ctrlPr>
                    <w:rPr>
                      <w:rFonts w:hint="default" w:ascii="Cambria Math" w:hAnsi="Cambria Math" w:cs="Times New Roman"/>
                      <w:i/>
                      <w:snapToGrid w:val="0"/>
                      <w:color w:val="auto"/>
                      <w:sz w:val="24"/>
                      <w:szCs w:val="22"/>
                      <w:highlight w:val="none"/>
                    </w:rPr>
                  </m:ctrlPr>
                </m:sSubPr>
                <m:e>
                  <m:r>
                    <m:rPr>
                      <m:nor/>
                    </m:rPr>
                    <w:rPr>
                      <w:rFonts w:hint="default" w:ascii="Times New Roman" w:hAnsi="Times New Roman" w:cs="Times New Roman"/>
                      <w:i/>
                      <w:snapToGrid w:val="0"/>
                      <w:color w:val="auto"/>
                      <w:sz w:val="24"/>
                      <w:szCs w:val="22"/>
                      <w:highlight w:val="none"/>
                    </w:rPr>
                    <m:t>V</m:t>
                  </m:r>
                  <m:ctrlPr>
                    <w:rPr>
                      <w:rFonts w:hint="default" w:ascii="Cambria Math" w:hAnsi="Cambria Math" w:cs="Times New Roman"/>
                      <w:i/>
                      <w:snapToGrid w:val="0"/>
                      <w:color w:val="auto"/>
                      <w:sz w:val="24"/>
                      <w:szCs w:val="22"/>
                      <w:highlight w:val="none"/>
                    </w:rPr>
                  </m:ctrlPr>
                </m:e>
                <m:sub>
                  <m:r>
                    <m:rPr>
                      <m:nor/>
                    </m:rPr>
                    <w:rPr>
                      <w:rFonts w:hint="default" w:ascii="Times New Roman" w:hAnsi="Times New Roman" w:cs="Times New Roman"/>
                      <w:i/>
                      <w:snapToGrid w:val="0"/>
                      <w:color w:val="auto"/>
                      <w:sz w:val="24"/>
                      <w:szCs w:val="22"/>
                      <w:highlight w:val="none"/>
                    </w:rPr>
                    <m:t>i</m:t>
                  </m:r>
                  <m:ctrlPr>
                    <w:rPr>
                      <w:rFonts w:hint="default" w:ascii="Cambria Math" w:hAnsi="Cambria Math" w:cs="Times New Roman"/>
                      <w:i/>
                      <w:snapToGrid w:val="0"/>
                      <w:color w:val="auto"/>
                      <w:sz w:val="24"/>
                      <w:szCs w:val="22"/>
                      <w:highlight w:val="none"/>
                    </w:rPr>
                  </m:ctrlPr>
                </m:sub>
              </m:sSub>
              <m:r>
                <m:rPr>
                  <m:nor/>
                </m:rPr>
                <w:rPr>
                  <w:rFonts w:hint="default" w:ascii="Times New Roman" w:hAnsi="Times New Roman" w:cs="Times New Roman"/>
                  <w:i/>
                  <w:snapToGrid w:val="0"/>
                  <w:color w:val="auto"/>
                  <w:sz w:val="24"/>
                  <w:szCs w:val="22"/>
                  <w:highlight w:val="none"/>
                </w:rPr>
                <m:t>T</m:t>
              </m:r>
              <m:ctrlPr>
                <w:rPr>
                  <w:rFonts w:hint="default" w:ascii="Cambria Math" w:hAnsi="Cambria Math" w:cs="Times New Roman"/>
                  <w:i/>
                  <w:snapToGrid w:val="0"/>
                  <w:color w:val="auto"/>
                  <w:sz w:val="24"/>
                  <w:szCs w:val="22"/>
                  <w:highlight w:val="none"/>
                </w:rPr>
              </m:ctrlPr>
            </m:den>
          </m:f>
          <m:r>
            <m:rPr>
              <m:nor/>
              <m:sty m:val="p"/>
            </m:rPr>
            <w:rPr>
              <w:rFonts w:hint="default" w:ascii="Times New Roman" w:hAnsi="Times New Roman" w:cs="Times New Roman"/>
              <w:b w:val="0"/>
              <w:i w:val="0"/>
              <w:snapToGrid w:val="0"/>
              <w:color w:val="auto"/>
              <w:sz w:val="24"/>
              <w:szCs w:val="22"/>
              <w:highlight w:val="none"/>
            </w:rPr>
            <m:t>）+</m:t>
          </m:r>
          <m:r>
            <m:rPr>
              <m:nor/>
              <m:sty m:val="p"/>
            </m:rPr>
            <w:rPr>
              <w:rFonts w:hint="default" w:ascii="Times New Roman" w:hAnsi="Times New Roman" w:cs="Times New Roman"/>
              <w:b w:val="0"/>
              <w:i w:val="0"/>
              <w:snapToGrid w:val="0"/>
              <w:color w:val="auto"/>
              <w:sz w:val="24"/>
              <w:szCs w:val="22"/>
              <w:highlight w:val="none"/>
            </w:rPr>
            <w:sym w:font="Wingdings 3" w:char="F072"/>
          </m:r>
          <m:sSub>
            <m:sSubPr>
              <m:ctrlPr>
                <w:rPr>
                  <w:rFonts w:hint="default" w:ascii="Cambria Math" w:hAnsi="Cambria Math" w:cs="Times New Roman"/>
                  <w:i/>
                  <w:snapToGrid w:val="0"/>
                  <w:color w:val="auto"/>
                  <w:sz w:val="24"/>
                  <w:szCs w:val="22"/>
                  <w:highlight w:val="none"/>
                </w:rPr>
              </m:ctrlPr>
            </m:sSubPr>
            <m:e>
              <m:r>
                <m:rPr>
                  <m:nor/>
                </m:rPr>
                <w:rPr>
                  <w:rFonts w:hint="default" w:ascii="Times New Roman" w:hAnsi="Times New Roman" w:cs="Times New Roman"/>
                  <w:i/>
                  <w:snapToGrid w:val="0"/>
                  <w:color w:val="auto"/>
                  <w:sz w:val="24"/>
                  <w:szCs w:val="22"/>
                  <w:highlight w:val="none"/>
                </w:rPr>
                <m:t>L</m:t>
              </m:r>
              <m:ctrlPr>
                <w:rPr>
                  <w:rFonts w:hint="default" w:ascii="Cambria Math" w:hAnsi="Cambria Math" w:cs="Times New Roman"/>
                  <w:i/>
                  <w:snapToGrid w:val="0"/>
                  <w:color w:val="auto"/>
                  <w:sz w:val="24"/>
                  <w:szCs w:val="22"/>
                  <w:highlight w:val="none"/>
                </w:rPr>
              </m:ctrlPr>
            </m:e>
            <m:sub>
              <m:r>
                <m:rPr>
                  <m:nor/>
                  <m:sty m:val="p"/>
                </m:rPr>
                <w:rPr>
                  <w:rFonts w:hint="default" w:ascii="Times New Roman" w:hAnsi="Times New Roman" w:cs="Times New Roman"/>
                  <w:b w:val="0"/>
                  <w:i w:val="0"/>
                  <w:snapToGrid w:val="0"/>
                  <w:color w:val="auto"/>
                  <w:sz w:val="24"/>
                  <w:szCs w:val="22"/>
                  <w:highlight w:val="none"/>
                </w:rPr>
                <m:t>距离</m:t>
              </m:r>
              <m:ctrlPr>
                <w:rPr>
                  <w:rFonts w:hint="default" w:ascii="Cambria Math" w:hAnsi="Cambria Math" w:cs="Times New Roman"/>
                  <w:i/>
                  <w:snapToGrid w:val="0"/>
                  <w:color w:val="auto"/>
                  <w:sz w:val="24"/>
                  <w:szCs w:val="22"/>
                  <w:highlight w:val="none"/>
                </w:rPr>
              </m:ctrlPr>
            </m:sub>
          </m:sSub>
          <m:r>
            <m:rPr>
              <m:nor/>
              <m:sty m:val="p"/>
            </m:rPr>
            <w:rPr>
              <w:rFonts w:hint="default" w:ascii="Times New Roman" w:hAnsi="Times New Roman" w:cs="Times New Roman"/>
              <w:b w:val="0"/>
              <w:i w:val="0"/>
              <w:snapToGrid w:val="0"/>
              <w:color w:val="auto"/>
              <w:sz w:val="24"/>
              <w:szCs w:val="22"/>
              <w:highlight w:val="none"/>
            </w:rPr>
            <m:t>+10</m:t>
          </m:r>
          <m:func>
            <m:funcPr>
              <m:ctrlPr>
                <w:rPr>
                  <w:rFonts w:hint="default" w:ascii="Cambria Math" w:hAnsi="Cambria Math" w:cs="Times New Roman"/>
                  <w:i/>
                  <w:snapToGrid w:val="0"/>
                  <w:color w:val="auto"/>
                  <w:sz w:val="24"/>
                  <w:szCs w:val="22"/>
                  <w:highlight w:val="none"/>
                </w:rPr>
              </m:ctrlPr>
            </m:funcPr>
            <m:fName>
              <m:r>
                <m:rPr>
                  <m:nor/>
                </m:rPr>
                <w:rPr>
                  <w:rFonts w:hint="default" w:ascii="Times New Roman" w:hAnsi="Times New Roman" w:cs="Times New Roman"/>
                  <w:i/>
                  <w:snapToGrid w:val="0"/>
                  <w:color w:val="auto"/>
                  <w:sz w:val="24"/>
                  <w:szCs w:val="22"/>
                  <w:highlight w:val="none"/>
                </w:rPr>
                <m:t>lg</m:t>
              </m:r>
              <m:ctrlPr>
                <w:rPr>
                  <w:rFonts w:hint="default" w:ascii="Cambria Math" w:hAnsi="Cambria Math" w:cs="Times New Roman"/>
                  <w:i/>
                  <w:snapToGrid w:val="0"/>
                  <w:color w:val="auto"/>
                  <w:sz w:val="24"/>
                  <w:szCs w:val="22"/>
                  <w:highlight w:val="none"/>
                </w:rPr>
              </m:ctrlPr>
            </m:fName>
            <m:e>
              <m:r>
                <m:rPr>
                  <m:nor/>
                  <m:sty m:val="p"/>
                </m:rPr>
                <w:rPr>
                  <w:rFonts w:hint="default" w:ascii="Times New Roman" w:hAnsi="Times New Roman" w:cs="Times New Roman"/>
                  <w:b w:val="0"/>
                  <w:i w:val="0"/>
                  <w:snapToGrid w:val="0"/>
                  <w:color w:val="auto"/>
                  <w:sz w:val="24"/>
                  <w:szCs w:val="22"/>
                  <w:highlight w:val="none"/>
                </w:rPr>
                <m:t>（</m:t>
              </m:r>
              <m:ctrlPr>
                <w:rPr>
                  <w:rFonts w:hint="default" w:ascii="Cambria Math" w:hAnsi="Cambria Math" w:cs="Times New Roman"/>
                  <w:i/>
                  <w:snapToGrid w:val="0"/>
                  <w:color w:val="auto"/>
                  <w:sz w:val="24"/>
                  <w:szCs w:val="22"/>
                  <w:highlight w:val="none"/>
                </w:rPr>
              </m:ctrlPr>
            </m:e>
          </m:func>
          <m:f>
            <m:fPr>
              <m:ctrlPr>
                <w:rPr>
                  <w:rFonts w:hint="default" w:ascii="Cambria Math" w:hAnsi="Cambria Math" w:cs="Times New Roman"/>
                  <w:i/>
                  <w:snapToGrid w:val="0"/>
                  <w:color w:val="auto"/>
                  <w:sz w:val="24"/>
                  <w:szCs w:val="22"/>
                  <w:highlight w:val="none"/>
                </w:rPr>
              </m:ctrlPr>
            </m:fPr>
            <m:num>
              <m:sSub>
                <m:sSubPr>
                  <m:ctrlPr>
                    <w:rPr>
                      <w:rFonts w:hint="default" w:ascii="Cambria Math" w:hAnsi="Cambria Math" w:cs="Times New Roman"/>
                      <w:i/>
                      <w:snapToGrid w:val="0"/>
                      <w:color w:val="auto"/>
                      <w:sz w:val="24"/>
                      <w:szCs w:val="22"/>
                      <w:highlight w:val="none"/>
                    </w:rPr>
                  </m:ctrlPr>
                </m:sSubPr>
                <m:e>
                  <m:r>
                    <m:rPr>
                      <m:nor/>
                      <m:sty m:val="p"/>
                    </m:rPr>
                    <w:rPr>
                      <w:rFonts w:hint="default" w:ascii="Times New Roman" w:hAnsi="Times New Roman" w:cs="Times New Roman"/>
                      <w:b w:val="0"/>
                      <w:i w:val="0"/>
                      <w:snapToGrid w:val="0"/>
                      <w:color w:val="auto"/>
                      <w:sz w:val="24"/>
                      <w:szCs w:val="22"/>
                      <w:highlight w:val="none"/>
                    </w:rPr>
                    <m:t>Ψ</m:t>
                  </m:r>
                  <m:ctrlPr>
                    <w:rPr>
                      <w:rFonts w:hint="default" w:ascii="Cambria Math" w:hAnsi="Cambria Math" w:cs="Times New Roman"/>
                      <w:i/>
                      <w:snapToGrid w:val="0"/>
                      <w:color w:val="auto"/>
                      <w:sz w:val="24"/>
                      <w:szCs w:val="22"/>
                      <w:highlight w:val="none"/>
                    </w:rPr>
                  </m:ctrlPr>
                </m:e>
                <m:sub>
                  <m:r>
                    <m:rPr>
                      <m:nor/>
                      <m:sty m:val="p"/>
                    </m:rPr>
                    <w:rPr>
                      <w:rFonts w:hint="default" w:ascii="Times New Roman" w:hAnsi="Times New Roman" w:cs="Times New Roman"/>
                      <w:b w:val="0"/>
                      <w:i w:val="0"/>
                      <w:snapToGrid w:val="0"/>
                      <w:color w:val="auto"/>
                      <w:sz w:val="24"/>
                      <w:szCs w:val="22"/>
                      <w:highlight w:val="none"/>
                    </w:rPr>
                    <m:t>1</m:t>
                  </m:r>
                  <m:ctrlPr>
                    <w:rPr>
                      <w:rFonts w:hint="default" w:ascii="Cambria Math" w:hAnsi="Cambria Math" w:cs="Times New Roman"/>
                      <w:i/>
                      <w:snapToGrid w:val="0"/>
                      <w:color w:val="auto"/>
                      <w:sz w:val="24"/>
                      <w:szCs w:val="22"/>
                      <w:highlight w:val="none"/>
                    </w:rPr>
                  </m:ctrlPr>
                </m:sub>
              </m:sSub>
              <m:r>
                <m:rPr>
                  <m:nor/>
                  <m:sty m:val="p"/>
                </m:rPr>
                <w:rPr>
                  <w:rFonts w:hint="default" w:ascii="Times New Roman" w:hAnsi="Times New Roman" w:cs="Times New Roman"/>
                  <w:b w:val="0"/>
                  <w:i w:val="0"/>
                  <w:snapToGrid w:val="0"/>
                  <w:color w:val="auto"/>
                  <w:sz w:val="24"/>
                  <w:szCs w:val="22"/>
                  <w:highlight w:val="none"/>
                </w:rPr>
                <m:t>+</m:t>
              </m:r>
              <m:sSub>
                <m:sSubPr>
                  <m:ctrlPr>
                    <w:rPr>
                      <w:rFonts w:hint="default" w:ascii="Cambria Math" w:hAnsi="Cambria Math" w:cs="Times New Roman"/>
                      <w:i/>
                      <w:snapToGrid w:val="0"/>
                      <w:color w:val="auto"/>
                      <w:sz w:val="24"/>
                      <w:szCs w:val="22"/>
                      <w:highlight w:val="none"/>
                    </w:rPr>
                  </m:ctrlPr>
                </m:sSubPr>
                <m:e>
                  <m:r>
                    <m:rPr>
                      <m:nor/>
                      <m:sty m:val="p"/>
                    </m:rPr>
                    <w:rPr>
                      <w:rFonts w:hint="default" w:ascii="Times New Roman" w:hAnsi="Times New Roman" w:cs="Times New Roman"/>
                      <w:b w:val="0"/>
                      <w:i w:val="0"/>
                      <w:snapToGrid w:val="0"/>
                      <w:color w:val="auto"/>
                      <w:sz w:val="24"/>
                      <w:szCs w:val="22"/>
                      <w:highlight w:val="none"/>
                    </w:rPr>
                    <m:t>Ψ</m:t>
                  </m:r>
                  <m:ctrlPr>
                    <w:rPr>
                      <w:rFonts w:hint="default" w:ascii="Cambria Math" w:hAnsi="Cambria Math" w:cs="Times New Roman"/>
                      <w:i/>
                      <w:snapToGrid w:val="0"/>
                      <w:color w:val="auto"/>
                      <w:sz w:val="24"/>
                      <w:szCs w:val="22"/>
                      <w:highlight w:val="none"/>
                    </w:rPr>
                  </m:ctrlPr>
                </m:e>
                <m:sub>
                  <m:r>
                    <m:rPr>
                      <m:nor/>
                      <m:sty m:val="p"/>
                    </m:rPr>
                    <w:rPr>
                      <w:rFonts w:hint="default" w:ascii="Times New Roman" w:hAnsi="Times New Roman" w:cs="Times New Roman"/>
                      <w:b w:val="0"/>
                      <w:i w:val="0"/>
                      <w:snapToGrid w:val="0"/>
                      <w:color w:val="auto"/>
                      <w:sz w:val="24"/>
                      <w:szCs w:val="22"/>
                      <w:highlight w:val="none"/>
                    </w:rPr>
                    <m:t>2</m:t>
                  </m:r>
                  <m:ctrlPr>
                    <w:rPr>
                      <w:rFonts w:hint="default" w:ascii="Cambria Math" w:hAnsi="Cambria Math" w:cs="Times New Roman"/>
                      <w:i/>
                      <w:snapToGrid w:val="0"/>
                      <w:color w:val="auto"/>
                      <w:sz w:val="24"/>
                      <w:szCs w:val="22"/>
                      <w:highlight w:val="none"/>
                    </w:rPr>
                  </m:ctrlPr>
                </m:sub>
              </m:sSub>
              <m:ctrlPr>
                <w:rPr>
                  <w:rFonts w:hint="default" w:ascii="Cambria Math" w:hAnsi="Cambria Math" w:cs="Times New Roman"/>
                  <w:i/>
                  <w:snapToGrid w:val="0"/>
                  <w:color w:val="auto"/>
                  <w:sz w:val="24"/>
                  <w:szCs w:val="22"/>
                  <w:highlight w:val="none"/>
                </w:rPr>
              </m:ctrlPr>
            </m:num>
            <m:den>
              <m:r>
                <m:rPr>
                  <m:nor/>
                </m:rPr>
                <w:rPr>
                  <w:rFonts w:hint="default" w:ascii="Times New Roman" w:hAnsi="Times New Roman" w:cs="Times New Roman"/>
                  <w:i/>
                  <w:snapToGrid w:val="0"/>
                  <w:color w:val="auto"/>
                  <w:sz w:val="24"/>
                  <w:szCs w:val="22"/>
                  <w:highlight w:val="none"/>
                </w:rPr>
                <m:t>π</m:t>
              </m:r>
              <m:ctrlPr>
                <w:rPr>
                  <w:rFonts w:hint="default" w:ascii="Cambria Math" w:hAnsi="Cambria Math" w:cs="Times New Roman"/>
                  <w:i/>
                  <w:snapToGrid w:val="0"/>
                  <w:color w:val="auto"/>
                  <w:sz w:val="24"/>
                  <w:szCs w:val="22"/>
                  <w:highlight w:val="none"/>
                </w:rPr>
              </m:ctrlPr>
            </m:den>
          </m:f>
          <m:r>
            <m:rPr>
              <m:nor/>
              <m:sty m:val="p"/>
            </m:rPr>
            <w:rPr>
              <w:rFonts w:hint="default" w:ascii="Times New Roman" w:hAnsi="Times New Roman" w:cs="Times New Roman"/>
              <w:b w:val="0"/>
              <w:i w:val="0"/>
              <w:snapToGrid w:val="0"/>
              <w:color w:val="auto"/>
              <w:sz w:val="24"/>
              <w:szCs w:val="22"/>
              <w:highlight w:val="none"/>
            </w:rPr>
            <m:t>）+Δ</m:t>
          </m:r>
          <m:r>
            <m:rPr>
              <m:nor/>
            </m:rPr>
            <w:rPr>
              <w:rFonts w:hint="default" w:ascii="Times New Roman" w:hAnsi="Times New Roman" w:cs="Times New Roman"/>
              <w:i/>
              <w:snapToGrid w:val="0"/>
              <w:color w:val="auto"/>
              <w:sz w:val="24"/>
              <w:szCs w:val="22"/>
              <w:highlight w:val="none"/>
            </w:rPr>
            <m:t>L</m:t>
          </m:r>
          <m:r>
            <m:rPr>
              <m:nor/>
              <m:sty m:val="p"/>
            </m:rPr>
            <w:rPr>
              <w:rFonts w:hint="default" w:ascii="Times New Roman" w:hAnsi="Times New Roman" w:cs="Times New Roman"/>
              <w:b w:val="0"/>
              <w:i w:val="0"/>
              <w:snapToGrid w:val="0"/>
              <w:color w:val="auto"/>
              <w:sz w:val="24"/>
              <w:szCs w:val="22"/>
              <w:highlight w:val="none"/>
            </w:rPr>
            <m:t>−16</m:t>
          </m:r>
        </m:oMath>
      </m:oMathPara>
    </w:p>
    <w:p w14:paraId="2C72A991">
      <w:pPr>
        <w:autoSpaceDE w:val="0"/>
        <w:autoSpaceDN w:val="0"/>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color w:val="auto"/>
          <w:sz w:val="24"/>
          <w:highlight w:val="none"/>
        </w:rPr>
        <w:object>
          <v:shape id="_x0000_i1033" o:spt="75" type="#_x0000_t75" style="height:19.2pt;width:36pt;" o:ole="t" filled="f" o:preferrelative="t" stroked="f" coordsize="21600,21600">
            <v:path/>
            <v:fill on="f" focussize="0,0"/>
            <v:stroke on="f" joinstyle="miter"/>
            <v:imagedata r:id="rId62" o:title=""/>
            <o:lock v:ext="edit" aspectratio="t"/>
            <w10:wrap type="none"/>
            <w10:anchorlock/>
          </v:shape>
          <o:OLEObject Type="Embed" ProgID="Equation.DSMT4" ShapeID="_x0000_i1033" DrawAspect="Content" ObjectID="_1468075733" r:id="rId61">
            <o:LockedField>false</o:LockedField>
          </o:OLEObject>
        </w:object>
      </w:r>
      <w:r>
        <w:rPr>
          <w:rFonts w:hint="default" w:ascii="Times New Roman" w:hAnsi="Times New Roman" w:cs="Times New Roman"/>
          <w:color w:val="auto"/>
          <w:sz w:val="24"/>
          <w:highlight w:val="none"/>
        </w:rPr>
        <w:t>——第i类车的小时等效声级，dB（A）；</w:t>
      </w:r>
    </w:p>
    <w:p w14:paraId="45DFF744">
      <w:pPr>
        <w:autoSpaceDE w:val="0"/>
        <w:autoSpaceDN w:val="0"/>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34" o:spt="75" type="#_x0000_t75" style="height:20.4pt;width:30.4pt;" o:ole="t" filled="f" o:preferrelative="t" stroked="f" coordsize="21600,21600">
            <v:path/>
            <v:fill on="f" focussize="0,0"/>
            <v:stroke on="f" joinstyle="miter"/>
            <v:imagedata r:id="rId64" o:title=""/>
            <o:lock v:ext="edit" aspectratio="t"/>
            <w10:wrap type="none"/>
            <w10:anchorlock/>
          </v:shape>
          <o:OLEObject Type="Embed" ProgID="Equation.DSMT4" ShapeID="_x0000_i1034" DrawAspect="Content" ObjectID="_1468075734" r:id="rId63">
            <o:LockedField>false</o:LockedField>
          </o:OLEObject>
        </w:object>
      </w:r>
      <w:r>
        <w:rPr>
          <w:rFonts w:hint="default" w:ascii="Times New Roman" w:hAnsi="Times New Roman" w:cs="Times New Roman"/>
          <w:color w:val="auto"/>
          <w:sz w:val="24"/>
          <w:highlight w:val="none"/>
        </w:rPr>
        <w:t>——第i类车速度为</w:t>
      </w:r>
      <w:r>
        <w:rPr>
          <w:rFonts w:hint="default" w:ascii="Times New Roman" w:hAnsi="Times New Roman" w:cs="Times New Roman"/>
          <w:color w:val="auto"/>
          <w:sz w:val="24"/>
          <w:highlight w:val="none"/>
        </w:rPr>
        <w:object>
          <v:shape id="_x0000_i1035" o:spt="75" type="#_x0000_t75" style="height:19.2pt;width:12.8pt;" o:ole="t" filled="f" o:preferrelative="t" stroked="f" coordsize="21600,21600">
            <v:path/>
            <v:fill on="f" focussize="0,0"/>
            <v:stroke on="f" joinstyle="miter"/>
            <v:imagedata r:id="rId66" o:title=""/>
            <o:lock v:ext="edit" aspectratio="t"/>
            <w10:wrap type="none"/>
            <w10:anchorlock/>
          </v:shape>
          <o:OLEObject Type="Embed" ProgID="Equation.DSMT4" ShapeID="_x0000_i1035" DrawAspect="Content" ObjectID="_1468075735" r:id="rId65">
            <o:LockedField>false</o:LockedField>
          </o:OLEObject>
        </w:object>
      </w:r>
      <w:r>
        <w:rPr>
          <w:rFonts w:hint="default" w:ascii="Times New Roman" w:hAnsi="Times New Roman" w:cs="Times New Roman"/>
          <w:color w:val="auto"/>
          <w:sz w:val="24"/>
          <w:highlight w:val="none"/>
        </w:rPr>
        <w:t xml:space="preserve">，km/h；水平距离为7.5m处的能量平均A声级，dB（A）； </w:t>
      </w:r>
    </w:p>
    <w:p w14:paraId="3C1DD281">
      <w:pPr>
        <w:autoSpaceDE w:val="0"/>
        <w:autoSpaceDN w:val="0"/>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36" o:spt="75" type="#_x0000_t75" style="height:19.2pt;width:15.6pt;" o:ole="t" filled="f" o:preferrelative="t" stroked="f" coordsize="21600,21600">
            <v:path/>
            <v:fill on="f" focussize="0,0"/>
            <v:stroke on="f" joinstyle="miter"/>
            <v:imagedata r:id="rId68" o:title=""/>
            <o:lock v:ext="edit" aspectratio="t"/>
            <w10:wrap type="none"/>
            <w10:anchorlock/>
          </v:shape>
          <o:OLEObject Type="Embed" ProgID="Equation.DSMT4" ShapeID="_x0000_i1036" DrawAspect="Content" ObjectID="_1468075736" r:id="rId67">
            <o:LockedField>false</o:LockedField>
          </o:OLEObject>
        </w:object>
      </w:r>
      <w:r>
        <w:rPr>
          <w:rFonts w:hint="default" w:ascii="Times New Roman" w:hAnsi="Times New Roman" w:cs="Times New Roman"/>
          <w:color w:val="auto"/>
          <w:sz w:val="24"/>
          <w:highlight w:val="none"/>
        </w:rPr>
        <w:t>——昼间，夜间通过某个预测点的第i类车平均小时车流量，辆/h；</w:t>
      </w:r>
    </w:p>
    <w:p w14:paraId="5F2180CB">
      <w:pPr>
        <w:autoSpaceDE w:val="0"/>
        <w:autoSpaceDN w:val="0"/>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37" o:spt="75" type="#_x0000_t75" style="height:19.2pt;width:12.8pt;" o:ole="t" filled="f" o:preferrelative="t" stroked="f" coordsize="21600,21600">
            <v:path/>
            <v:fill on="f" focussize="0,0"/>
            <v:stroke on="f" joinstyle="miter"/>
            <v:imagedata r:id="rId66" o:title=""/>
            <o:lock v:ext="edit" aspectratio="t"/>
            <w10:wrap type="none"/>
            <w10:anchorlock/>
          </v:shape>
          <o:OLEObject Type="Embed" ProgID="Equation.DSMT4" ShapeID="_x0000_i1037" DrawAspect="Content" ObjectID="_1468075737" r:id="rId69">
            <o:LockedField>false</o:LockedField>
          </o:OLEObject>
        </w:object>
      </w:r>
      <w:r>
        <w:rPr>
          <w:rFonts w:hint="default" w:ascii="Times New Roman" w:hAnsi="Times New Roman" w:cs="Times New Roman"/>
          <w:color w:val="auto"/>
          <w:sz w:val="24"/>
          <w:highlight w:val="none"/>
        </w:rPr>
        <w:t>——第i类车的平均车速，km/h；</w:t>
      </w:r>
    </w:p>
    <w:p w14:paraId="2356D519">
      <w:pPr>
        <w:autoSpaceDE w:val="0"/>
        <w:autoSpaceDN w:val="0"/>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38" o:spt="75" type="#_x0000_t75" style="height:13.2pt;width:13.2pt;" o:ole="t" filled="f" o:preferrelative="t" stroked="f" coordsize="21600,21600">
            <v:path/>
            <v:fill on="f" focussize="0,0"/>
            <v:stroke on="f" joinstyle="miter"/>
            <v:imagedata r:id="rId71" o:title=""/>
            <o:lock v:ext="edit" aspectratio="t"/>
            <w10:wrap type="none"/>
            <w10:anchorlock/>
          </v:shape>
          <o:OLEObject Type="Embed" ProgID="Equation.DSMT4" ShapeID="_x0000_i1038" DrawAspect="Content" ObjectID="_1468075738" r:id="rId70">
            <o:LockedField>false</o:LockedField>
          </o:OLEObject>
        </w:object>
      </w:r>
      <w:r>
        <w:rPr>
          <w:rFonts w:hint="default" w:ascii="Times New Roman" w:hAnsi="Times New Roman" w:cs="Times New Roman"/>
          <w:color w:val="auto"/>
          <w:sz w:val="24"/>
          <w:highlight w:val="none"/>
        </w:rPr>
        <w:t>——计算等效声级的时间，1h；</w:t>
      </w:r>
    </w:p>
    <w:p w14:paraId="5539E265">
      <w:pPr>
        <w:autoSpaceDE w:val="0"/>
        <w:autoSpaceDN w:val="0"/>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距离</w:t>
      </w:r>
      <w:r>
        <w:rPr>
          <w:rFonts w:hint="default" w:ascii="Times New Roman" w:hAnsi="Times New Roman" w:cs="Times New Roman"/>
          <w:color w:val="auto"/>
          <w:sz w:val="24"/>
          <w:highlight w:val="none"/>
        </w:rPr>
        <w:t>——距离衰减量dB（A）,小时车流量大于等于300辆/小时：△L</w:t>
      </w:r>
      <w:r>
        <w:rPr>
          <w:rFonts w:hint="default" w:ascii="Times New Roman" w:hAnsi="Times New Roman" w:cs="Times New Roman"/>
          <w:color w:val="auto"/>
          <w:sz w:val="24"/>
          <w:highlight w:val="none"/>
          <w:vertAlign w:val="subscript"/>
        </w:rPr>
        <w:t>距离</w:t>
      </w:r>
      <w:r>
        <w:rPr>
          <w:rFonts w:hint="default" w:ascii="Times New Roman" w:hAnsi="Times New Roman" w:cs="Times New Roman"/>
          <w:color w:val="auto"/>
          <w:sz w:val="24"/>
          <w:highlight w:val="none"/>
        </w:rPr>
        <w:t>=10lg（7.5/r），小时车流量小于300辆/小时：△L</w:t>
      </w:r>
      <w:r>
        <w:rPr>
          <w:rFonts w:hint="default" w:ascii="Times New Roman" w:hAnsi="Times New Roman" w:cs="Times New Roman"/>
          <w:color w:val="auto"/>
          <w:sz w:val="24"/>
          <w:highlight w:val="none"/>
          <w:vertAlign w:val="subscript"/>
        </w:rPr>
        <w:t>距离</w:t>
      </w:r>
      <w:r>
        <w:rPr>
          <w:rFonts w:hint="default" w:ascii="Times New Roman" w:hAnsi="Times New Roman" w:cs="Times New Roman"/>
          <w:color w:val="auto"/>
          <w:sz w:val="24"/>
          <w:highlight w:val="none"/>
        </w:rPr>
        <w:t>=15lg（7.5/r）；</w:t>
      </w:r>
    </w:p>
    <w:p w14:paraId="28AF0D04">
      <w:pPr>
        <w:autoSpaceDE w:val="0"/>
        <w:autoSpaceDN w:val="0"/>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r——从车道中心线到预测点的距离，m；</w:t>
      </w:r>
    </w:p>
    <w:p w14:paraId="5E932180">
      <w:pPr>
        <w:autoSpaceDE w:val="0"/>
        <w:autoSpaceDN w:val="0"/>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39" o:spt="75" type="#_x0000_t75" style="height:19.2pt;width:30.4pt;" o:ole="t" filled="f" o:preferrelative="t" stroked="f" coordsize="21600,21600">
            <v:path/>
            <v:fill on="f" focussize="0,0"/>
            <v:stroke on="f" joinstyle="miter"/>
            <v:imagedata r:id="rId73" o:title=""/>
            <o:lock v:ext="edit" aspectratio="t"/>
            <w10:wrap type="none"/>
            <w10:anchorlock/>
          </v:shape>
          <o:OLEObject Type="Embed" ProgID="Equation.DSMT4" ShapeID="_x0000_i1039" DrawAspect="Content" ObjectID="_1468075739" r:id="rId72">
            <o:LockedField>false</o:LockedField>
          </o:OLEObject>
        </w:object>
      </w:r>
      <w:r>
        <w:rPr>
          <w:rFonts w:hint="default" w:ascii="Times New Roman" w:hAnsi="Times New Roman" w:cs="Times New Roman"/>
          <w:color w:val="auto"/>
          <w:sz w:val="24"/>
          <w:highlight w:val="none"/>
        </w:rPr>
        <w:t>——预测点到有限长路段两端的张角，弧度；如图所示：</w:t>
      </w:r>
    </w:p>
    <w:p w14:paraId="4D791D8A">
      <w:pPr>
        <w:autoSpaceDE w:val="0"/>
        <w:autoSpaceDN w:val="0"/>
        <w:spacing w:line="360" w:lineRule="auto"/>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drawing>
          <wp:inline distT="0" distB="0" distL="0" distR="0">
            <wp:extent cx="3881755" cy="1621790"/>
            <wp:effectExtent l="0" t="0" r="0" b="0"/>
            <wp:docPr id="100" name="图片 100" descr="C:\Users\rwy\Desktop\QQ截图2020051514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rwy\Desktop\QQ截图20200515140419.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881755" cy="1621790"/>
                    </a:xfrm>
                    <a:prstGeom prst="rect">
                      <a:avLst/>
                    </a:prstGeom>
                    <a:noFill/>
                    <a:ln>
                      <a:noFill/>
                    </a:ln>
                  </pic:spPr>
                </pic:pic>
              </a:graphicData>
            </a:graphic>
          </wp:inline>
        </w:drawing>
      </w:r>
    </w:p>
    <w:p w14:paraId="3A6F2281">
      <w:pPr>
        <w:pStyle w:val="36"/>
        <w:snapToGrid/>
        <w:spacing w:line="360" w:lineRule="auto"/>
        <w:jc w:val="center"/>
        <w:rPr>
          <w:rStyle w:val="103"/>
          <w:rFonts w:hint="default" w:ascii="Times New Roman" w:hAnsi="Times New Roman" w:eastAsia="黑体" w:cs="Times New Roman"/>
          <w:color w:val="auto"/>
          <w:sz w:val="21"/>
          <w:szCs w:val="21"/>
          <w:highlight w:val="none"/>
        </w:rPr>
      </w:pPr>
      <w:r>
        <w:rPr>
          <w:rStyle w:val="103"/>
          <w:rFonts w:hint="default" w:ascii="Times New Roman" w:hAnsi="Times New Roman" w:eastAsia="黑体" w:cs="Times New Roman"/>
          <w:color w:val="auto"/>
          <w:sz w:val="21"/>
          <w:szCs w:val="21"/>
          <w:highlight w:val="none"/>
        </w:rPr>
        <w:t>图5.3-1  有限路段的修正函数，A—B为路段，P为预测点</w:t>
      </w:r>
    </w:p>
    <w:p w14:paraId="548B93DE">
      <w:pPr>
        <w:spacing w:line="360" w:lineRule="auto"/>
        <w:ind w:firstLine="48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highlight w:val="none"/>
        </w:rPr>
        <w:object>
          <v:shape id="_x0000_i1040" o:spt="75" type="#_x0000_t75" style="height:13.2pt;width:19.2pt;" o:ole="t" filled="f" o:preferrelative="t" stroked="f" coordsize="21600,21600">
            <v:path/>
            <v:fill on="f" focussize="0,0"/>
            <v:stroke on="f" joinstyle="miter"/>
            <v:imagedata r:id="rId76" o:title=""/>
            <o:lock v:ext="edit" aspectratio="t"/>
            <w10:wrap type="none"/>
            <w10:anchorlock/>
          </v:shape>
          <o:OLEObject Type="Embed" ProgID="Equation.DSMT4" ShapeID="_x0000_i1040" DrawAspect="Content" ObjectID="_1468075740" r:id="rId75">
            <o:LockedField>false</o:LockedField>
          </o:OLEObject>
        </w:objec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2"/>
          <w:highlight w:val="none"/>
        </w:rPr>
        <w:t>由其他因素引起的修正量，dB（A），可按下式计算：</w:t>
      </w:r>
    </w:p>
    <w:p w14:paraId="09B47FCC">
      <w:pPr>
        <w:spacing w:line="360" w:lineRule="auto"/>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drawing>
          <wp:inline distT="0" distB="0" distL="0" distR="0">
            <wp:extent cx="1742440" cy="3016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742440" cy="301625"/>
                    </a:xfrm>
                    <a:prstGeom prst="rect">
                      <a:avLst/>
                    </a:prstGeom>
                    <a:noFill/>
                    <a:ln>
                      <a:noFill/>
                    </a:ln>
                  </pic:spPr>
                </pic:pic>
              </a:graphicData>
            </a:graphic>
          </wp:inline>
        </w:drawing>
      </w:r>
    </w:p>
    <w:p w14:paraId="6C9767E9">
      <w:pPr>
        <w:spacing w:line="360" w:lineRule="auto"/>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drawing>
          <wp:inline distT="0" distB="0" distL="0" distR="0">
            <wp:extent cx="1785620" cy="31940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785620" cy="319405"/>
                    </a:xfrm>
                    <a:prstGeom prst="rect">
                      <a:avLst/>
                    </a:prstGeom>
                    <a:noFill/>
                    <a:ln>
                      <a:noFill/>
                    </a:ln>
                  </pic:spPr>
                </pic:pic>
              </a:graphicData>
            </a:graphic>
          </wp:inline>
        </w:drawing>
      </w:r>
    </w:p>
    <w:p w14:paraId="077A3555">
      <w:pPr>
        <w:spacing w:line="360" w:lineRule="auto"/>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drawing>
          <wp:inline distT="0" distB="0" distL="0" distR="0">
            <wp:extent cx="2639695" cy="32766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639695" cy="327660"/>
                    </a:xfrm>
                    <a:prstGeom prst="rect">
                      <a:avLst/>
                    </a:prstGeom>
                    <a:noFill/>
                    <a:ln>
                      <a:noFill/>
                    </a:ln>
                  </pic:spPr>
                </pic:pic>
              </a:graphicData>
            </a:graphic>
          </wp:inline>
        </w:drawing>
      </w:r>
    </w:p>
    <w:p w14:paraId="765CAFB4">
      <w:pPr>
        <w:spacing w:line="360" w:lineRule="auto"/>
        <w:ind w:firstLine="48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式中：</w:t>
      </w:r>
    </w:p>
    <w:p w14:paraId="5CCD8493">
      <w:pPr>
        <w:spacing w:line="360" w:lineRule="auto"/>
        <w:ind w:firstLine="48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 xml:space="preserve">  △</w:t>
      </w:r>
      <w:r>
        <w:rPr>
          <w:rFonts w:hint="default" w:ascii="Times New Roman" w:hAnsi="Times New Roman" w:cs="Times New Roman"/>
          <w:i/>
          <w:color w:val="auto"/>
          <w:sz w:val="24"/>
          <w:szCs w:val="22"/>
          <w:highlight w:val="none"/>
        </w:rPr>
        <w:t>L</w:t>
      </w:r>
      <w:r>
        <w:rPr>
          <w:rFonts w:hint="default" w:ascii="Times New Roman" w:hAnsi="Times New Roman" w:cs="Times New Roman"/>
          <w:color w:val="auto"/>
          <w:sz w:val="24"/>
          <w:szCs w:val="22"/>
          <w:highlight w:val="none"/>
          <w:vertAlign w:val="subscript"/>
        </w:rPr>
        <w:t>1</w:t>
      </w:r>
      <w:r>
        <w:rPr>
          <w:rFonts w:hint="default" w:ascii="Times New Roman" w:hAnsi="Times New Roman" w:cs="Times New Roman"/>
          <w:color w:val="auto"/>
          <w:sz w:val="24"/>
          <w:szCs w:val="22"/>
          <w:highlight w:val="none"/>
        </w:rPr>
        <w:t>——线路因素引起的修正量，dB（A）；</w:t>
      </w:r>
    </w:p>
    <w:p w14:paraId="5363E2BA">
      <w:pPr>
        <w:spacing w:line="360" w:lineRule="auto"/>
        <w:ind w:firstLine="48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 xml:space="preserve">  △</w:t>
      </w:r>
      <w:r>
        <w:rPr>
          <w:rFonts w:hint="default" w:ascii="Times New Roman" w:hAnsi="Times New Roman" w:cs="Times New Roman"/>
          <w:i/>
          <w:color w:val="auto"/>
          <w:sz w:val="24"/>
          <w:szCs w:val="22"/>
          <w:highlight w:val="none"/>
        </w:rPr>
        <w:t>L</w:t>
      </w:r>
      <w:r>
        <w:rPr>
          <w:rFonts w:hint="default" w:ascii="Times New Roman" w:hAnsi="Times New Roman" w:cs="Times New Roman"/>
          <w:color w:val="auto"/>
          <w:sz w:val="24"/>
          <w:szCs w:val="22"/>
          <w:highlight w:val="none"/>
          <w:vertAlign w:val="subscript"/>
        </w:rPr>
        <w:t>坡度</w:t>
      </w:r>
      <w:r>
        <w:rPr>
          <w:rFonts w:hint="default" w:ascii="Times New Roman" w:hAnsi="Times New Roman" w:cs="Times New Roman"/>
          <w:color w:val="auto"/>
          <w:sz w:val="24"/>
          <w:szCs w:val="22"/>
          <w:highlight w:val="none"/>
        </w:rPr>
        <w:t>——公路纵坡修正量，dB（A）；</w:t>
      </w:r>
    </w:p>
    <w:p w14:paraId="39FDE5EB">
      <w:pPr>
        <w:spacing w:line="360" w:lineRule="auto"/>
        <w:ind w:firstLine="48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 xml:space="preserve">  △</w:t>
      </w:r>
      <w:r>
        <w:rPr>
          <w:rFonts w:hint="default" w:ascii="Times New Roman" w:hAnsi="Times New Roman" w:cs="Times New Roman"/>
          <w:i/>
          <w:color w:val="auto"/>
          <w:sz w:val="24"/>
          <w:szCs w:val="22"/>
          <w:highlight w:val="none"/>
        </w:rPr>
        <w:t>L</w:t>
      </w:r>
      <w:r>
        <w:rPr>
          <w:rFonts w:hint="default" w:ascii="Times New Roman" w:hAnsi="Times New Roman" w:cs="Times New Roman"/>
          <w:color w:val="auto"/>
          <w:sz w:val="24"/>
          <w:szCs w:val="22"/>
          <w:highlight w:val="none"/>
          <w:vertAlign w:val="subscript"/>
        </w:rPr>
        <w:t>路面</w:t>
      </w:r>
      <w:r>
        <w:rPr>
          <w:rFonts w:hint="default" w:ascii="Times New Roman" w:hAnsi="Times New Roman" w:cs="Times New Roman"/>
          <w:color w:val="auto"/>
          <w:sz w:val="24"/>
          <w:szCs w:val="22"/>
          <w:highlight w:val="none"/>
        </w:rPr>
        <w:t>——公路路面材料引起的修正量，dB（A）；</w:t>
      </w:r>
    </w:p>
    <w:p w14:paraId="5C6A34DF">
      <w:pPr>
        <w:spacing w:line="360" w:lineRule="auto"/>
        <w:ind w:firstLine="48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 xml:space="preserve">  △</w:t>
      </w:r>
      <w:r>
        <w:rPr>
          <w:rFonts w:hint="default" w:ascii="Times New Roman" w:hAnsi="Times New Roman" w:cs="Times New Roman"/>
          <w:i/>
          <w:color w:val="auto"/>
          <w:sz w:val="24"/>
          <w:szCs w:val="22"/>
          <w:highlight w:val="none"/>
        </w:rPr>
        <w:t>L</w:t>
      </w:r>
      <w:r>
        <w:rPr>
          <w:rFonts w:hint="default" w:ascii="Times New Roman" w:hAnsi="Times New Roman" w:cs="Times New Roman"/>
          <w:color w:val="auto"/>
          <w:sz w:val="24"/>
          <w:szCs w:val="22"/>
          <w:highlight w:val="none"/>
          <w:vertAlign w:val="subscript"/>
        </w:rPr>
        <w:t>2</w:t>
      </w:r>
      <w:r>
        <w:rPr>
          <w:rFonts w:hint="default" w:ascii="Times New Roman" w:hAnsi="Times New Roman" w:cs="Times New Roman"/>
          <w:color w:val="auto"/>
          <w:sz w:val="24"/>
          <w:szCs w:val="22"/>
          <w:highlight w:val="none"/>
        </w:rPr>
        <w:t>——声波传播途径中引起的衰减量，dB（A）；</w:t>
      </w:r>
    </w:p>
    <w:p w14:paraId="717B3A4E">
      <w:pPr>
        <w:spacing w:line="360" w:lineRule="auto"/>
        <w:ind w:firstLine="48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 xml:space="preserve">  △</w:t>
      </w:r>
      <w:r>
        <w:rPr>
          <w:rFonts w:hint="default" w:ascii="Times New Roman" w:hAnsi="Times New Roman" w:cs="Times New Roman"/>
          <w:i/>
          <w:color w:val="auto"/>
          <w:sz w:val="24"/>
          <w:szCs w:val="22"/>
          <w:highlight w:val="none"/>
        </w:rPr>
        <w:t>L</w:t>
      </w:r>
      <w:r>
        <w:rPr>
          <w:rFonts w:hint="default" w:ascii="Times New Roman" w:hAnsi="Times New Roman" w:cs="Times New Roman"/>
          <w:color w:val="auto"/>
          <w:sz w:val="24"/>
          <w:szCs w:val="22"/>
          <w:highlight w:val="none"/>
          <w:vertAlign w:val="subscript"/>
        </w:rPr>
        <w:t>3</w:t>
      </w:r>
      <w:r>
        <w:rPr>
          <w:rFonts w:hint="default" w:ascii="Times New Roman" w:hAnsi="Times New Roman" w:cs="Times New Roman"/>
          <w:color w:val="auto"/>
          <w:sz w:val="24"/>
          <w:szCs w:val="22"/>
          <w:highlight w:val="none"/>
        </w:rPr>
        <w:t>——由反射等引起的修正量，dB（A）；</w:t>
      </w:r>
    </w:p>
    <w:p w14:paraId="1F78C6BD">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b）总车流等效声级</w:t>
      </w:r>
    </w:p>
    <w:p w14:paraId="776CF2A2">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总车流量等效声级按下式计算：</w:t>
      </w:r>
    </w:p>
    <w:p w14:paraId="29A536FA">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anchor distT="0" distB="0" distL="114300" distR="114300" simplePos="0" relativeHeight="251659264" behindDoc="0" locked="0" layoutInCell="1" allowOverlap="1">
            <wp:simplePos x="0" y="0"/>
            <wp:positionH relativeFrom="column">
              <wp:posOffset>1463040</wp:posOffset>
            </wp:positionH>
            <wp:positionV relativeFrom="paragraph">
              <wp:posOffset>57150</wp:posOffset>
            </wp:positionV>
            <wp:extent cx="3268980" cy="384175"/>
            <wp:effectExtent l="0" t="0" r="7620" b="0"/>
            <wp:wrapSquare wrapText="right"/>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3268980" cy="384175"/>
                    </a:xfrm>
                    <a:prstGeom prst="rect">
                      <a:avLst/>
                    </a:prstGeom>
                    <a:noFill/>
                  </pic:spPr>
                </pic:pic>
              </a:graphicData>
            </a:graphic>
          </wp:anchor>
        </w:drawing>
      </w:r>
    </w:p>
    <w:p w14:paraId="423ACDB1">
      <w:pPr>
        <w:spacing w:line="360" w:lineRule="auto"/>
        <w:ind w:firstLine="480"/>
        <w:rPr>
          <w:rFonts w:hint="default" w:ascii="Times New Roman" w:hAnsi="Times New Roman" w:cs="Times New Roman"/>
          <w:color w:val="auto"/>
          <w:sz w:val="24"/>
          <w:highlight w:val="none"/>
        </w:rPr>
      </w:pPr>
    </w:p>
    <w:p w14:paraId="64F1D3F8">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color w:val="auto"/>
          <w:sz w:val="24"/>
          <w:highlight w:val="none"/>
        </w:rPr>
        <w:object>
          <v:shape id="_x0000_i1041" o:spt="75" type="#_x0000_t75" style="height:19.2pt;width:48.8pt;" o:ole="t" filled="f" o:preferrelative="t" stroked="f" coordsize="21600,21600">
            <v:path/>
            <v:fill on="f" focussize="0,0"/>
            <v:stroke on="f" joinstyle="miter"/>
            <v:imagedata r:id="rId82" o:title=""/>
            <o:lock v:ext="edit" aspectratio="t"/>
            <w10:wrap type="none"/>
            <w10:anchorlock/>
          </v:shape>
          <o:OLEObject Type="Embed" ProgID="Equation.DSMT4" ShapeID="_x0000_i1041" DrawAspect="Content" ObjectID="_1468075741" r:id="rId81">
            <o:LockedField>false</o:LockedField>
          </o:OLEObject>
        </w:object>
      </w:r>
      <w:r>
        <w:rPr>
          <w:rFonts w:hint="default" w:ascii="Times New Roman" w:hAnsi="Times New Roman" w:cs="Times New Roman"/>
          <w:color w:val="auto"/>
          <w:sz w:val="24"/>
          <w:highlight w:val="none"/>
        </w:rPr>
        <w:t>——总车流等效声级，dB（A）；</w:t>
      </w:r>
    </w:p>
    <w:p w14:paraId="2C5DB4AD">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42" o:spt="75" type="#_x0000_t75" style="height:19.2pt;width:41.6pt;" o:ole="t" filled="f" o:preferrelative="t" stroked="f" coordsize="21600,21600">
            <v:path/>
            <v:fill on="f" focussize="0,0"/>
            <v:stroke on="f" joinstyle="miter"/>
            <v:imagedata r:id="rId84" o:title=""/>
            <o:lock v:ext="edit" aspectratio="t"/>
            <w10:wrap type="none"/>
            <w10:anchorlock/>
          </v:shape>
          <o:OLEObject Type="Embed" ProgID="Equation.DSMT4" ShapeID="_x0000_i1042" DrawAspect="Content" ObjectID="_1468075742" r:id="rId83">
            <o:LockedField>false</o:LockedField>
          </o:OLEObject>
        </w:objec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rPr>
        <w:object>
          <v:shape id="_x0000_i1043" o:spt="75" type="#_x0000_t75" style="height:19.2pt;width:38pt;" o:ole="t" filled="f" o:preferrelative="t" stroked="f" coordsize="21600,21600">
            <v:path/>
            <v:fill on="f" focussize="0,0"/>
            <v:stroke on="f" joinstyle="miter"/>
            <v:imagedata r:id="rId86" o:title=""/>
            <o:lock v:ext="edit" aspectratio="t"/>
            <w10:wrap type="none"/>
            <w10:anchorlock/>
          </v:shape>
          <o:OLEObject Type="Embed" ProgID="Equation.DSMT4" ShapeID="_x0000_i1043" DrawAspect="Content" ObjectID="_1468075743" r:id="rId85">
            <o:LockedField>false</o:LockedField>
          </o:OLEObject>
        </w:objec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rPr>
        <w:object>
          <v:shape id="_x0000_i1044" o:spt="75" type="#_x0000_t75" style="height:19.2pt;width:41.6pt;" o:ole="t" filled="f" o:preferrelative="t" stroked="f" coordsize="21600,21600">
            <v:path/>
            <v:fill on="f" focussize="0,0"/>
            <v:stroke on="f" joinstyle="miter"/>
            <v:imagedata r:id="rId88" o:title=""/>
            <o:lock v:ext="edit" aspectratio="t"/>
            <w10:wrap type="none"/>
            <w10:anchorlock/>
          </v:shape>
          <o:OLEObject Type="Embed" ProgID="Equation.DSMT4" ShapeID="_x0000_i1044" DrawAspect="Content" ObjectID="_1468075744" r:id="rId87">
            <o:LockedField>false</o:LockedField>
          </o:OLEObject>
        </w:object>
      </w:r>
      <w:r>
        <w:rPr>
          <w:rFonts w:hint="default" w:ascii="Times New Roman" w:hAnsi="Times New Roman" w:cs="Times New Roman"/>
          <w:color w:val="auto"/>
          <w:sz w:val="24"/>
          <w:highlight w:val="none"/>
        </w:rPr>
        <w:t>——分别为大、中、小类型车的小时等效声级，dB（A）。</w:t>
      </w:r>
    </w:p>
    <w:p w14:paraId="05A4FB51">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②参数的确定</w:t>
      </w:r>
    </w:p>
    <w:p w14:paraId="254A04A1">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a、车速V</w:t>
      </w:r>
    </w:p>
    <w:p w14:paraId="23A062CA">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景区内规定车速为小型车低于40km/h，中型车低于30km/h。</w:t>
      </w:r>
    </w:p>
    <w:p w14:paraId="5AFAB21A">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b、车流量</w:t>
      </w:r>
    </w:p>
    <w:p w14:paraId="5E8F7DAA">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景区内车流量见表5.2-11，本次评价以情景二（远期旅游旺季）车流量进行预测；同时考虑到景区夜间不开放，车流量主要集中于营业时段内，本次评价仅预测昼间交通噪声影响。</w:t>
      </w:r>
    </w:p>
    <w:p w14:paraId="41D4C40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预测模式中主要参数取值见表5.3-4，预测结果见表5.3-5。</w:t>
      </w:r>
    </w:p>
    <w:p w14:paraId="1A709E74">
      <w:pPr>
        <w:pStyle w:val="545"/>
        <w:adjustRightInd/>
        <w:spacing w:line="360" w:lineRule="auto"/>
        <w:ind w:firstLine="0" w:firstLineChars="0"/>
        <w:jc w:val="center"/>
        <w:rPr>
          <w:rFonts w:hint="default" w:ascii="Times New Roman" w:hAnsi="Times New Roman" w:cs="Times New Roman"/>
          <w:color w:val="auto"/>
          <w:spacing w:val="0"/>
          <w:kern w:val="24"/>
          <w:highlight w:val="none"/>
        </w:rPr>
      </w:pPr>
      <w:r>
        <w:rPr>
          <w:rFonts w:hint="default" w:ascii="Times New Roman" w:hAnsi="Times New Roman" w:eastAsia="黑体" w:cs="Times New Roman"/>
          <w:color w:val="auto"/>
          <w:spacing w:val="0"/>
          <w:kern w:val="0"/>
          <w:sz w:val="21"/>
          <w:szCs w:val="21"/>
          <w:highlight w:val="none"/>
        </w:rPr>
        <w:t>表5.3-4  预测模式中主要参数取值汇总表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60"/>
        <w:gridCol w:w="1984"/>
        <w:gridCol w:w="1418"/>
        <w:gridCol w:w="1559"/>
        <w:gridCol w:w="831"/>
        <w:gridCol w:w="1147"/>
      </w:tblGrid>
      <w:tr w14:paraId="67B2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5" w:type="dxa"/>
            <w:vAlign w:val="center"/>
          </w:tcPr>
          <w:p w14:paraId="6D7B892D">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车型</w:t>
            </w:r>
          </w:p>
        </w:tc>
        <w:tc>
          <w:tcPr>
            <w:tcW w:w="1560" w:type="dxa"/>
            <w:vAlign w:val="center"/>
          </w:tcPr>
          <w:p w14:paraId="374A76AA">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车流量（辆/h）</w:t>
            </w:r>
          </w:p>
        </w:tc>
        <w:tc>
          <w:tcPr>
            <w:tcW w:w="1984" w:type="dxa"/>
            <w:vAlign w:val="center"/>
          </w:tcPr>
          <w:p w14:paraId="3EB72037">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参考能量平均辐射声级L</w:t>
            </w:r>
            <w:r>
              <w:rPr>
                <w:rFonts w:hint="default" w:ascii="Times New Roman" w:hAnsi="Times New Roman" w:cs="Times New Roman" w:eastAsiaTheme="minorEastAsia"/>
                <w:color w:val="auto"/>
                <w:spacing w:val="0"/>
                <w:kern w:val="24"/>
                <w:sz w:val="21"/>
                <w:szCs w:val="21"/>
                <w:highlight w:val="none"/>
                <w:vertAlign w:val="subscript"/>
              </w:rPr>
              <w:t>Ai</w:t>
            </w:r>
            <w:r>
              <w:rPr>
                <w:rFonts w:hint="default" w:ascii="Times New Roman" w:hAnsi="Times New Roman" w:cs="Times New Roman" w:eastAsiaTheme="minorEastAsia"/>
                <w:color w:val="auto"/>
                <w:spacing w:val="0"/>
                <w:kern w:val="24"/>
                <w:sz w:val="21"/>
                <w:szCs w:val="21"/>
                <w:highlight w:val="none"/>
              </w:rPr>
              <w:t>[dB（A）]</w:t>
            </w:r>
          </w:p>
        </w:tc>
        <w:tc>
          <w:tcPr>
            <w:tcW w:w="1418" w:type="dxa"/>
            <w:vAlign w:val="center"/>
          </w:tcPr>
          <w:p w14:paraId="125BAA43">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参考车速（km/h）</w:t>
            </w:r>
          </w:p>
        </w:tc>
        <w:tc>
          <w:tcPr>
            <w:tcW w:w="1559" w:type="dxa"/>
            <w:vAlign w:val="center"/>
          </w:tcPr>
          <w:p w14:paraId="619F7C5E">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车道宽</w:t>
            </w:r>
          </w:p>
        </w:tc>
        <w:tc>
          <w:tcPr>
            <w:tcW w:w="831" w:type="dxa"/>
            <w:vAlign w:val="center"/>
          </w:tcPr>
          <w:p w14:paraId="3E730C8C">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a</w:t>
            </w:r>
          </w:p>
        </w:tc>
        <w:tc>
          <w:tcPr>
            <w:tcW w:w="1147" w:type="dxa"/>
            <w:vAlign w:val="center"/>
          </w:tcPr>
          <w:p w14:paraId="5EB52E00">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color w:val="auto"/>
                <w:spacing w:val="0"/>
                <w:kern w:val="24"/>
                <w:sz w:val="21"/>
                <w:szCs w:val="21"/>
                <w:highlight w:val="none"/>
              </w:rPr>
              <w:t>△</w:t>
            </w:r>
            <w:r>
              <w:rPr>
                <w:rFonts w:hint="default" w:ascii="Times New Roman" w:hAnsi="Times New Roman" w:cs="Times New Roman" w:eastAsiaTheme="minorEastAsia"/>
                <w:color w:val="auto"/>
                <w:spacing w:val="0"/>
                <w:kern w:val="24"/>
                <w:sz w:val="21"/>
                <w:szCs w:val="21"/>
                <w:highlight w:val="none"/>
              </w:rPr>
              <w:t>S</w:t>
            </w:r>
          </w:p>
        </w:tc>
      </w:tr>
      <w:tr w14:paraId="5DD0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5" w:type="dxa"/>
            <w:vAlign w:val="center"/>
          </w:tcPr>
          <w:p w14:paraId="49B20C5A">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小</w:t>
            </w:r>
          </w:p>
        </w:tc>
        <w:tc>
          <w:tcPr>
            <w:tcW w:w="1560" w:type="dxa"/>
            <w:vAlign w:val="center"/>
          </w:tcPr>
          <w:p w14:paraId="4E90BFCC">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149</w:t>
            </w:r>
          </w:p>
        </w:tc>
        <w:tc>
          <w:tcPr>
            <w:tcW w:w="1984" w:type="dxa"/>
            <w:vAlign w:val="center"/>
          </w:tcPr>
          <w:p w14:paraId="221ACC8E">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68.5</w:t>
            </w:r>
          </w:p>
        </w:tc>
        <w:tc>
          <w:tcPr>
            <w:tcW w:w="1418" w:type="dxa"/>
            <w:vAlign w:val="center"/>
          </w:tcPr>
          <w:p w14:paraId="79261616">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40</w:t>
            </w:r>
          </w:p>
        </w:tc>
        <w:tc>
          <w:tcPr>
            <w:tcW w:w="1559" w:type="dxa"/>
            <w:vMerge w:val="restart"/>
            <w:vAlign w:val="center"/>
          </w:tcPr>
          <w:p w14:paraId="452A342A">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5.5</w:t>
            </w:r>
          </w:p>
        </w:tc>
        <w:tc>
          <w:tcPr>
            <w:tcW w:w="831" w:type="dxa"/>
            <w:vMerge w:val="restart"/>
            <w:vAlign w:val="center"/>
          </w:tcPr>
          <w:p w14:paraId="7F2017EE">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0.5</w:t>
            </w:r>
          </w:p>
        </w:tc>
        <w:tc>
          <w:tcPr>
            <w:tcW w:w="1147" w:type="dxa"/>
            <w:vMerge w:val="restart"/>
            <w:vAlign w:val="center"/>
          </w:tcPr>
          <w:p w14:paraId="0D42FC27">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1</w:t>
            </w:r>
          </w:p>
        </w:tc>
      </w:tr>
      <w:tr w14:paraId="5D85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5" w:type="dxa"/>
            <w:vAlign w:val="center"/>
          </w:tcPr>
          <w:p w14:paraId="1189F93D">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中</w:t>
            </w:r>
          </w:p>
        </w:tc>
        <w:tc>
          <w:tcPr>
            <w:tcW w:w="1560" w:type="dxa"/>
            <w:vAlign w:val="center"/>
          </w:tcPr>
          <w:p w14:paraId="752B5E2B">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3</w:t>
            </w:r>
          </w:p>
        </w:tc>
        <w:tc>
          <w:tcPr>
            <w:tcW w:w="1984" w:type="dxa"/>
            <w:vAlign w:val="center"/>
          </w:tcPr>
          <w:p w14:paraId="1BC87CA1">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72.2</w:t>
            </w:r>
          </w:p>
        </w:tc>
        <w:tc>
          <w:tcPr>
            <w:tcW w:w="1418" w:type="dxa"/>
            <w:vAlign w:val="center"/>
          </w:tcPr>
          <w:p w14:paraId="7561DA44">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30</w:t>
            </w:r>
          </w:p>
        </w:tc>
        <w:tc>
          <w:tcPr>
            <w:tcW w:w="1559" w:type="dxa"/>
            <w:vMerge w:val="continue"/>
            <w:vAlign w:val="center"/>
          </w:tcPr>
          <w:p w14:paraId="45FF623B">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831" w:type="dxa"/>
            <w:vMerge w:val="continue"/>
            <w:vAlign w:val="center"/>
          </w:tcPr>
          <w:p w14:paraId="71685144">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p>
        </w:tc>
        <w:tc>
          <w:tcPr>
            <w:tcW w:w="1147" w:type="dxa"/>
            <w:vMerge w:val="continue"/>
            <w:vAlign w:val="center"/>
          </w:tcPr>
          <w:p w14:paraId="4A0283C1">
            <w:pPr>
              <w:pStyle w:val="545"/>
              <w:adjustRightInd/>
              <w:spacing w:line="240" w:lineRule="exact"/>
              <w:ind w:firstLine="0" w:firstLineChars="0"/>
              <w:jc w:val="center"/>
              <w:rPr>
                <w:rFonts w:hint="default" w:ascii="Times New Roman" w:hAnsi="Times New Roman" w:cs="Times New Roman" w:eastAsiaTheme="minorEastAsia"/>
                <w:color w:val="auto"/>
                <w:spacing w:val="0"/>
                <w:kern w:val="24"/>
                <w:sz w:val="21"/>
                <w:szCs w:val="21"/>
                <w:highlight w:val="none"/>
              </w:rPr>
            </w:pPr>
          </w:p>
        </w:tc>
      </w:tr>
    </w:tbl>
    <w:p w14:paraId="629633EE">
      <w:pPr>
        <w:pStyle w:val="545"/>
        <w:adjustRightInd/>
        <w:spacing w:line="360" w:lineRule="auto"/>
        <w:ind w:firstLine="0" w:firstLineChars="0"/>
        <w:jc w:val="center"/>
        <w:rPr>
          <w:rFonts w:hint="default" w:ascii="Times New Roman" w:hAnsi="Times New Roman" w:cs="Times New Roman"/>
          <w:color w:val="auto"/>
          <w:spacing w:val="0"/>
          <w:kern w:val="24"/>
          <w:highlight w:val="none"/>
        </w:rPr>
      </w:pPr>
      <w:r>
        <w:rPr>
          <w:rFonts w:hint="default" w:ascii="Times New Roman" w:hAnsi="Times New Roman" w:eastAsia="黑体" w:cs="Times New Roman"/>
          <w:color w:val="auto"/>
          <w:spacing w:val="0"/>
          <w:kern w:val="0"/>
          <w:sz w:val="21"/>
          <w:szCs w:val="21"/>
          <w:highlight w:val="none"/>
        </w:rPr>
        <w:t>表5.3-5  交通噪声预测结果表（远期旅游旺季昼间）</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38"/>
        <w:gridCol w:w="938"/>
        <w:gridCol w:w="938"/>
        <w:gridCol w:w="939"/>
        <w:gridCol w:w="938"/>
        <w:gridCol w:w="938"/>
        <w:gridCol w:w="938"/>
        <w:gridCol w:w="939"/>
      </w:tblGrid>
      <w:tr w14:paraId="6346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8" w:type="dxa"/>
            <w:vMerge w:val="restart"/>
            <w:vAlign w:val="center"/>
          </w:tcPr>
          <w:p w14:paraId="37530E26">
            <w:pPr>
              <w:pStyle w:val="545"/>
              <w:adjustRightInd/>
              <w:spacing w:line="240" w:lineRule="auto"/>
              <w:ind w:firstLine="0" w:firstLineChars="0"/>
              <w:jc w:val="both"/>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参考距离交通噪声值L</w:t>
            </w:r>
            <w:r>
              <w:rPr>
                <w:rFonts w:hint="default" w:ascii="Times New Roman" w:hAnsi="Times New Roman" w:cs="Times New Roman" w:eastAsiaTheme="minorEastAsia"/>
                <w:color w:val="auto"/>
                <w:spacing w:val="0"/>
                <w:kern w:val="24"/>
                <w:sz w:val="21"/>
                <w:szCs w:val="21"/>
                <w:highlight w:val="none"/>
                <w:vertAlign w:val="subscript"/>
              </w:rPr>
              <w:t>Aeq（交）</w:t>
            </w:r>
          </w:p>
        </w:tc>
        <w:tc>
          <w:tcPr>
            <w:tcW w:w="7506" w:type="dxa"/>
            <w:gridSpan w:val="8"/>
            <w:vAlign w:val="center"/>
          </w:tcPr>
          <w:p w14:paraId="085295BC">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距中心线不同距离处交通噪声预测值dB（A）</w:t>
            </w:r>
          </w:p>
        </w:tc>
      </w:tr>
      <w:tr w14:paraId="2070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8" w:type="dxa"/>
            <w:vMerge w:val="continue"/>
            <w:vAlign w:val="center"/>
          </w:tcPr>
          <w:p w14:paraId="356B83CF">
            <w:pPr>
              <w:pStyle w:val="545"/>
              <w:adjustRightInd/>
              <w:spacing w:line="240" w:lineRule="auto"/>
              <w:ind w:firstLine="0" w:firstLineChars="0"/>
              <w:jc w:val="both"/>
              <w:rPr>
                <w:rFonts w:hint="default" w:ascii="Times New Roman" w:hAnsi="Times New Roman" w:cs="Times New Roman" w:eastAsiaTheme="minorEastAsia"/>
                <w:color w:val="auto"/>
                <w:spacing w:val="0"/>
                <w:kern w:val="24"/>
                <w:sz w:val="21"/>
                <w:szCs w:val="21"/>
                <w:highlight w:val="none"/>
              </w:rPr>
            </w:pPr>
          </w:p>
        </w:tc>
        <w:tc>
          <w:tcPr>
            <w:tcW w:w="938" w:type="dxa"/>
            <w:vAlign w:val="center"/>
          </w:tcPr>
          <w:p w14:paraId="78AC7B94">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10m</w:t>
            </w:r>
          </w:p>
        </w:tc>
        <w:tc>
          <w:tcPr>
            <w:tcW w:w="938" w:type="dxa"/>
            <w:vAlign w:val="center"/>
          </w:tcPr>
          <w:p w14:paraId="0C0DE5BD">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20m</w:t>
            </w:r>
          </w:p>
        </w:tc>
        <w:tc>
          <w:tcPr>
            <w:tcW w:w="938" w:type="dxa"/>
            <w:vAlign w:val="center"/>
          </w:tcPr>
          <w:p w14:paraId="0C3338A3">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30m</w:t>
            </w:r>
          </w:p>
        </w:tc>
        <w:tc>
          <w:tcPr>
            <w:tcW w:w="939" w:type="dxa"/>
            <w:vAlign w:val="center"/>
          </w:tcPr>
          <w:p w14:paraId="241088CD">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40m</w:t>
            </w:r>
          </w:p>
        </w:tc>
        <w:tc>
          <w:tcPr>
            <w:tcW w:w="938" w:type="dxa"/>
            <w:vAlign w:val="center"/>
          </w:tcPr>
          <w:p w14:paraId="295CF42B">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60m</w:t>
            </w:r>
          </w:p>
        </w:tc>
        <w:tc>
          <w:tcPr>
            <w:tcW w:w="938" w:type="dxa"/>
            <w:vAlign w:val="center"/>
          </w:tcPr>
          <w:p w14:paraId="6E0FEB56">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100m</w:t>
            </w:r>
          </w:p>
        </w:tc>
        <w:tc>
          <w:tcPr>
            <w:tcW w:w="938" w:type="dxa"/>
            <w:vAlign w:val="center"/>
          </w:tcPr>
          <w:p w14:paraId="73C43AA6">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150m</w:t>
            </w:r>
          </w:p>
        </w:tc>
        <w:tc>
          <w:tcPr>
            <w:tcW w:w="939" w:type="dxa"/>
            <w:vAlign w:val="center"/>
          </w:tcPr>
          <w:p w14:paraId="4A0AEE9C">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200m</w:t>
            </w:r>
          </w:p>
        </w:tc>
      </w:tr>
      <w:tr w14:paraId="087D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8" w:type="dxa"/>
            <w:vAlign w:val="center"/>
          </w:tcPr>
          <w:p w14:paraId="202A4C81">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57</w:t>
            </w:r>
          </w:p>
        </w:tc>
        <w:tc>
          <w:tcPr>
            <w:tcW w:w="938" w:type="dxa"/>
            <w:vAlign w:val="center"/>
          </w:tcPr>
          <w:p w14:paraId="11C5A77D">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54.76</w:t>
            </w:r>
          </w:p>
        </w:tc>
        <w:tc>
          <w:tcPr>
            <w:tcW w:w="938" w:type="dxa"/>
            <w:vAlign w:val="center"/>
          </w:tcPr>
          <w:p w14:paraId="66B729D8">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50.24</w:t>
            </w:r>
          </w:p>
        </w:tc>
        <w:tc>
          <w:tcPr>
            <w:tcW w:w="938" w:type="dxa"/>
            <w:vAlign w:val="center"/>
          </w:tcPr>
          <w:p w14:paraId="1BCD2F98">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47.60</w:t>
            </w:r>
          </w:p>
        </w:tc>
        <w:tc>
          <w:tcPr>
            <w:tcW w:w="939" w:type="dxa"/>
            <w:vAlign w:val="center"/>
          </w:tcPr>
          <w:p w14:paraId="29A791D1">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45.73</w:t>
            </w:r>
          </w:p>
        </w:tc>
        <w:tc>
          <w:tcPr>
            <w:tcW w:w="938" w:type="dxa"/>
            <w:vAlign w:val="center"/>
          </w:tcPr>
          <w:p w14:paraId="1C91D03A">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43.09</w:t>
            </w:r>
          </w:p>
        </w:tc>
        <w:tc>
          <w:tcPr>
            <w:tcW w:w="938" w:type="dxa"/>
            <w:vAlign w:val="center"/>
          </w:tcPr>
          <w:p w14:paraId="20EDF79F">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39.76</w:t>
            </w:r>
          </w:p>
        </w:tc>
        <w:tc>
          <w:tcPr>
            <w:tcW w:w="938" w:type="dxa"/>
            <w:vAlign w:val="center"/>
          </w:tcPr>
          <w:p w14:paraId="64414B3A">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37.12</w:t>
            </w:r>
          </w:p>
        </w:tc>
        <w:tc>
          <w:tcPr>
            <w:tcW w:w="939" w:type="dxa"/>
            <w:vAlign w:val="center"/>
          </w:tcPr>
          <w:p w14:paraId="37EFE050">
            <w:pPr>
              <w:pStyle w:val="545"/>
              <w:adjustRightInd/>
              <w:spacing w:line="240" w:lineRule="auto"/>
              <w:ind w:firstLine="0" w:firstLineChars="0"/>
              <w:jc w:val="center"/>
              <w:rPr>
                <w:rFonts w:hint="default" w:ascii="Times New Roman" w:hAnsi="Times New Roman" w:cs="Times New Roman" w:eastAsiaTheme="minorEastAsia"/>
                <w:color w:val="auto"/>
                <w:spacing w:val="0"/>
                <w:kern w:val="24"/>
                <w:sz w:val="21"/>
                <w:szCs w:val="21"/>
                <w:highlight w:val="none"/>
              </w:rPr>
            </w:pPr>
            <w:r>
              <w:rPr>
                <w:rFonts w:hint="default" w:ascii="Times New Roman" w:hAnsi="Times New Roman" w:cs="Times New Roman" w:eastAsiaTheme="minorEastAsia"/>
                <w:color w:val="auto"/>
                <w:spacing w:val="0"/>
                <w:kern w:val="24"/>
                <w:sz w:val="21"/>
                <w:szCs w:val="21"/>
                <w:highlight w:val="none"/>
              </w:rPr>
              <w:t>35.24</w:t>
            </w:r>
          </w:p>
        </w:tc>
      </w:tr>
    </w:tbl>
    <w:p w14:paraId="473FC720">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景区内的交通噪声有明显的时间性，随着旅游淡旺时期而变化，一般在旅游旺季期间交通噪声会有明显的增加。预测结果表明：在远期（203</w:t>
      </w:r>
      <w:r>
        <w:rPr>
          <w:rFonts w:hint="default" w:ascii="Times New Roman" w:hAnsi="Times New Roman" w:cs="Times New Roman"/>
          <w:color w:val="auto"/>
          <w:spacing w:val="0"/>
          <w:kern w:val="24"/>
          <w:highlight w:val="none"/>
          <w:lang w:val="en-US" w:eastAsia="zh-CN"/>
        </w:rPr>
        <w:t>5</w:t>
      </w:r>
      <w:r>
        <w:rPr>
          <w:rFonts w:hint="default" w:ascii="Times New Roman" w:hAnsi="Times New Roman" w:cs="Times New Roman"/>
          <w:color w:val="auto"/>
          <w:spacing w:val="0"/>
          <w:kern w:val="24"/>
          <w:highlight w:val="none"/>
        </w:rPr>
        <w:t>年）旅游旺季，景区道路昼间交通噪声预测值均小于55dB（A），昼间噪声55dB（A）等值线距路中心线小于10m；相比于远期旅游旺季，规划实施后的</w:t>
      </w:r>
      <w:r>
        <w:rPr>
          <w:rFonts w:hint="default" w:ascii="Times New Roman" w:hAnsi="Times New Roman" w:cs="Times New Roman"/>
          <w:color w:val="auto"/>
          <w:spacing w:val="0"/>
          <w:kern w:val="24"/>
          <w:highlight w:val="none"/>
          <w:lang w:eastAsia="zh-CN"/>
        </w:rPr>
        <w:t>近期</w:t>
      </w:r>
      <w:r>
        <w:rPr>
          <w:rFonts w:hint="default" w:ascii="Times New Roman" w:hAnsi="Times New Roman" w:cs="Times New Roman"/>
          <w:color w:val="auto"/>
          <w:spacing w:val="0"/>
          <w:kern w:val="24"/>
          <w:highlight w:val="none"/>
        </w:rPr>
        <w:t>以及远期旅游淡季的交通噪声会有明显的降低，按村庄昼间55dB（A）标准限值考虑，交通噪声对居民影响可接受。在远期旅游旺季，景区通过进一步控制行车速度、禁止鸣笛、加强绿化和有效疏通等，可把交通噪声对村民影响降到可接受程度。因此，景区道路交通噪声对周边声环境影响不明显。</w:t>
      </w:r>
    </w:p>
    <w:p w14:paraId="74C6E1C6">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（二）设备噪声</w:t>
      </w:r>
    </w:p>
    <w:p w14:paraId="0CD0704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景区设备噪声源主要包括空调风机、通排风机、水泵、油烟净化器风机、变配电器等，源强在70~85dB（A）之间，所有设备均位于室内，通过基础减振、建筑隔声后对环境影响较小。</w:t>
      </w:r>
    </w:p>
    <w:p w14:paraId="336F22E3">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（三）社会噪声</w:t>
      </w:r>
    </w:p>
    <w:p w14:paraId="499A3DEC">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规划，主要社会噪声包括居住区社会噪声、旅游观光噪声、商业活动噪声等。其中居住区社会噪声主要为景区内常住居民活动引起的噪声，正常村庄群众活动不会引起显著的噪声影响，但是村庄内如果出现聚集式的群众活动，有可能造成一定的噪声影响，如村庄举办群众晚会，运动会以及广场舞等群体活动。这些活动都是短暂性的，且在加强管理的条件下，对村庄周围声环境影响较小。</w:t>
      </w:r>
    </w:p>
    <w:p w14:paraId="3D46704F">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另外，景区内游客观光旅游也会产生一定的社会噪声，主要影响区为景区周边区域，主要噪声影响为游客在景区的喧哗声音和商业活动噪声，在采取宣传公共区域保持安静，树立提示标牌等措施，宣传文明旅游等措施情况下，游客观光旅游噪声影响不大。</w:t>
      </w:r>
    </w:p>
    <w:p w14:paraId="524F5DE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综上，规划实施后总体声环境影响较小，不会改变景区声环境功能区划。</w:t>
      </w:r>
    </w:p>
    <w:p w14:paraId="49D2C455">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w:t>
      </w:r>
    </w:p>
    <w:p w14:paraId="35C2C10E">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0B74F73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建设期废水主要为施工人员的生活污水、施工废水、雨季径流。</w:t>
      </w:r>
    </w:p>
    <w:p w14:paraId="213C3373">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（一）施工废水</w:t>
      </w:r>
    </w:p>
    <w:p w14:paraId="1D8E870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施工废水主要来源于施工区地面冲洗、施工机械设备和车辆冲洗废水，主要含泥砂，并带有少量的油污，悬浮物浓度较高，pH值呈弱碱性。本次评价要求，施工区修建临时隔油沉淀池，地面冲洗、施工机械和车辆清洗所产生的含油废水全部收集至沉淀池中，经处理后综合利用，不外排。</w:t>
      </w:r>
    </w:p>
    <w:p w14:paraId="7FDF5050">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（二）施工人员生活污水</w:t>
      </w:r>
    </w:p>
    <w:p w14:paraId="35190A6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施工期间，施工人员及工地管理人员的生活污水，生活污水主要含COD</w:t>
      </w:r>
      <w:r>
        <w:rPr>
          <w:rFonts w:hint="default" w:ascii="Times New Roman" w:hAnsi="Times New Roman" w:cs="Times New Roman"/>
          <w:color w:val="auto"/>
          <w:spacing w:val="0"/>
          <w:kern w:val="24"/>
          <w:highlight w:val="none"/>
          <w:vertAlign w:val="subscript"/>
        </w:rPr>
        <w:t>Cr</w:t>
      </w:r>
      <w:r>
        <w:rPr>
          <w:rFonts w:hint="default" w:ascii="Times New Roman" w:hAnsi="Times New Roman" w:cs="Times New Roman"/>
          <w:color w:val="auto"/>
          <w:spacing w:val="0"/>
          <w:kern w:val="24"/>
          <w:highlight w:val="none"/>
        </w:rPr>
        <w:t>、BOD</w:t>
      </w:r>
      <w:r>
        <w:rPr>
          <w:rFonts w:hint="default" w:ascii="Times New Roman" w:hAnsi="Times New Roman" w:cs="Times New Roman"/>
          <w:color w:val="auto"/>
          <w:spacing w:val="0"/>
          <w:kern w:val="24"/>
          <w:highlight w:val="none"/>
          <w:vertAlign w:val="subscript"/>
        </w:rPr>
        <w:t>5</w:t>
      </w:r>
      <w:r>
        <w:rPr>
          <w:rFonts w:hint="default" w:ascii="Times New Roman" w:hAnsi="Times New Roman" w:cs="Times New Roman"/>
          <w:color w:val="auto"/>
          <w:spacing w:val="0"/>
          <w:kern w:val="24"/>
          <w:highlight w:val="none"/>
        </w:rPr>
        <w:t>、NH</w:t>
      </w:r>
      <w:r>
        <w:rPr>
          <w:rFonts w:hint="default" w:ascii="Times New Roman" w:hAnsi="Times New Roman" w:cs="Times New Roman"/>
          <w:color w:val="auto"/>
          <w:spacing w:val="0"/>
          <w:kern w:val="24"/>
          <w:highlight w:val="none"/>
          <w:vertAlign w:val="subscript"/>
        </w:rPr>
        <w:t>3</w:t>
      </w:r>
      <w:r>
        <w:rPr>
          <w:rFonts w:hint="default" w:ascii="Times New Roman" w:hAnsi="Times New Roman" w:cs="Times New Roman"/>
          <w:color w:val="auto"/>
          <w:spacing w:val="0"/>
          <w:kern w:val="24"/>
          <w:highlight w:val="none"/>
        </w:rPr>
        <w:t>-N、SS等。</w:t>
      </w:r>
    </w:p>
    <w:p w14:paraId="1CB1805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根据现场调查，规划范围内现状建设有</w:t>
      </w:r>
      <w:r>
        <w:rPr>
          <w:rFonts w:hint="default" w:ascii="Times New Roman" w:hAnsi="Times New Roman" w:cs="Times New Roman"/>
          <w:color w:val="auto"/>
          <w:spacing w:val="0"/>
          <w:kern w:val="24"/>
          <w:highlight w:val="none"/>
          <w:lang w:val="en-US" w:eastAsia="zh-CN"/>
        </w:rPr>
        <w:t>7</w:t>
      </w:r>
      <w:r>
        <w:rPr>
          <w:rFonts w:hint="default" w:ascii="Times New Roman" w:hAnsi="Times New Roman" w:cs="Times New Roman"/>
          <w:color w:val="auto"/>
          <w:spacing w:val="0"/>
          <w:kern w:val="24"/>
          <w:highlight w:val="none"/>
        </w:rPr>
        <w:t>处公共卫生间（厕所），评价要求施工生活污水依托规划范围内公共卫生间收集后经</w:t>
      </w:r>
      <w:r>
        <w:rPr>
          <w:rFonts w:hint="default" w:ascii="Times New Roman" w:hAnsi="Times New Roman" w:cs="Times New Roman"/>
          <w:color w:val="auto"/>
          <w:spacing w:val="0"/>
          <w:kern w:val="24"/>
          <w:highlight w:val="none"/>
          <w:lang w:val="en-US" w:eastAsia="zh-CN"/>
        </w:rPr>
        <w:t>一体化污水处理站处理后用作周边林草地、耕地施肥</w:t>
      </w:r>
      <w:r>
        <w:rPr>
          <w:rFonts w:hint="default" w:ascii="Times New Roman" w:hAnsi="Times New Roman" w:cs="Times New Roman"/>
          <w:color w:val="auto"/>
          <w:spacing w:val="0"/>
          <w:kern w:val="24"/>
          <w:highlight w:val="none"/>
        </w:rPr>
        <w:t>，不得排入地表水体。</w:t>
      </w:r>
    </w:p>
    <w:p w14:paraId="6096534A">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（三）雨季径流</w:t>
      </w:r>
    </w:p>
    <w:p w14:paraId="0206201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暴雨后的地表径流冲刷浮土、建筑砂石、垃圾等形成的泥浆水，会携带大量泥沙、土壤养分、油类及其它地表固体污染物，进入水体后会造成水体的富营养化和其他污染，致使水体水质下降。为避免雨季径流对地表水体产生不利影响，建设期应采取设置排水沟及沉淀池、合理安排工期等措施。</w:t>
      </w:r>
    </w:p>
    <w:p w14:paraId="400AD76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综上，建设期加强施工管理，严格控制施工废水及生活污水进入地表水体，规划建设期对地表水体影响较小。</w:t>
      </w:r>
    </w:p>
    <w:p w14:paraId="7AF615E2">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4DB267ED">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（一）景区废水处理现状</w:t>
      </w:r>
    </w:p>
    <w:p w14:paraId="4811C19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根据现场调查，污水主要为居民、游客和工作人员产生的生活污水，</w:t>
      </w:r>
      <w:r>
        <w:rPr>
          <w:rFonts w:hint="default" w:ascii="Times New Roman" w:hAnsi="Times New Roman" w:cs="Times New Roman"/>
          <w:b w:val="0"/>
          <w:bCs/>
          <w:color w:val="auto"/>
          <w:kern w:val="0"/>
          <w:sz w:val="24"/>
          <w:highlight w:val="none"/>
          <w:lang w:val="en-US" w:eastAsia="zh-CN"/>
        </w:rPr>
        <w:t>居民、游客生活污水与先经隔油池预处理的餐饮废水进入各个区域设置的旱厕（化粪池）、一体化生活污水处理装置处理后用作周边林草地、耕地施肥。</w:t>
      </w:r>
    </w:p>
    <w:p w14:paraId="3A5AE91A">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（二）景区废水处理方式</w:t>
      </w:r>
    </w:p>
    <w:p w14:paraId="17B6CCE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本次评价提出，</w:t>
      </w:r>
      <w:bookmarkStart w:id="157" w:name="_Hlk140150888"/>
      <w:r>
        <w:rPr>
          <w:rFonts w:hint="default" w:ascii="Times New Roman" w:hAnsi="Times New Roman" w:cs="Times New Roman"/>
          <w:color w:val="auto"/>
          <w:spacing w:val="0"/>
          <w:kern w:val="24"/>
          <w:highlight w:val="none"/>
        </w:rPr>
        <w:t>居民、游客生活污水与先经隔油池预处理的餐饮废水汇同景区内其他生活污水进入沿道路敷设的污水管网后接入</w:t>
      </w:r>
      <w:r>
        <w:rPr>
          <w:rFonts w:hint="default" w:ascii="Times New Roman" w:hAnsi="Times New Roman" w:cs="Times New Roman"/>
          <w:color w:val="auto"/>
          <w:spacing w:val="0"/>
          <w:kern w:val="24"/>
          <w:highlight w:val="none"/>
          <w:lang w:val="en-US" w:eastAsia="zh-CN"/>
        </w:rPr>
        <w:t>现有和新增的一体化</w:t>
      </w:r>
      <w:r>
        <w:rPr>
          <w:rFonts w:hint="default" w:ascii="Times New Roman" w:hAnsi="Times New Roman" w:cs="Times New Roman"/>
          <w:bCs/>
          <w:color w:val="auto"/>
          <w:kern w:val="0"/>
          <w:highlight w:val="none"/>
        </w:rPr>
        <w:t>污水处理</w:t>
      </w:r>
      <w:r>
        <w:rPr>
          <w:rFonts w:hint="default" w:ascii="Times New Roman" w:hAnsi="Times New Roman" w:cs="Times New Roman"/>
          <w:bCs/>
          <w:color w:val="auto"/>
          <w:kern w:val="0"/>
          <w:highlight w:val="none"/>
          <w:lang w:val="en-US" w:eastAsia="zh-CN"/>
        </w:rPr>
        <w:t>设施</w:t>
      </w:r>
      <w:r>
        <w:rPr>
          <w:rFonts w:hint="default" w:ascii="Times New Roman" w:hAnsi="Times New Roman" w:cs="Times New Roman"/>
          <w:bCs/>
          <w:color w:val="auto"/>
          <w:kern w:val="0"/>
          <w:highlight w:val="none"/>
        </w:rPr>
        <w:t>处理，处理达《污水综合排放标准》（GB8978-1996）一级标准</w:t>
      </w:r>
      <w:r>
        <w:rPr>
          <w:rFonts w:hint="default" w:ascii="Times New Roman" w:hAnsi="Times New Roman" w:cs="Times New Roman"/>
          <w:color w:val="auto"/>
          <w:kern w:val="24"/>
          <w:sz w:val="24"/>
          <w:highlight w:val="none"/>
          <w:lang w:eastAsia="zh-CN"/>
        </w:rPr>
        <w:t>限值</w:t>
      </w:r>
      <w:r>
        <w:rPr>
          <w:rFonts w:hint="default" w:ascii="Times New Roman" w:hAnsi="Times New Roman" w:cs="Times New Roman"/>
          <w:color w:val="auto"/>
          <w:kern w:val="24"/>
          <w:sz w:val="24"/>
          <w:highlight w:val="none"/>
        </w:rPr>
        <w:t>要求</w:t>
      </w:r>
      <w:r>
        <w:rPr>
          <w:rFonts w:hint="default" w:ascii="Times New Roman" w:hAnsi="Times New Roman" w:cs="Times New Roman"/>
          <w:color w:val="auto"/>
          <w:kern w:val="24"/>
          <w:sz w:val="24"/>
          <w:highlight w:val="none"/>
          <w:lang w:val="en-US" w:eastAsia="zh-CN"/>
        </w:rPr>
        <w:t>后用作周边林草地与耕地施肥，不得排入周边地表水体</w:t>
      </w:r>
      <w:r>
        <w:rPr>
          <w:rFonts w:hint="default" w:ascii="Times New Roman" w:hAnsi="Times New Roman" w:cs="Times New Roman"/>
          <w:bCs/>
          <w:color w:val="auto"/>
          <w:kern w:val="0"/>
          <w:highlight w:val="none"/>
        </w:rPr>
        <w:t>。</w:t>
      </w:r>
    </w:p>
    <w:bookmarkEnd w:id="157"/>
    <w:p w14:paraId="304C7474">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（三）地表水环境影响分析</w:t>
      </w:r>
    </w:p>
    <w:p w14:paraId="001C64C7">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规划区内已配套建成</w:t>
      </w:r>
      <w:r>
        <w:rPr>
          <w:rFonts w:hint="default" w:ascii="Times New Roman" w:hAnsi="Times New Roman" w:cs="Times New Roman"/>
          <w:color w:val="auto"/>
          <w:spacing w:val="0"/>
          <w:kern w:val="24"/>
          <w:highlight w:val="none"/>
          <w:lang w:val="en-US" w:eastAsia="zh-CN"/>
        </w:rPr>
        <w:t>部分</w:t>
      </w:r>
      <w:r>
        <w:rPr>
          <w:rFonts w:hint="default" w:ascii="Times New Roman" w:hAnsi="Times New Roman" w:cs="Times New Roman"/>
          <w:color w:val="auto"/>
          <w:spacing w:val="0"/>
          <w:kern w:val="24"/>
          <w:highlight w:val="none"/>
        </w:rPr>
        <w:t>污水收集管网</w:t>
      </w:r>
      <w:r>
        <w:rPr>
          <w:rFonts w:hint="default" w:ascii="Times New Roman" w:hAnsi="Times New Roman" w:cs="Times New Roman"/>
          <w:color w:val="auto"/>
          <w:spacing w:val="0"/>
          <w:kern w:val="24"/>
          <w:highlight w:val="none"/>
          <w:lang w:val="en-US" w:eastAsia="zh-CN"/>
        </w:rPr>
        <w:t>与部分一体化污水处理设施</w:t>
      </w:r>
      <w:r>
        <w:rPr>
          <w:rFonts w:hint="default" w:ascii="Times New Roman" w:hAnsi="Times New Roman" w:cs="Times New Roman"/>
          <w:color w:val="auto"/>
          <w:spacing w:val="0"/>
          <w:kern w:val="24"/>
          <w:highlight w:val="none"/>
        </w:rPr>
        <w:t>，生活污水（含餐饮废水）经预处理后由管道收集后再</w:t>
      </w:r>
      <w:r>
        <w:rPr>
          <w:rFonts w:hint="default" w:ascii="Times New Roman" w:hAnsi="Times New Roman" w:cs="Times New Roman"/>
          <w:color w:val="auto"/>
          <w:spacing w:val="0"/>
          <w:kern w:val="24"/>
          <w:highlight w:val="none"/>
          <w:lang w:val="en-US" w:eastAsia="zh-CN"/>
        </w:rPr>
        <w:t>经一体化污水处理设施（现有和规划新增）处理后用作周边林草地与耕地施肥，周边耕地、草地面积较大，能够消纳本项目所产生的所有生活污水</w:t>
      </w:r>
      <w:r>
        <w:rPr>
          <w:rFonts w:hint="default" w:ascii="Times New Roman" w:hAnsi="Times New Roman" w:cs="Times New Roman"/>
          <w:color w:val="auto"/>
          <w:spacing w:val="0"/>
          <w:kern w:val="24"/>
          <w:highlight w:val="none"/>
        </w:rPr>
        <w:t>。只要景区加强环境管理和环保宣传，保证生活污水有效收集</w:t>
      </w:r>
      <w:r>
        <w:rPr>
          <w:rFonts w:hint="default" w:ascii="Times New Roman" w:hAnsi="Times New Roman" w:cs="Times New Roman"/>
          <w:color w:val="auto"/>
          <w:spacing w:val="0"/>
          <w:kern w:val="24"/>
          <w:highlight w:val="none"/>
          <w:lang w:val="en-US" w:eastAsia="zh-CN"/>
        </w:rPr>
        <w:t>和脱水处置</w:t>
      </w:r>
      <w:r>
        <w:rPr>
          <w:rFonts w:hint="default" w:ascii="Times New Roman" w:hAnsi="Times New Roman" w:cs="Times New Roman"/>
          <w:color w:val="auto"/>
          <w:spacing w:val="0"/>
          <w:kern w:val="24"/>
          <w:highlight w:val="none"/>
        </w:rPr>
        <w:t>，正常情况下均可</w:t>
      </w:r>
      <w:r>
        <w:rPr>
          <w:rFonts w:hint="default" w:ascii="Times New Roman" w:hAnsi="Times New Roman" w:cs="Times New Roman"/>
          <w:color w:val="auto"/>
          <w:spacing w:val="0"/>
          <w:kern w:val="24"/>
          <w:highlight w:val="none"/>
          <w:lang w:val="en-US" w:eastAsia="zh-CN"/>
        </w:rPr>
        <w:t>确保生活污水不外排进入周边地表水体</w:t>
      </w:r>
      <w:r>
        <w:rPr>
          <w:rFonts w:hint="default" w:ascii="Times New Roman" w:hAnsi="Times New Roman" w:cs="Times New Roman"/>
          <w:color w:val="auto"/>
          <w:spacing w:val="0"/>
          <w:kern w:val="24"/>
          <w:highlight w:val="none"/>
        </w:rPr>
        <w:t>，不会对当地地表水产生负面影响。</w:t>
      </w:r>
    </w:p>
    <w:p w14:paraId="5C52E994">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（四）地下水环境影响分析</w:t>
      </w:r>
    </w:p>
    <w:p w14:paraId="73D7B0F3">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lang w:val="en-US" w:eastAsia="zh-CN"/>
        </w:rPr>
        <w:t>规划区</w:t>
      </w:r>
      <w:r>
        <w:rPr>
          <w:rFonts w:hint="default" w:ascii="Times New Roman" w:hAnsi="Times New Roman" w:cs="Times New Roman"/>
          <w:color w:val="auto"/>
          <w:spacing w:val="0"/>
          <w:kern w:val="24"/>
          <w:highlight w:val="none"/>
        </w:rPr>
        <w:t>居民、游客及工作人员生活用水</w:t>
      </w:r>
      <w:r>
        <w:rPr>
          <w:rFonts w:hint="default" w:ascii="Times New Roman" w:hAnsi="Times New Roman" w:cs="Times New Roman"/>
          <w:color w:val="auto"/>
          <w:spacing w:val="0"/>
          <w:kern w:val="24"/>
          <w:highlight w:val="none"/>
          <w:lang w:val="en-US" w:eastAsia="zh-CN"/>
        </w:rPr>
        <w:t>均为山泉水，均未取用地下水，不会对区域地下水水位造成影响，</w:t>
      </w:r>
      <w:r>
        <w:rPr>
          <w:rFonts w:hint="default" w:ascii="Times New Roman" w:hAnsi="Times New Roman" w:cs="Times New Roman"/>
          <w:color w:val="auto"/>
          <w:spacing w:val="0"/>
          <w:kern w:val="24"/>
          <w:highlight w:val="none"/>
        </w:rPr>
        <w:t>不会影响区域地下水补径排状况。从旅游景区的开发利用角度出发，规划主要影响地下潜水含水层，可能对规划区地下水造成污染的因素主要表现在以下几个方面：①在规划实施的施工过程中，诸如：基础设施（各种埋地管线、道路）施工、区域填方等造成的石油类、有机型污染物随开挖的沟渠渗入地下水体进而污染地下水；②规划区内地下敷设管线（特别是污水管线）破裂可能导致地下水体受到污染；③规划区内污水管网破裂等事故工况下，未经处理的生活污水渗漏进入潜水含水层，造成地下水污染。</w:t>
      </w:r>
    </w:p>
    <w:p w14:paraId="34AC4EDE">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应严格按照国家相关规范要求，对工艺、管道、设备等采取相应的措施，以防止和降低污染物的跑、冒、滴、漏，将废水泄漏的环境风险事故降低至最低程度。污水管网施工中对管道经过线路</w:t>
      </w:r>
      <w:r>
        <w:rPr>
          <w:rFonts w:hint="default" w:ascii="Times New Roman" w:hAnsi="Times New Roman" w:cs="Times New Roman"/>
          <w:color w:val="auto"/>
          <w:spacing w:val="0"/>
          <w:kern w:val="24"/>
          <w:highlight w:val="none"/>
          <w:lang w:val="en-US" w:eastAsia="zh-CN"/>
        </w:rPr>
        <w:t>必须</w:t>
      </w:r>
      <w:r>
        <w:rPr>
          <w:rFonts w:hint="default" w:ascii="Times New Roman" w:hAnsi="Times New Roman" w:cs="Times New Roman"/>
          <w:color w:val="auto"/>
          <w:spacing w:val="0"/>
          <w:kern w:val="24"/>
          <w:highlight w:val="none"/>
        </w:rPr>
        <w:t>设置管道保护沟（即管道走廊），</w:t>
      </w:r>
      <w:r>
        <w:rPr>
          <w:rFonts w:hint="default" w:ascii="Times New Roman" w:hAnsi="Times New Roman" w:cs="Times New Roman"/>
          <w:color w:val="auto"/>
          <w:spacing w:val="0"/>
          <w:kern w:val="24"/>
          <w:highlight w:val="none"/>
          <w:lang w:val="en-US" w:eastAsia="zh-CN"/>
        </w:rPr>
        <w:t>可</w:t>
      </w:r>
      <w:r>
        <w:rPr>
          <w:rFonts w:hint="default" w:ascii="Times New Roman" w:hAnsi="Times New Roman" w:cs="Times New Roman"/>
          <w:color w:val="auto"/>
          <w:spacing w:val="0"/>
          <w:kern w:val="24"/>
          <w:highlight w:val="none"/>
        </w:rPr>
        <w:t>有效的降低车辆压爆污水管的风险，保护沟全部采取硬化处理保证污水无组织泄漏排放量小，突发性管道爆裂事故排放的污水能够收集暂存于保护沟内而不是直接通过包气带下渗进入地下水。规划区应配备专业人员负责污水输送管线等的检查和维护，避免泄漏事故的发生。采取上述措施后，可大大降低污水管网污水泄露污染地下水的风险。</w:t>
      </w:r>
    </w:p>
    <w:p w14:paraId="14174966">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综上，规划做好合理布局，施工及营运过程中加强管理，配备必要的设施，则可将规划实施对地下水环境的影响降到最低程度。</w:t>
      </w:r>
    </w:p>
    <w:p w14:paraId="5C678893">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p w14:paraId="0AEF43ED">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180D8A6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景区建设期产生的固体废弃物主要有场地平整时剥离表土、弃土方、建筑垃圾及生活垃圾。</w:t>
      </w:r>
    </w:p>
    <w:p w14:paraId="5A82765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景区面积较小，剥离表土及弃土方可以用于建筑物、道路的回填，做到区内平衡，不会产生永久弃方。</w:t>
      </w:r>
    </w:p>
    <w:p w14:paraId="5A01DB6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废弃建筑材料包括废弃砖、石、混凝土、木制（铁制）材料、装修材料等，在建设过程中应进行分类收集，能回收利用的部分，例如木制（铁制）材料等，外售收购商，重复利用，不能回收利用的部分运至当地主管部门指定的建筑垃圾堆放点，禁止与生活垃圾混合处置，禁止随意丢弃。</w:t>
      </w:r>
    </w:p>
    <w:p w14:paraId="144B511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施工人员生活垃圾依托现有的垃圾收集、转运系统，最终进入</w:t>
      </w:r>
      <w:r>
        <w:rPr>
          <w:rFonts w:hint="default" w:ascii="Times New Roman" w:hAnsi="Times New Roman" w:cs="Times New Roman"/>
          <w:color w:val="auto"/>
          <w:spacing w:val="0"/>
          <w:kern w:val="24"/>
          <w:highlight w:val="none"/>
          <w:lang w:eastAsia="zh-CN"/>
        </w:rPr>
        <w:t>波密县县城生活垃圾填埋场</w:t>
      </w:r>
      <w:r>
        <w:rPr>
          <w:rFonts w:hint="default" w:ascii="Times New Roman" w:hAnsi="Times New Roman" w:cs="Times New Roman"/>
          <w:color w:val="auto"/>
          <w:spacing w:val="0"/>
          <w:kern w:val="24"/>
          <w:highlight w:val="none"/>
        </w:rPr>
        <w:t>处置。</w:t>
      </w:r>
    </w:p>
    <w:p w14:paraId="2873BD0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综上，规划建设期产生的固体废物均能妥善处置，对环境影响不大。</w:t>
      </w:r>
    </w:p>
    <w:p w14:paraId="58F5CCF7">
      <w:pPr>
        <w:pStyle w:val="545"/>
        <w:adjustRightInd/>
        <w:spacing w:line="360" w:lineRule="auto"/>
        <w:ind w:firstLine="512"/>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highlight w:val="none"/>
        </w:rPr>
        <w:t>同时在后续规划项目实施过程中，需加强对施工场地的管理工作，对建筑垃圾妥善收集堆存，不得胡乱堆放，并定期将可不回收利用部分清运至当地主管部门指定的地点堆存，确保施工场地整洁。</w:t>
      </w:r>
    </w:p>
    <w:p w14:paraId="7B284455">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52D25BF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景区产生的固体废物主要为生活垃圾、餐厨垃圾及废油等。</w:t>
      </w:r>
    </w:p>
    <w:p w14:paraId="6B1E68D8">
      <w:pPr>
        <w:pStyle w:val="545"/>
        <w:adjustRightInd/>
        <w:spacing w:line="360" w:lineRule="auto"/>
        <w:ind w:firstLine="482"/>
        <w:jc w:val="both"/>
        <w:outlineLvl w:val="4"/>
        <w:rPr>
          <w:rFonts w:hint="default" w:ascii="Times New Roman" w:hAnsi="Times New Roman" w:cs="Times New Roman"/>
          <w:b/>
          <w:color w:val="auto"/>
          <w:spacing w:val="0"/>
          <w:kern w:val="24"/>
          <w:highlight w:val="none"/>
        </w:rPr>
      </w:pPr>
      <w:r>
        <w:rPr>
          <w:rFonts w:hint="default" w:ascii="Times New Roman" w:hAnsi="Times New Roman" w:cs="Times New Roman"/>
          <w:b/>
          <w:color w:val="auto"/>
          <w:spacing w:val="0"/>
          <w:kern w:val="24"/>
          <w:highlight w:val="none"/>
        </w:rPr>
        <w:t>（一）生活垃圾</w:t>
      </w:r>
    </w:p>
    <w:p w14:paraId="08A9121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根据现场调查，景区内居民现状生活垃圾依托</w:t>
      </w:r>
      <w:r>
        <w:rPr>
          <w:rFonts w:hint="default" w:ascii="Times New Roman" w:hAnsi="Times New Roman" w:cs="Times New Roman"/>
          <w:color w:val="auto"/>
          <w:spacing w:val="0"/>
          <w:kern w:val="24"/>
          <w:highlight w:val="none"/>
          <w:lang w:eastAsia="zh-CN"/>
        </w:rPr>
        <w:t>波密县</w:t>
      </w:r>
      <w:r>
        <w:rPr>
          <w:rFonts w:hint="default" w:ascii="Times New Roman" w:hAnsi="Times New Roman" w:cs="Times New Roman"/>
          <w:color w:val="auto"/>
          <w:spacing w:val="0"/>
          <w:kern w:val="24"/>
          <w:highlight w:val="none"/>
        </w:rPr>
        <w:t>“村收集、乡转运、</w:t>
      </w:r>
      <w:r>
        <w:rPr>
          <w:rFonts w:hint="default" w:ascii="Times New Roman" w:hAnsi="Times New Roman" w:cs="Times New Roman"/>
          <w:color w:val="auto"/>
          <w:spacing w:val="0"/>
          <w:kern w:val="24"/>
          <w:highlight w:val="none"/>
          <w:lang w:val="en-US" w:eastAsia="zh-CN"/>
        </w:rPr>
        <w:t>县</w:t>
      </w:r>
      <w:r>
        <w:rPr>
          <w:rFonts w:hint="default" w:ascii="Times New Roman" w:hAnsi="Times New Roman" w:cs="Times New Roman"/>
          <w:color w:val="auto"/>
          <w:spacing w:val="0"/>
          <w:kern w:val="24"/>
          <w:highlight w:val="none"/>
        </w:rPr>
        <w:t>填埋”的生活垃圾处置系统统一处置，最终进入</w:t>
      </w:r>
      <w:bookmarkStart w:id="158" w:name="_Hlk140151289"/>
      <w:r>
        <w:rPr>
          <w:rFonts w:hint="default" w:ascii="Times New Roman" w:hAnsi="Times New Roman" w:cs="Times New Roman"/>
          <w:color w:val="auto"/>
          <w:highlight w:val="none"/>
          <w:lang w:eastAsia="zh-CN"/>
        </w:rPr>
        <w:t>波密县县城生活垃圾填埋场</w:t>
      </w:r>
      <w:r>
        <w:rPr>
          <w:rFonts w:hint="default" w:ascii="Times New Roman" w:hAnsi="Times New Roman" w:cs="Times New Roman"/>
          <w:color w:val="auto"/>
          <w:spacing w:val="0"/>
          <w:kern w:val="24"/>
          <w:highlight w:val="none"/>
        </w:rPr>
        <w:t>处置</w:t>
      </w:r>
      <w:bookmarkEnd w:id="158"/>
      <w:r>
        <w:rPr>
          <w:rFonts w:hint="default" w:ascii="Times New Roman" w:hAnsi="Times New Roman" w:cs="Times New Roman"/>
          <w:color w:val="auto"/>
          <w:spacing w:val="0"/>
          <w:kern w:val="24"/>
          <w:highlight w:val="none"/>
        </w:rPr>
        <w:t>。</w:t>
      </w:r>
    </w:p>
    <w:p w14:paraId="5926E9B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根据污染产排量核算（见表5.2-15），各预测情景模式下，景区中期生活垃圾产生量为</w:t>
      </w:r>
      <w:r>
        <w:rPr>
          <w:rFonts w:hint="default" w:ascii="Times New Roman" w:hAnsi="Times New Roman" w:cs="Times New Roman"/>
          <w:color w:val="auto"/>
          <w:szCs w:val="21"/>
          <w:highlight w:val="none"/>
          <w:lang w:val="en-US" w:eastAsia="zh-CN"/>
        </w:rPr>
        <w:t>154.53</w:t>
      </w:r>
      <w:r>
        <w:rPr>
          <w:rFonts w:hint="default" w:ascii="Times New Roman" w:hAnsi="Times New Roman" w:cs="Times New Roman"/>
          <w:color w:val="auto"/>
          <w:spacing w:val="0"/>
          <w:kern w:val="24"/>
          <w:highlight w:val="none"/>
        </w:rPr>
        <w:t>t/a，远期生活垃圾产生量为</w:t>
      </w:r>
      <w:r>
        <w:rPr>
          <w:rFonts w:hint="default" w:ascii="Times New Roman" w:hAnsi="Times New Roman" w:cs="Times New Roman"/>
          <w:color w:val="auto"/>
          <w:spacing w:val="0"/>
          <w:kern w:val="24"/>
          <w:highlight w:val="none"/>
          <w:lang w:val="en-US" w:eastAsia="zh-CN"/>
        </w:rPr>
        <w:t>245.43</w:t>
      </w:r>
      <w:r>
        <w:rPr>
          <w:rFonts w:hint="default" w:ascii="Times New Roman" w:hAnsi="Times New Roman" w:cs="Times New Roman"/>
          <w:color w:val="auto"/>
          <w:spacing w:val="0"/>
          <w:kern w:val="24"/>
          <w:highlight w:val="none"/>
        </w:rPr>
        <w:t>t/a；景区中期旅游旺季时生活垃圾产生量为</w:t>
      </w:r>
      <w:r>
        <w:rPr>
          <w:rFonts w:hint="default" w:ascii="Times New Roman" w:hAnsi="Times New Roman" w:cs="Times New Roman"/>
          <w:color w:val="auto"/>
          <w:spacing w:val="0"/>
          <w:kern w:val="24"/>
          <w:highlight w:val="none"/>
          <w:lang w:val="en-US" w:eastAsia="zh-CN"/>
        </w:rPr>
        <w:t>572.5</w:t>
      </w:r>
      <w:r>
        <w:rPr>
          <w:rFonts w:hint="default" w:ascii="Times New Roman" w:hAnsi="Times New Roman" w:cs="Times New Roman"/>
          <w:color w:val="auto"/>
          <w:spacing w:val="0"/>
          <w:kern w:val="24"/>
          <w:highlight w:val="none"/>
        </w:rPr>
        <w:t>kg/d，景区远期旅游旺季时生活垃圾产生量为</w:t>
      </w:r>
      <w:r>
        <w:rPr>
          <w:rFonts w:hint="default" w:ascii="Times New Roman" w:hAnsi="Times New Roman" w:cs="Times New Roman"/>
          <w:color w:val="auto"/>
          <w:spacing w:val="0"/>
          <w:kern w:val="24"/>
          <w:highlight w:val="none"/>
          <w:lang w:val="en-US" w:eastAsia="zh-CN"/>
        </w:rPr>
        <w:t>723.9</w:t>
      </w:r>
      <w:r>
        <w:rPr>
          <w:rFonts w:hint="default" w:ascii="Times New Roman" w:hAnsi="Times New Roman" w:cs="Times New Roman"/>
          <w:color w:val="auto"/>
          <w:spacing w:val="0"/>
          <w:kern w:val="24"/>
          <w:highlight w:val="none"/>
        </w:rPr>
        <w:t>kg/d。</w:t>
      </w:r>
    </w:p>
    <w:p w14:paraId="454599ED">
      <w:pPr>
        <w:pStyle w:val="545"/>
        <w:adjustRightInd/>
        <w:spacing w:line="360" w:lineRule="auto"/>
        <w:ind w:firstLine="512"/>
        <w:jc w:val="both"/>
        <w:rPr>
          <w:rFonts w:hint="default" w:ascii="Times New Roman" w:hAnsi="Times New Roman" w:cs="Times New Roman"/>
          <w:color w:val="auto"/>
          <w:highlight w:val="none"/>
          <w:lang w:val="en-US" w:eastAsia="zh-CN"/>
        </w:rPr>
      </w:pPr>
      <w:bookmarkStart w:id="159" w:name="_Hlk72315614"/>
      <w:r>
        <w:rPr>
          <w:rFonts w:hint="default" w:ascii="Times New Roman" w:hAnsi="Times New Roman" w:cs="Times New Roman"/>
          <w:color w:val="auto"/>
          <w:highlight w:val="none"/>
          <w:lang w:eastAsia="zh-CN"/>
        </w:rPr>
        <w:t>波密县县城生活垃圾填埋场</w:t>
      </w:r>
      <w:r>
        <w:rPr>
          <w:rFonts w:hint="default" w:ascii="Times New Roman" w:hAnsi="Times New Roman" w:cs="Times New Roman"/>
          <w:color w:val="auto"/>
          <w:highlight w:val="none"/>
          <w:lang w:val="en-US" w:eastAsia="zh-CN"/>
        </w:rPr>
        <w:t>位于扎木镇卡达村，现状存量：约5万吨。实际处理：约100吨/日。2022年作为西藏首个全HDPE膜覆盖填埋场，非作业区：1.0mm HDPE膜（约15000m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）密闭覆盖，作业区：0.3mm PE膜每日覆盖。2025年启动压缩延寿项目，项目名称为县城生活垃圾填埋压缩处置项目；处理量：合计约12.3万吨；存量：5万吨旧垃圾重新压缩；增量：未来2年7.3万吨（100t/d）；目标：提高密度、延长寿命至2026年、节省库容15%–25%。</w:t>
      </w:r>
    </w:p>
    <w:p w14:paraId="1B4AB9D4">
      <w:pPr>
        <w:pStyle w:val="545"/>
        <w:adjustRightInd/>
        <w:spacing w:line="360" w:lineRule="auto"/>
        <w:ind w:firstLine="512"/>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林芝市波密县县城生活垃圾无害化处理工程（</w:t>
      </w:r>
      <w:r>
        <w:rPr>
          <w:rFonts w:hint="default" w:ascii="Times New Roman" w:hAnsi="Times New Roman" w:cs="Times New Roman"/>
          <w:color w:val="auto"/>
          <w:highlight w:val="none"/>
          <w:lang w:val="en-US" w:eastAsia="zh-CN"/>
        </w:rPr>
        <w:t>在建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位于扎木镇通木村，2026年2月施工招标，目前在建，设计库容：45万立方米；日处理能力：近期40t/d、远期60t/d；服务年限：约20年。</w:t>
      </w:r>
    </w:p>
    <w:p w14:paraId="44E125FD">
      <w:pPr>
        <w:pStyle w:val="545"/>
        <w:adjustRightInd/>
        <w:spacing w:line="360" w:lineRule="auto"/>
        <w:ind w:firstLine="512"/>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highlight w:val="none"/>
          <w:lang w:val="en-US" w:eastAsia="zh-CN"/>
        </w:rPr>
        <w:t>现阶段</w:t>
      </w:r>
      <w:r>
        <w:rPr>
          <w:rFonts w:hint="default" w:ascii="Times New Roman" w:hAnsi="Times New Roman" w:cs="Times New Roman"/>
          <w:color w:val="auto"/>
          <w:highlight w:val="none"/>
          <w:lang w:eastAsia="zh-CN"/>
        </w:rPr>
        <w:t>波密县县城生活垃圾填埋场</w:t>
      </w:r>
      <w:r>
        <w:rPr>
          <w:rFonts w:hint="default" w:ascii="Times New Roman" w:hAnsi="Times New Roman" w:cs="Times New Roman"/>
          <w:color w:val="auto"/>
          <w:highlight w:val="none"/>
          <w:lang w:val="en-US" w:eastAsia="zh-CN"/>
        </w:rPr>
        <w:t>可满足本规划生活垃圾</w:t>
      </w:r>
      <w:r>
        <w:rPr>
          <w:rFonts w:hint="default" w:ascii="Times New Roman" w:hAnsi="Times New Roman" w:cs="Times New Roman"/>
          <w:color w:val="auto"/>
          <w:spacing w:val="0"/>
          <w:kern w:val="24"/>
          <w:highlight w:val="none"/>
        </w:rPr>
        <w:t>填埋需求</w:t>
      </w:r>
      <w:r>
        <w:rPr>
          <w:rFonts w:hint="default" w:ascii="Times New Roman" w:hAnsi="Times New Roman" w:cs="Times New Roman"/>
          <w:color w:val="auto"/>
          <w:spacing w:val="0"/>
          <w:kern w:val="24"/>
          <w:highlight w:val="none"/>
          <w:lang w:eastAsia="zh-CN"/>
        </w:rPr>
        <w:t>，</w:t>
      </w:r>
      <w:r>
        <w:rPr>
          <w:rFonts w:hint="default" w:ascii="Times New Roman" w:hAnsi="Times New Roman" w:cs="Times New Roman"/>
          <w:color w:val="auto"/>
          <w:spacing w:val="0"/>
          <w:kern w:val="24"/>
          <w:highlight w:val="none"/>
          <w:lang w:val="en-US" w:eastAsia="zh-CN"/>
        </w:rPr>
        <w:t>待</w:t>
      </w:r>
      <w:r>
        <w:rPr>
          <w:rFonts w:hint="default" w:ascii="Times New Roman" w:hAnsi="Times New Roman" w:cs="Times New Roman"/>
          <w:color w:val="auto"/>
          <w:highlight w:val="none"/>
          <w:lang w:eastAsia="zh-CN"/>
        </w:rPr>
        <w:t>林芝市波密县县城生活垃圾无害化处理工程</w:t>
      </w:r>
      <w:r>
        <w:rPr>
          <w:rFonts w:hint="default" w:ascii="Times New Roman" w:hAnsi="Times New Roman" w:cs="Times New Roman"/>
          <w:color w:val="auto"/>
          <w:highlight w:val="none"/>
          <w:lang w:val="en-US" w:eastAsia="zh-CN"/>
        </w:rPr>
        <w:t>建设完成后，可接替</w:t>
      </w:r>
      <w:r>
        <w:rPr>
          <w:rFonts w:hint="default" w:ascii="Times New Roman" w:hAnsi="Times New Roman" w:cs="Times New Roman"/>
          <w:color w:val="auto"/>
          <w:highlight w:val="none"/>
          <w:lang w:eastAsia="zh-CN"/>
        </w:rPr>
        <w:t>波密县县城生活垃圾填埋场</w:t>
      </w:r>
      <w:r>
        <w:rPr>
          <w:rFonts w:hint="default" w:ascii="Times New Roman" w:hAnsi="Times New Roman" w:cs="Times New Roman"/>
          <w:color w:val="auto"/>
          <w:highlight w:val="none"/>
          <w:lang w:val="en-US" w:eastAsia="zh-CN"/>
        </w:rPr>
        <w:t>处置本规划产生的生活垃圾</w:t>
      </w:r>
      <w:r>
        <w:rPr>
          <w:rFonts w:hint="default" w:ascii="Times New Roman" w:hAnsi="Times New Roman" w:cs="Times New Roman"/>
          <w:color w:val="auto"/>
          <w:spacing w:val="0"/>
          <w:kern w:val="24"/>
          <w:highlight w:val="none"/>
        </w:rPr>
        <w:t>。</w:t>
      </w:r>
    </w:p>
    <w:bookmarkEnd w:id="159"/>
    <w:p w14:paraId="0C7B3534">
      <w:pPr>
        <w:pStyle w:val="545"/>
        <w:adjustRightInd/>
        <w:spacing w:line="360" w:lineRule="auto"/>
        <w:jc w:val="both"/>
        <w:rPr>
          <w:rFonts w:hint="default" w:ascii="Times New Roman" w:hAnsi="Times New Roman" w:cs="Times New Roman" w:eastAsiaTheme="minorEastAsia"/>
          <w:color w:val="auto"/>
          <w:spacing w:val="0"/>
          <w:kern w:val="24"/>
          <w:szCs w:val="24"/>
          <w:highlight w:val="none"/>
        </w:rPr>
      </w:pPr>
      <w:r>
        <w:rPr>
          <w:rFonts w:hint="default" w:ascii="Times New Roman" w:hAnsi="Times New Roman" w:cs="Times New Roman" w:eastAsiaTheme="minorEastAsia"/>
          <w:color w:val="auto"/>
          <w:spacing w:val="0"/>
          <w:kern w:val="24"/>
          <w:szCs w:val="24"/>
          <w:highlight w:val="none"/>
        </w:rPr>
        <w:t>根据规划，</w:t>
      </w:r>
      <w:r>
        <w:rPr>
          <w:rFonts w:hint="default" w:ascii="Times New Roman" w:hAnsi="Times New Roman" w:cs="Times New Roman"/>
          <w:bCs/>
          <w:color w:val="auto"/>
          <w:kern w:val="0"/>
          <w:sz w:val="24"/>
          <w:highlight w:val="none"/>
        </w:rPr>
        <w:t>为满足居民生活及游客旅游需求，垃圾桶沿道路两侧间隔60米放置，用于居民生产生活垃圾收集转运临时存放。规划完善配套各类环卫设施，使景区保持清洁、卫生。逐步实现景区生活垃圾袋装分类收集，实现垃圾收集运输的容器化、密闭化、机械化。规划由管理部门组织人员定期收集、清理、转运至垃圾转运站。主要景点附近，约每隔70米设置一处垃圾箱；次要景点附近，约每隔100-150米设置一处垃圾箱。对一些范围较大，游人较散的景点，建议采取配发环保垃圾袋的制度，使游客自觉参加到维护环境的行动中来</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eastAsiaTheme="minorEastAsia"/>
          <w:color w:val="auto"/>
          <w:spacing w:val="0"/>
          <w:kern w:val="24"/>
          <w:szCs w:val="24"/>
          <w:highlight w:val="none"/>
        </w:rPr>
        <w:t>。此外，景区内配备垃圾运输车，有专人负责收集运输各个垃圾收集站（点）的每日生活垃圾，做到日产日清，使其对环境影响减至最低。</w:t>
      </w:r>
    </w:p>
    <w:p w14:paraId="6DB4BAA5">
      <w:pPr>
        <w:pStyle w:val="545"/>
        <w:adjustRightInd/>
        <w:spacing w:line="360" w:lineRule="auto"/>
        <w:ind w:firstLine="482"/>
        <w:jc w:val="both"/>
        <w:outlineLvl w:val="4"/>
        <w:rPr>
          <w:rFonts w:hint="default" w:ascii="Times New Roman" w:hAnsi="Times New Roman" w:cs="Times New Roman" w:eastAsiaTheme="minorEastAsia"/>
          <w:b/>
          <w:color w:val="auto"/>
          <w:spacing w:val="0"/>
          <w:kern w:val="24"/>
          <w:szCs w:val="24"/>
          <w:highlight w:val="none"/>
        </w:rPr>
      </w:pPr>
      <w:r>
        <w:rPr>
          <w:rFonts w:hint="default" w:ascii="Times New Roman" w:hAnsi="Times New Roman" w:cs="Times New Roman" w:eastAsiaTheme="minorEastAsia"/>
          <w:b/>
          <w:color w:val="auto"/>
          <w:spacing w:val="0"/>
          <w:kern w:val="24"/>
          <w:szCs w:val="24"/>
          <w:highlight w:val="none"/>
        </w:rPr>
        <w:t>（二）餐厨垃圾及废油</w:t>
      </w:r>
    </w:p>
    <w:p w14:paraId="496932F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eastAsiaTheme="minorEastAsia"/>
          <w:color w:val="auto"/>
          <w:spacing w:val="0"/>
          <w:kern w:val="24"/>
          <w:szCs w:val="24"/>
          <w:highlight w:val="none"/>
        </w:rPr>
        <w:t>规划区内的商业设施包含餐厅、家庭旅馆等，</w:t>
      </w:r>
      <w:r>
        <w:rPr>
          <w:rFonts w:hint="default" w:ascii="Times New Roman" w:hAnsi="Times New Roman" w:cs="Times New Roman"/>
          <w:color w:val="auto"/>
          <w:spacing w:val="0"/>
          <w:kern w:val="24"/>
          <w:highlight w:val="none"/>
        </w:rPr>
        <w:t>产生的餐厨垃圾及废油应进行严格监管，禁止随意排放，应完善环保设施和设备，加强对其收集和管理，</w:t>
      </w:r>
      <w:bookmarkStart w:id="160" w:name="_Hlk140151315"/>
      <w:r>
        <w:rPr>
          <w:rFonts w:hint="default" w:ascii="Times New Roman" w:hAnsi="Times New Roman" w:cs="Times New Roman"/>
          <w:color w:val="auto"/>
          <w:spacing w:val="0"/>
          <w:kern w:val="24"/>
          <w:highlight w:val="none"/>
        </w:rPr>
        <w:t>定期由市政部门专用车辆分类转运，送至相关处理机构进行处理</w:t>
      </w:r>
      <w:bookmarkEnd w:id="160"/>
      <w:r>
        <w:rPr>
          <w:rFonts w:hint="default" w:ascii="Times New Roman" w:hAnsi="Times New Roman" w:cs="Times New Roman"/>
          <w:color w:val="auto"/>
          <w:spacing w:val="0"/>
          <w:kern w:val="24"/>
          <w:highlight w:val="none"/>
        </w:rPr>
        <w:t>。</w:t>
      </w:r>
    </w:p>
    <w:p w14:paraId="4C400021">
      <w:pPr>
        <w:spacing w:line="360" w:lineRule="auto"/>
        <w:ind w:firstLine="480" w:firstLineChars="200"/>
        <w:rPr>
          <w:rFonts w:hint="default" w:ascii="Times New Roman" w:hAnsi="Times New Roman" w:cs="Times New Roman" w:eastAsiaTheme="minorEastAsia"/>
          <w:color w:val="auto"/>
          <w:kern w:val="24"/>
          <w:sz w:val="24"/>
          <w:highlight w:val="none"/>
        </w:rPr>
      </w:pPr>
      <w:r>
        <w:rPr>
          <w:rFonts w:hint="default" w:ascii="Times New Roman" w:hAnsi="Times New Roman" w:cs="Times New Roman" w:eastAsiaTheme="minorEastAsia"/>
          <w:color w:val="auto"/>
          <w:kern w:val="24"/>
          <w:sz w:val="24"/>
          <w:highlight w:val="none"/>
        </w:rPr>
        <w:t>综上，景区各类固废能做到科学收集、转运，妥善处置，只要加强管理，不会对周边环境产生较大影响。</w:t>
      </w:r>
    </w:p>
    <w:p w14:paraId="4E51BD11">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w:t>
      </w:r>
    </w:p>
    <w:p w14:paraId="30CF0F2A">
      <w:pPr>
        <w:autoSpaceDE w:val="0"/>
        <w:autoSpaceDN w:val="0"/>
        <w:spacing w:line="360" w:lineRule="auto"/>
        <w:ind w:firstLine="480" w:firstLineChars="200"/>
        <w:rPr>
          <w:rFonts w:hint="default" w:ascii="Times New Roman" w:hAnsi="Times New Roman" w:cs="Times New Roman"/>
          <w:color w:val="auto"/>
          <w:highlight w:val="none"/>
          <w:lang w:val="zh-CN"/>
        </w:rPr>
      </w:pPr>
      <w:r>
        <w:rPr>
          <w:rFonts w:hint="default" w:ascii="Times New Roman" w:hAnsi="Times New Roman" w:cs="Times New Roman"/>
          <w:color w:val="auto"/>
          <w:kern w:val="0"/>
          <w:sz w:val="24"/>
          <w:highlight w:val="none"/>
        </w:rPr>
        <w:t>景区的建设对区内土壤环境的影响主要表现为以下两个方面：一是景区建设阶段将会有大量地面工程建设的开挖、填埋行为对土壤结构的破坏；挖掘、碾压、践踏、堆积物品等均会使土壤结构破坏，土壤生产力下降。二是景区内建设项目排放的污染物对土壤质地性状的影响</w:t>
      </w:r>
      <w:r>
        <w:rPr>
          <w:rFonts w:hint="default" w:ascii="Times New Roman" w:hAnsi="Times New Roman" w:cs="Times New Roman"/>
          <w:color w:val="auto"/>
          <w:highlight w:val="none"/>
          <w:lang w:val="zh-CN"/>
        </w:rPr>
        <w:t>。</w:t>
      </w:r>
    </w:p>
    <w:p w14:paraId="12859DDF">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规划建设期</w:t>
      </w:r>
    </w:p>
    <w:p w14:paraId="2B061ECC">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景区开发建设过程中对土壤的影响主要表现为占地对土壤结构的破坏。各种地面建设活动中对土壤的扰动会影响土壤的结构、质地和物理性质；由于景区建成后将改变区内土壤的原有使用功能，对土壤的结构、质地和物理性质的局部破坏不会影响到景区建成后的土地使用功能。并且工程建设期所产生的各种污染物均有妥善的处理处置措施，严格执行各项环保措施，各种污染物对土壤环境的影响均可处于可接受的范围内。</w:t>
      </w:r>
    </w:p>
    <w:p w14:paraId="24D84716">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因此，景区开发建设对土壤环境的影响是可以接受的。</w:t>
      </w:r>
    </w:p>
    <w:p w14:paraId="182BDBB4">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65985185">
      <w:pPr>
        <w:autoSpaceDE w:val="0"/>
        <w:autoSpaceDN w:val="0"/>
        <w:spacing w:line="360" w:lineRule="auto"/>
        <w:ind w:firstLine="480" w:firstLineChars="200"/>
        <w:rPr>
          <w:rFonts w:hint="default" w:ascii="Times New Roman" w:hAnsi="Times New Roman" w:cs="Times New Roman"/>
          <w:color w:val="auto"/>
          <w:kern w:val="0"/>
          <w:sz w:val="24"/>
          <w:highlight w:val="none"/>
        </w:rPr>
      </w:pPr>
      <w:bookmarkStart w:id="161" w:name="_Hlk140151390"/>
      <w:r>
        <w:rPr>
          <w:rFonts w:hint="default" w:ascii="Times New Roman" w:hAnsi="Times New Roman" w:cs="Times New Roman"/>
          <w:color w:val="auto"/>
          <w:kern w:val="0"/>
          <w:sz w:val="24"/>
          <w:highlight w:val="none"/>
        </w:rPr>
        <w:t>规划实施后对土壤的影响主要为景区运行过程产生的生活污水和固体废物通过和土壤的接触而进入土壤，从而对土壤产生影响。</w:t>
      </w:r>
      <w:bookmarkEnd w:id="161"/>
      <w:r>
        <w:rPr>
          <w:rFonts w:hint="default" w:ascii="Times New Roman" w:hAnsi="Times New Roman" w:cs="Times New Roman"/>
          <w:color w:val="auto"/>
          <w:kern w:val="0"/>
          <w:sz w:val="24"/>
          <w:highlight w:val="none"/>
        </w:rPr>
        <w:t>尤其是固体废物，这些物质一般均属难降解的污染物，在土壤中迁移较慢，容易聚集。这些废物如不妥善处置，若散落于外，将会随降雨形成的径流进入绿化带或流入雨水沟渠，进而排至河道，污染河道底泥，给当地生态环境带来负面影响。</w:t>
      </w:r>
    </w:p>
    <w:p w14:paraId="1F7C3FF3">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景区运行过程中，生活污水均经污水管网进入</w:t>
      </w:r>
      <w:r>
        <w:rPr>
          <w:rFonts w:hint="default" w:ascii="Times New Roman" w:hAnsi="Times New Roman" w:cs="Times New Roman"/>
          <w:color w:val="auto"/>
          <w:kern w:val="0"/>
          <w:sz w:val="24"/>
          <w:highlight w:val="none"/>
          <w:lang w:val="en-US" w:eastAsia="zh-CN"/>
        </w:rPr>
        <w:t>各一体化污水处理设施</w:t>
      </w:r>
      <w:r>
        <w:rPr>
          <w:rFonts w:hint="default" w:ascii="Times New Roman" w:hAnsi="Times New Roman" w:cs="Times New Roman"/>
          <w:color w:val="auto"/>
          <w:kern w:val="0"/>
          <w:sz w:val="24"/>
          <w:highlight w:val="none"/>
        </w:rPr>
        <w:t>处理，输送污水的管网均进行防渗处理，不会泄露污染土壤。另外，景区内各类废物的处置过程中均采取水泥防渗，避免了各类废物和土壤的直接接触，减少了各类废物进入土壤环境的机率。</w:t>
      </w:r>
    </w:p>
    <w:p w14:paraId="7CADFE94">
      <w:pPr>
        <w:spacing w:line="360" w:lineRule="auto"/>
        <w:ind w:firstLine="480" w:firstLineChars="200"/>
        <w:rPr>
          <w:rFonts w:hint="default" w:ascii="Times New Roman" w:hAnsi="Times New Roman" w:cs="Times New Roman" w:eastAsiaTheme="minorEastAsia"/>
          <w:color w:val="auto"/>
          <w:sz w:val="24"/>
          <w:highlight w:val="none"/>
          <w:lang w:val="zh-CN"/>
        </w:rPr>
      </w:pPr>
      <w:r>
        <w:rPr>
          <w:rFonts w:hint="default" w:ascii="Times New Roman" w:hAnsi="Times New Roman" w:cs="Times New Roman"/>
          <w:color w:val="auto"/>
          <w:kern w:val="0"/>
          <w:sz w:val="24"/>
          <w:highlight w:val="none"/>
        </w:rPr>
        <w:t>因此，在景区建设项目运行正常和废物处置过程中的污染防治手段得当、可靠的情况下，区内建设项目运行对土壤环境的影响是较小的。</w:t>
      </w:r>
    </w:p>
    <w:bookmarkEnd w:id="155"/>
    <w:p w14:paraId="3A0C6189">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w:t>
      </w:r>
    </w:p>
    <w:p w14:paraId="019AD15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植物多样性影响</w:t>
      </w:r>
    </w:p>
    <w:p w14:paraId="2B5E9775">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对评价区域内植物、植被的影响主要发生在施工期，工程占地将导致原地表植被小时，评价区域净生产力降低、生物量降低。若这类影响事永久占地造成的将是不可逆的。若是由施工便道和施工生产生活区等临时占地造成的，可以通过生态恢复措施得到补偿或恢复。</w:t>
      </w:r>
    </w:p>
    <w:p w14:paraId="66E51F98">
      <w:pPr>
        <w:pStyle w:val="72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施工期生态影响</w:t>
      </w:r>
    </w:p>
    <w:p w14:paraId="7EFA097B">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w:t>
      </w:r>
      <w:r>
        <w:rPr>
          <w:rFonts w:hint="default" w:ascii="Times New Roman" w:hAnsi="Times New Roman" w:cs="Times New Roman"/>
          <w:color w:val="auto"/>
          <w:highlight w:val="none"/>
          <w:lang w:val="en-US" w:eastAsia="zh-CN"/>
        </w:rPr>
        <w:t>区主要建设内容均已施工，大部分规划项目为对现状设施进行提升改造，后期规划实施的游客服务中心占用的主要为植被覆盖度低的</w:t>
      </w:r>
      <w:r>
        <w:rPr>
          <w:rFonts w:hint="default" w:ascii="Times New Roman" w:hAnsi="Times New Roman" w:eastAsia="宋体" w:cs="Times New Roman"/>
          <w:color w:val="auto"/>
          <w:kern w:val="0"/>
          <w:szCs w:val="21"/>
          <w:highlight w:val="none"/>
        </w:rPr>
        <w:t>灌木林地</w:t>
      </w:r>
      <w:r>
        <w:rPr>
          <w:rFonts w:hint="default" w:ascii="Times New Roman" w:hAnsi="Times New Roman" w:cs="Times New Roman"/>
          <w:color w:val="auto"/>
          <w:highlight w:val="none"/>
        </w:rPr>
        <w:t>，区域植被损失较小。</w:t>
      </w:r>
    </w:p>
    <w:p w14:paraId="594AB48F">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规划实施建设临时用地尽量避免占用区域内</w:t>
      </w:r>
      <w:r>
        <w:rPr>
          <w:rFonts w:hint="default" w:ascii="Times New Roman" w:hAnsi="Times New Roman" w:cs="Times New Roman"/>
          <w:color w:val="auto"/>
          <w:highlight w:val="none"/>
          <w:lang w:val="en-US" w:eastAsia="zh-CN"/>
        </w:rPr>
        <w:t>植被覆盖度较高的</w:t>
      </w:r>
      <w:r>
        <w:rPr>
          <w:rFonts w:hint="default" w:ascii="Times New Roman" w:hAnsi="Times New Roman" w:cs="Times New Roman"/>
          <w:color w:val="auto"/>
          <w:highlight w:val="none"/>
        </w:rPr>
        <w:t>林地、天然草地，不占用农田等。临时占地在施工结束后应进行生态恢复。</w:t>
      </w:r>
    </w:p>
    <w:p w14:paraId="21FDBBFA">
      <w:pPr>
        <w:pStyle w:val="72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规划实施后生态影响</w:t>
      </w:r>
    </w:p>
    <w:p w14:paraId="1322E157">
      <w:pPr>
        <w:pStyle w:val="72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根据规划区土地利用现状调查及规划，规划实施后相比现状土地利用现状，</w:t>
      </w:r>
      <w:r>
        <w:rPr>
          <w:rFonts w:hint="default" w:ascii="Times New Roman" w:hAnsi="Times New Roman" w:cs="Times New Roman"/>
          <w:color w:val="auto"/>
          <w:szCs w:val="21"/>
          <w:highlight w:val="none"/>
        </w:rPr>
        <w:t>仅</w:t>
      </w:r>
      <w:r>
        <w:rPr>
          <w:rFonts w:hint="default" w:ascii="Times New Roman" w:hAnsi="Times New Roman" w:cs="Times New Roman"/>
          <w:color w:val="auto"/>
          <w:szCs w:val="21"/>
          <w:highlight w:val="none"/>
          <w:lang w:val="en-US" w:eastAsia="zh-CN"/>
        </w:rPr>
        <w:t>1.12hm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灌木林地会变更为0.26hm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商业用地、0.62hm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eastAsia="宋体" w:cs="Times New Roman"/>
          <w:color w:val="auto"/>
          <w:kern w:val="0"/>
          <w:szCs w:val="21"/>
          <w:highlight w:val="none"/>
        </w:rPr>
        <w:t>交通场站用地</w:t>
      </w:r>
      <w:r>
        <w:rPr>
          <w:rFonts w:hint="default" w:ascii="Times New Roman" w:hAnsi="Times New Roman" w:eastAsia="宋体" w:cs="Times New Roman"/>
          <w:color w:val="auto"/>
          <w:kern w:val="0"/>
          <w:szCs w:val="21"/>
          <w:highlight w:val="none"/>
          <w:lang w:val="en-US" w:eastAsia="zh-CN"/>
        </w:rPr>
        <w:t>和0.24</w:t>
      </w:r>
      <w:r>
        <w:rPr>
          <w:rFonts w:hint="default" w:ascii="Times New Roman" w:hAnsi="Times New Roman" w:cs="Times New Roman"/>
          <w:color w:val="auto"/>
          <w:szCs w:val="21"/>
          <w:highlight w:val="none"/>
          <w:lang w:val="en-US" w:eastAsia="zh-CN"/>
        </w:rPr>
        <w:t>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eastAsia="宋体" w:cs="Times New Roman"/>
          <w:color w:val="auto"/>
          <w:kern w:val="0"/>
          <w:szCs w:val="21"/>
          <w:highlight w:val="none"/>
          <w:lang w:val="en-US" w:eastAsia="zh-CN"/>
        </w:rPr>
        <w:t>防护绿地。随着规划的实施，前文2.1.7小结：绿地景观系统规划逐步得到落实后，可</w:t>
      </w:r>
      <w:r>
        <w:rPr>
          <w:rFonts w:hint="default" w:ascii="Times New Roman" w:hAnsi="Times New Roman" w:cs="Times New Roman"/>
          <w:color w:val="auto"/>
          <w:kern w:val="0"/>
          <w:szCs w:val="21"/>
          <w:highlight w:val="none"/>
          <w:lang w:val="en-US" w:eastAsia="zh-CN"/>
        </w:rPr>
        <w:t>进一步</w:t>
      </w:r>
      <w:r>
        <w:rPr>
          <w:rFonts w:hint="default" w:ascii="Times New Roman" w:hAnsi="Times New Roman" w:eastAsia="宋体" w:cs="Times New Roman"/>
          <w:color w:val="auto"/>
          <w:kern w:val="0"/>
          <w:szCs w:val="21"/>
          <w:highlight w:val="none"/>
          <w:lang w:val="en-US" w:eastAsia="zh-CN"/>
        </w:rPr>
        <w:t>改善区域的生态环境质量现状</w:t>
      </w:r>
      <w:r>
        <w:rPr>
          <w:rFonts w:hint="default" w:ascii="Times New Roman" w:hAnsi="Times New Roman" w:cs="Times New Roman"/>
          <w:color w:val="auto"/>
          <w:kern w:val="24"/>
          <w:highlight w:val="none"/>
          <w:lang w:eastAsia="zh-CN"/>
        </w:rPr>
        <w:t>。</w:t>
      </w:r>
    </w:p>
    <w:p w14:paraId="60DAF45C">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工程建成后，各施工点人员、机械设备均撤除现场，对植被的干扰消失，临时占地逐渐进行植被恢复。这些区域随着绿化带、临时占地区的植被恢复，因施工建设受损的植被得到一定程度的补偿，对陆生植物的影响将会减弱，部分地区也将恢复到建设前的水平。</w:t>
      </w:r>
    </w:p>
    <w:p w14:paraId="4ADD66F5">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景区对外开放后，游客、管理人员和服务人员将长期在该区域活动，对环境的压力仍然存在。少数游客存在随意踏踩植被，攀折花木和果实的不文明行为，在旅游高峰期这种不文明影响将进一步加剧。必须做好游客和职工保护环境的宣传教育工作，严格要求其按照固定的游线进行游览，禁止随意扩大活动范围。</w:t>
      </w:r>
    </w:p>
    <w:p w14:paraId="4C37B560">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针对规划实施过程中存在的规划区部分规划绿化区域暂未及时进行绿化的现象，在规划后续实施的过程中需在气候条件允许的情况下及时对未绿化区进行绿化。</w:t>
      </w:r>
    </w:p>
    <w:p w14:paraId="2AC3904F">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对陆生动物的影响</w:t>
      </w:r>
    </w:p>
    <w:p w14:paraId="2B83EF3B">
      <w:pPr>
        <w:pStyle w:val="720"/>
        <w:ind w:firstLine="482"/>
        <w:rPr>
          <w:rFonts w:hint="default" w:ascii="Times New Roman" w:hAnsi="Times New Roman" w:cs="Times New Roman"/>
          <w:color w:val="auto"/>
          <w:kern w:val="0"/>
          <w:highlight w:val="none"/>
        </w:rPr>
      </w:pPr>
      <w:r>
        <w:rPr>
          <w:rFonts w:hint="default" w:ascii="Times New Roman" w:hAnsi="Times New Roman" w:cs="Times New Roman"/>
          <w:b/>
          <w:bCs/>
          <w:color w:val="auto"/>
          <w:highlight w:val="none"/>
        </w:rPr>
        <w:t>施工期影响</w:t>
      </w:r>
    </w:p>
    <w:p w14:paraId="7F7D7DAD">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规划实施过程中主要为各类旅游设施、建筑、道路的修建，产生的影响见表5.3-7。</w:t>
      </w:r>
    </w:p>
    <w:p w14:paraId="0C4B4E7C">
      <w:pPr>
        <w:pStyle w:val="724"/>
        <w:rPr>
          <w:rFonts w:hint="default" w:ascii="Times New Roman" w:hAnsi="Times New Roman" w:cs="Times New Roman"/>
          <w:color w:val="auto"/>
          <w:highlight w:val="none"/>
        </w:rPr>
      </w:pPr>
      <w:r>
        <w:rPr>
          <w:rFonts w:hint="default" w:ascii="Times New Roman" w:hAnsi="Times New Roman" w:cs="Times New Roman"/>
          <w:color w:val="auto"/>
          <w:highlight w:val="none"/>
        </w:rPr>
        <w:t>表5.3-7  规划施工对野生动物的影响</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693"/>
        <w:gridCol w:w="5380"/>
      </w:tblGrid>
      <w:tr w14:paraId="62B8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0" w:type="pct"/>
            <w:shd w:val="clear" w:color="auto" w:fill="auto"/>
            <w:vAlign w:val="center"/>
          </w:tcPr>
          <w:p w14:paraId="400EAF9B">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影响因子</w:t>
            </w:r>
          </w:p>
        </w:tc>
        <w:tc>
          <w:tcPr>
            <w:tcW w:w="1468" w:type="pct"/>
            <w:shd w:val="clear" w:color="auto" w:fill="auto"/>
            <w:noWrap/>
            <w:vAlign w:val="center"/>
          </w:tcPr>
          <w:p w14:paraId="0E73AEDE">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产生影响的项目</w:t>
            </w:r>
          </w:p>
        </w:tc>
        <w:tc>
          <w:tcPr>
            <w:tcW w:w="2932" w:type="pct"/>
            <w:shd w:val="clear" w:color="auto" w:fill="auto"/>
            <w:vAlign w:val="center"/>
          </w:tcPr>
          <w:p w14:paraId="07084129">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影响方式及程度</w:t>
            </w:r>
          </w:p>
        </w:tc>
      </w:tr>
      <w:tr w14:paraId="3104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0" w:type="pct"/>
            <w:shd w:val="clear" w:color="auto" w:fill="auto"/>
            <w:vAlign w:val="center"/>
          </w:tcPr>
          <w:p w14:paraId="590B743A">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工程占地</w:t>
            </w:r>
          </w:p>
        </w:tc>
        <w:tc>
          <w:tcPr>
            <w:tcW w:w="1468" w:type="pct"/>
            <w:shd w:val="clear" w:color="auto" w:fill="auto"/>
            <w:vAlign w:val="center"/>
          </w:tcPr>
          <w:p w14:paraId="2776B5BB">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各类建筑、道路系统等所在区域以及它们所在的施工区、物料场地等。</w:t>
            </w:r>
          </w:p>
        </w:tc>
        <w:tc>
          <w:tcPr>
            <w:tcW w:w="2932" w:type="pct"/>
            <w:shd w:val="clear" w:color="auto" w:fill="auto"/>
            <w:vAlign w:val="center"/>
          </w:tcPr>
          <w:p w14:paraId="1026868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工程占地直接侵占和破坏野生动物栖息地，造成占地区部分动物夜栖地、隐蔽地、觅食地和巢穴破坏，甚至直接造成个体死亡。</w:t>
            </w:r>
          </w:p>
        </w:tc>
      </w:tr>
      <w:tr w14:paraId="3FF4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0" w:type="pct"/>
            <w:shd w:val="clear" w:color="auto" w:fill="auto"/>
            <w:noWrap/>
            <w:vAlign w:val="center"/>
          </w:tcPr>
          <w:p w14:paraId="1650309B">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水源污染</w:t>
            </w:r>
          </w:p>
        </w:tc>
        <w:tc>
          <w:tcPr>
            <w:tcW w:w="1468" w:type="pct"/>
            <w:shd w:val="clear" w:color="auto" w:fill="auto"/>
            <w:noWrap/>
            <w:vAlign w:val="center"/>
          </w:tcPr>
          <w:p w14:paraId="1D656880">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工程产生的水土流失、弃渣弃土废物及生活垃圾等</w:t>
            </w:r>
          </w:p>
        </w:tc>
        <w:tc>
          <w:tcPr>
            <w:tcW w:w="2932" w:type="pct"/>
            <w:shd w:val="clear" w:color="auto" w:fill="auto"/>
            <w:vAlign w:val="center"/>
          </w:tcPr>
          <w:p w14:paraId="5666C73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工程产生的水土流失、弃渣弃土废物及生活垃圾流入渠道和水体，造成水源污染，进而影响以水体环境繁殖和生活为主的两栖类和伴水域活动鸟类受到影响，使两栖类的繁殖和生存受到影响，使在水域附近觅食的鸟类受到影响。</w:t>
            </w:r>
          </w:p>
        </w:tc>
      </w:tr>
      <w:tr w14:paraId="0CF0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0" w:type="pct"/>
            <w:shd w:val="clear" w:color="auto" w:fill="auto"/>
            <w:vAlign w:val="center"/>
          </w:tcPr>
          <w:p w14:paraId="2AB8E586">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噪声振动</w:t>
            </w:r>
          </w:p>
        </w:tc>
        <w:tc>
          <w:tcPr>
            <w:tcW w:w="1468" w:type="pct"/>
            <w:shd w:val="clear" w:color="auto" w:fill="auto"/>
            <w:vAlign w:val="center"/>
          </w:tcPr>
          <w:p w14:paraId="124A0C91">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工程施工机械噪声、交通运输噪声、人员活动噪声等</w:t>
            </w:r>
          </w:p>
        </w:tc>
        <w:tc>
          <w:tcPr>
            <w:tcW w:w="2932" w:type="pct"/>
            <w:shd w:val="clear" w:color="auto" w:fill="auto"/>
            <w:noWrap/>
            <w:vAlign w:val="center"/>
          </w:tcPr>
          <w:p w14:paraId="3DD0C3B5">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使动物受到惊扰和惊吓，小型兽类也会一定距离内躲避。</w:t>
            </w:r>
          </w:p>
        </w:tc>
      </w:tr>
      <w:tr w14:paraId="6743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0" w:type="pct"/>
            <w:shd w:val="clear" w:color="auto" w:fill="auto"/>
            <w:noWrap/>
            <w:vAlign w:val="center"/>
          </w:tcPr>
          <w:p w14:paraId="0E737DE7">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空气污染</w:t>
            </w:r>
          </w:p>
        </w:tc>
        <w:tc>
          <w:tcPr>
            <w:tcW w:w="1468" w:type="pct"/>
            <w:shd w:val="clear" w:color="auto" w:fill="auto"/>
            <w:noWrap/>
            <w:vAlign w:val="center"/>
          </w:tcPr>
          <w:p w14:paraId="7FB1B4EC">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施工产生的扬尘、粉尘</w:t>
            </w:r>
          </w:p>
        </w:tc>
        <w:tc>
          <w:tcPr>
            <w:tcW w:w="2932" w:type="pct"/>
            <w:shd w:val="clear" w:color="auto" w:fill="auto"/>
            <w:vAlign w:val="center"/>
          </w:tcPr>
          <w:p w14:paraId="5F76AFC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施工产生的扬尘、粉尘随风飘扬，洒落在动物的食物上，如草本、灌丛、乔木等食物，影响到植物生长，也间接影响到野生动物的健康。</w:t>
            </w:r>
          </w:p>
        </w:tc>
      </w:tr>
    </w:tbl>
    <w:p w14:paraId="1AC3C8A5">
      <w:pPr>
        <w:pStyle w:val="720"/>
        <w:spacing w:line="240" w:lineRule="auto"/>
        <w:rPr>
          <w:rFonts w:hint="default" w:ascii="Times New Roman" w:hAnsi="Times New Roman" w:cs="Times New Roman"/>
          <w:color w:val="auto"/>
          <w:highlight w:val="none"/>
        </w:rPr>
      </w:pPr>
    </w:p>
    <w:p w14:paraId="63F51E1B">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规划区基础设施施工期间由于车辆机械的运行及施工人员的活动等，产生噪声、粉尘、废水等，在一段时间内降低动物生境质量，造成干扰。</w:t>
      </w:r>
    </w:p>
    <w:p w14:paraId="4D90EC8A">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施工中将采取优化施工布置，加强洒水降尘，废水处理达标回用等措施减缓对动物生境的干扰，施工活动将对动物的生境造成一定破坏，会使某些野生动物失去小量觅食地、栖息场所和活动区域，但由本次规划建设的基础设施相对于规划区来说占用面积很小，所以不会对动物的生存和繁殖造成明显影响。</w:t>
      </w:r>
    </w:p>
    <w:p w14:paraId="4BCF5834">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施工期影响在施工结束后即消失，进行土地复垦和植被恢复，多数动物有重返原有生存环境的条件，因此，规划实施对野生动物的生境影响是短暂的、有限的。</w:t>
      </w:r>
    </w:p>
    <w:p w14:paraId="6C779635">
      <w:pPr>
        <w:pStyle w:val="72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规划实施后影响</w:t>
      </w:r>
    </w:p>
    <w:p w14:paraId="42CA6EDB">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成后，旅游区人流量开始增多，动物的栖息环境受到一定干扰，对于部分较敏感的动物会逐渐转移到相对较远的生境中，而与人类安全距离较近的动物开始逐渐在人多的地方聚集。除此之外，随着游客的增多也带来了一系列的污染问题，对动物的栖息活动造成一定威胁。因此，运营期也要落实好保护措施，减小对动物的影响。</w:t>
      </w:r>
    </w:p>
    <w:p w14:paraId="6B0BAE48">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实施后，路灯等会在夜晚保持长时间发光，灯光在夜间会显得较为醒目。灯光会部分鸟类和夜行性哺乳类会有一定影响，会直接干扰它们的正常活动，将迫使它们避开灯光影响带。建议减弱夜间灯光亮度和时间，减缓灯光对区域野生动物的不利影响。</w:t>
      </w:r>
    </w:p>
    <w:p w14:paraId="3A2A017C">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实施后，交通对动物的影响集中表现为对动物的碾压、碰撞和道路阻隔影响。景区内部交通主要为步行车道和马道，且利用既有道路，道路两侧动物已基本适应旅游交通设施对其影响，阻隔影响较小；但规划区进出车辆逐步增多，对于视觉不够敏锐的野生动物会直接造成动物个体死亡；除此之外，车辆的鸣笛和人为噪声均会驱赶周边的野生动物。</w:t>
      </w:r>
    </w:p>
    <w:p w14:paraId="7887B94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对水生生态影响</w:t>
      </w:r>
    </w:p>
    <w:p w14:paraId="09DCB537">
      <w:pPr>
        <w:pStyle w:val="72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施工期影响</w:t>
      </w:r>
    </w:p>
    <w:p w14:paraId="7320A45E">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规划区外</w:t>
      </w:r>
      <w:r>
        <w:rPr>
          <w:rFonts w:hint="default" w:ascii="Times New Roman" w:hAnsi="Times New Roman" w:cs="Times New Roman"/>
          <w:color w:val="auto"/>
          <w:highlight w:val="none"/>
          <w:lang w:val="en-US" w:eastAsia="zh-CN"/>
        </w:rPr>
        <w:t>北</w:t>
      </w:r>
      <w:r>
        <w:rPr>
          <w:rFonts w:hint="default" w:ascii="Times New Roman" w:hAnsi="Times New Roman" w:cs="Times New Roman"/>
          <w:color w:val="auto"/>
          <w:highlight w:val="none"/>
        </w:rPr>
        <w:t>侧</w:t>
      </w:r>
      <w:r>
        <w:rPr>
          <w:rFonts w:hint="default" w:ascii="Times New Roman" w:hAnsi="Times New Roman" w:cs="Times New Roman"/>
          <w:color w:val="auto"/>
          <w:highlight w:val="none"/>
          <w:lang w:val="en-US" w:eastAsia="zh-CN"/>
        </w:rPr>
        <w:t>临近</w:t>
      </w:r>
      <w:r>
        <w:rPr>
          <w:rFonts w:hint="default" w:ascii="Times New Roman" w:hAnsi="Times New Roman" w:cs="Times New Roman"/>
          <w:color w:val="auto"/>
          <w:highlight w:val="none"/>
          <w:lang w:eastAsia="zh-CN"/>
        </w:rPr>
        <w:t>帕隆藏布</w:t>
      </w:r>
      <w:r>
        <w:rPr>
          <w:rFonts w:hint="default" w:ascii="Times New Roman" w:hAnsi="Times New Roman" w:cs="Times New Roman"/>
          <w:color w:val="auto"/>
          <w:highlight w:val="none"/>
        </w:rPr>
        <w:t>，规划区内</w:t>
      </w:r>
      <w:r>
        <w:rPr>
          <w:rFonts w:hint="default" w:ascii="Times New Roman" w:hAnsi="Times New Roman" w:cs="Times New Roman"/>
          <w:color w:val="auto"/>
          <w:highlight w:val="none"/>
          <w:lang w:val="en-US" w:eastAsia="zh-CN"/>
        </w:rPr>
        <w:t>有数条</w:t>
      </w:r>
      <w:r>
        <w:rPr>
          <w:rFonts w:hint="default" w:ascii="Times New Roman" w:hAnsi="Times New Roman" w:cs="Times New Roman"/>
          <w:color w:val="auto"/>
          <w:highlight w:val="none"/>
          <w:lang w:eastAsia="zh-CN"/>
        </w:rPr>
        <w:t>帕隆藏布</w:t>
      </w:r>
      <w:r>
        <w:rPr>
          <w:rFonts w:hint="default" w:ascii="Times New Roman" w:hAnsi="Times New Roman" w:cs="Times New Roman"/>
          <w:color w:val="auto"/>
          <w:highlight w:val="none"/>
          <w:lang w:val="en-US" w:eastAsia="zh-CN"/>
        </w:rPr>
        <w:t>支流，</w:t>
      </w:r>
      <w:r>
        <w:rPr>
          <w:rFonts w:hint="default" w:ascii="Times New Roman" w:hAnsi="Times New Roman" w:cs="Times New Roman"/>
          <w:color w:val="auto"/>
          <w:highlight w:val="none"/>
        </w:rPr>
        <w:t>水中有西藏高原鳅</w:t>
      </w:r>
      <w:r>
        <w:rPr>
          <w:rFonts w:hint="default" w:ascii="Times New Roman" w:hAnsi="Times New Roman" w:cs="Times New Roman"/>
          <w:color w:val="auto"/>
          <w:highlight w:val="none"/>
          <w:lang w:val="en-US" w:eastAsia="zh-CN"/>
        </w:rPr>
        <w:t>等鱼类</w:t>
      </w:r>
      <w:r>
        <w:rPr>
          <w:rFonts w:hint="default" w:ascii="Times New Roman" w:hAnsi="Times New Roman" w:cs="Times New Roman"/>
          <w:color w:val="auto"/>
          <w:highlight w:val="none"/>
        </w:rPr>
        <w:t>分布。当水体中悬浮物（SS）达到50mg/L以上，会造成鱼类昏迷甚至死亡。</w:t>
      </w:r>
      <w:r>
        <w:rPr>
          <w:rFonts w:hint="default" w:ascii="Times New Roman" w:hAnsi="Times New Roman" w:cs="Times New Roman"/>
          <w:color w:val="auto"/>
          <w:highlight w:val="none"/>
          <w:lang w:val="en-US" w:eastAsia="zh-CN"/>
        </w:rPr>
        <w:t>严格控制施工范围，严禁涉水施工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施工废水全部做到处理达标回用，不外排；雨季径流通过修建的沉砂池沉淀处理后方可进入沟渠，施工期对地表水水质不会明显恶化，对鱼类的影响不大。</w:t>
      </w:r>
    </w:p>
    <w:p w14:paraId="50D64871">
      <w:pPr>
        <w:pStyle w:val="72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规划实施后影响</w:t>
      </w:r>
    </w:p>
    <w:p w14:paraId="47A5F982">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景区对外开放后，对水生生态的影响因素为生活污水、游客垃圾等。</w:t>
      </w:r>
    </w:p>
    <w:p w14:paraId="4561BDA1">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景区运营后，游客住宿、服务接待产生部分生活污水和生活垃圾，</w:t>
      </w:r>
      <w:r>
        <w:rPr>
          <w:rFonts w:hint="default" w:ascii="Times New Roman" w:hAnsi="Times New Roman" w:cs="Times New Roman"/>
          <w:color w:val="auto"/>
          <w:kern w:val="0"/>
          <w:sz w:val="24"/>
          <w:highlight w:val="none"/>
        </w:rPr>
        <w:t>生活污水均经污水管网进入</w:t>
      </w:r>
      <w:r>
        <w:rPr>
          <w:rFonts w:hint="default" w:ascii="Times New Roman" w:hAnsi="Times New Roman" w:cs="Times New Roman"/>
          <w:color w:val="auto"/>
          <w:kern w:val="0"/>
          <w:sz w:val="24"/>
          <w:highlight w:val="none"/>
          <w:lang w:val="en-US" w:eastAsia="zh-CN"/>
        </w:rPr>
        <w:t>各一体化污水处理设施</w:t>
      </w:r>
      <w:r>
        <w:rPr>
          <w:rFonts w:hint="default" w:ascii="Times New Roman" w:hAnsi="Times New Roman" w:cs="Times New Roman"/>
          <w:color w:val="auto"/>
          <w:kern w:val="0"/>
          <w:sz w:val="24"/>
          <w:highlight w:val="none"/>
        </w:rPr>
        <w:t>处理</w:t>
      </w:r>
      <w:r>
        <w:rPr>
          <w:rFonts w:hint="default" w:ascii="Times New Roman" w:hAnsi="Times New Roman" w:cs="Times New Roman"/>
          <w:bCs/>
          <w:color w:val="auto"/>
          <w:kern w:val="0"/>
          <w:highlight w:val="none"/>
        </w:rPr>
        <w:t>，不会排入</w:t>
      </w:r>
      <w:r>
        <w:rPr>
          <w:rFonts w:hint="default" w:ascii="Times New Roman" w:hAnsi="Times New Roman" w:cs="Times New Roman"/>
          <w:color w:val="auto"/>
          <w:highlight w:val="none"/>
          <w:lang w:val="en-US" w:eastAsia="zh-CN"/>
        </w:rPr>
        <w:t>周边地表水体</w:t>
      </w:r>
      <w:r>
        <w:rPr>
          <w:rFonts w:hint="default" w:ascii="Times New Roman" w:hAnsi="Times New Roman" w:cs="Times New Roman"/>
          <w:color w:val="auto"/>
          <w:highlight w:val="none"/>
        </w:rPr>
        <w:t>，不会对</w:t>
      </w:r>
      <w:r>
        <w:rPr>
          <w:rFonts w:hint="default" w:ascii="Times New Roman" w:hAnsi="Times New Roman" w:cs="Times New Roman"/>
          <w:color w:val="auto"/>
          <w:highlight w:val="none"/>
          <w:lang w:eastAsia="zh-CN"/>
        </w:rPr>
        <w:t>帕隆藏布</w:t>
      </w:r>
      <w:r>
        <w:rPr>
          <w:rFonts w:hint="default" w:ascii="Times New Roman" w:hAnsi="Times New Roman" w:cs="Times New Roman"/>
          <w:color w:val="auto"/>
          <w:highlight w:val="none"/>
          <w:lang w:val="en-US" w:eastAsia="zh-CN"/>
        </w:rPr>
        <w:t>及其支流</w:t>
      </w:r>
      <w:r>
        <w:rPr>
          <w:rFonts w:hint="default" w:ascii="Times New Roman" w:hAnsi="Times New Roman" w:cs="Times New Roman"/>
          <w:color w:val="auto"/>
          <w:highlight w:val="none"/>
        </w:rPr>
        <w:t>内生存的鱼类产生影响。游客生活垃圾收集后转运至就近垃圾填埋场处置，禁止随意外弃，但是靠近</w:t>
      </w:r>
      <w:r>
        <w:rPr>
          <w:rFonts w:hint="default" w:ascii="Times New Roman" w:hAnsi="Times New Roman" w:cs="Times New Roman"/>
          <w:color w:val="auto"/>
          <w:highlight w:val="none"/>
          <w:lang w:val="en-US" w:eastAsia="zh-CN"/>
        </w:rPr>
        <w:t>地表水体</w:t>
      </w:r>
      <w:r>
        <w:rPr>
          <w:rFonts w:hint="default" w:ascii="Times New Roman" w:hAnsi="Times New Roman" w:cs="Times New Roman"/>
          <w:color w:val="auto"/>
          <w:highlight w:val="none"/>
        </w:rPr>
        <w:t>的区域应该作为重点关注区域，这些区域应加密布置垃圾桶，并加强游客文明游览的宣传教育，谨防生活垃圾随意抛洒进入</w:t>
      </w:r>
      <w:r>
        <w:rPr>
          <w:rFonts w:hint="default" w:ascii="Times New Roman" w:hAnsi="Times New Roman" w:cs="Times New Roman"/>
          <w:color w:val="auto"/>
          <w:highlight w:val="none"/>
          <w:lang w:val="en-US" w:eastAsia="zh-CN"/>
        </w:rPr>
        <w:t>地表水体</w:t>
      </w:r>
      <w:r>
        <w:rPr>
          <w:rFonts w:hint="default" w:ascii="Times New Roman" w:hAnsi="Times New Roman" w:cs="Times New Roman"/>
          <w:color w:val="auto"/>
          <w:highlight w:val="none"/>
        </w:rPr>
        <w:t>内。</w:t>
      </w:r>
    </w:p>
    <w:p w14:paraId="51B4955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水土流失影响</w:t>
      </w:r>
    </w:p>
    <w:p w14:paraId="17D11760">
      <w:pPr>
        <w:pStyle w:val="720"/>
        <w:ind w:firstLine="482"/>
        <w:rPr>
          <w:rFonts w:hint="default" w:ascii="Times New Roman" w:hAnsi="Times New Roman" w:cs="Times New Roman"/>
          <w:b/>
          <w:bCs/>
          <w:color w:val="auto"/>
          <w:highlight w:val="none"/>
          <w:lang w:val="zh-CN"/>
        </w:rPr>
      </w:pPr>
      <w:r>
        <w:rPr>
          <w:rFonts w:hint="default" w:ascii="Times New Roman" w:hAnsi="Times New Roman" w:cs="Times New Roman"/>
          <w:b/>
          <w:bCs/>
          <w:color w:val="auto"/>
          <w:highlight w:val="none"/>
          <w:lang w:val="zh-CN"/>
        </w:rPr>
        <w:t>施工期影响</w:t>
      </w:r>
    </w:p>
    <w:p w14:paraId="4B7A7446">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造成水土流失的原因，一是自然因素，如地形地貌、降水、植被等，二是人为因素，如工程建设致使地表土层松动，扰乱地表径流系统，造成地表土壤抗蚀性、抗冲性迅速降低，破坏原地貌的水土保持功能，移动大量的岩石主体，工程施工过程中产生的固体废弃物为水土流失提供了丰富的松散堆积物质源，将导致施工现场产生水土流失。</w:t>
      </w:r>
    </w:p>
    <w:p w14:paraId="33CB7653">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规划占地主要为</w:t>
      </w:r>
      <w:r>
        <w:rPr>
          <w:rFonts w:hint="default" w:ascii="Times New Roman" w:hAnsi="Times New Roman" w:cs="Times New Roman"/>
          <w:color w:val="auto"/>
          <w:highlight w:val="none"/>
          <w:lang w:val="en-US" w:eastAsia="zh-CN"/>
        </w:rPr>
        <w:t>乔木林地</w:t>
      </w:r>
      <w:r>
        <w:rPr>
          <w:rFonts w:hint="default" w:ascii="Times New Roman" w:hAnsi="Times New Roman" w:cs="Times New Roman"/>
          <w:color w:val="auto"/>
          <w:highlight w:val="none"/>
        </w:rPr>
        <w:t>，通过对规划区进行绿化后可有效降低</w:t>
      </w:r>
      <w:r>
        <w:rPr>
          <w:rFonts w:hint="default" w:ascii="Times New Roman" w:hAnsi="Times New Roman" w:cs="Times New Roman"/>
          <w:color w:val="auto"/>
          <w:highlight w:val="none"/>
          <w:lang w:val="en-US" w:eastAsia="zh-CN"/>
        </w:rPr>
        <w:t>少量植被覆盖度较低的灌木林地</w:t>
      </w:r>
      <w:r>
        <w:rPr>
          <w:rFonts w:hint="default" w:ascii="Times New Roman" w:hAnsi="Times New Roman" w:cs="Times New Roman"/>
          <w:color w:val="auto"/>
          <w:highlight w:val="none"/>
        </w:rPr>
        <w:t>减少而造成的水土流失量。施工期间产生的弃土石渣如果不及时采取处理措施，也会成为水土流失因素。施工中将采取严格的水土保持措施，如修建截排水沟、沉砂池、表面覆盖、植树种草等，具体按项目水保方案实施，将水土流失影响降到最低。</w:t>
      </w:r>
    </w:p>
    <w:p w14:paraId="1F872047">
      <w:pPr>
        <w:pStyle w:val="72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规划实施后影响</w:t>
      </w:r>
    </w:p>
    <w:p w14:paraId="1DEDFA45">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规划实施后区域内</w:t>
      </w:r>
      <w:r>
        <w:rPr>
          <w:rFonts w:hint="default" w:ascii="Times New Roman" w:hAnsi="Times New Roman" w:cs="Times New Roman"/>
          <w:color w:val="auto"/>
          <w:szCs w:val="21"/>
          <w:highlight w:val="none"/>
        </w:rPr>
        <w:t>仅</w:t>
      </w:r>
      <w:r>
        <w:rPr>
          <w:rFonts w:hint="default" w:ascii="Times New Roman" w:hAnsi="Times New Roman" w:cs="Times New Roman"/>
          <w:color w:val="auto"/>
          <w:szCs w:val="21"/>
          <w:highlight w:val="none"/>
          <w:lang w:val="en-US" w:eastAsia="zh-CN"/>
        </w:rPr>
        <w:t>1.12hm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灌木林地会变更为0.26hm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商业用地、0.62hm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eastAsia="宋体" w:cs="Times New Roman"/>
          <w:color w:val="auto"/>
          <w:kern w:val="0"/>
          <w:szCs w:val="21"/>
          <w:highlight w:val="none"/>
        </w:rPr>
        <w:t>交通场站用地</w:t>
      </w:r>
      <w:r>
        <w:rPr>
          <w:rFonts w:hint="default" w:ascii="Times New Roman" w:hAnsi="Times New Roman" w:eastAsia="宋体" w:cs="Times New Roman"/>
          <w:color w:val="auto"/>
          <w:kern w:val="0"/>
          <w:szCs w:val="21"/>
          <w:highlight w:val="none"/>
          <w:lang w:val="en-US" w:eastAsia="zh-CN"/>
        </w:rPr>
        <w:t>和0.24</w:t>
      </w:r>
      <w:r>
        <w:rPr>
          <w:rFonts w:hint="default" w:ascii="Times New Roman" w:hAnsi="Times New Roman" w:cs="Times New Roman"/>
          <w:color w:val="auto"/>
          <w:szCs w:val="21"/>
          <w:highlight w:val="none"/>
          <w:lang w:val="en-US" w:eastAsia="zh-CN"/>
        </w:rPr>
        <w:t>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eastAsia="宋体" w:cs="Times New Roman"/>
          <w:color w:val="auto"/>
          <w:kern w:val="0"/>
          <w:szCs w:val="21"/>
          <w:highlight w:val="none"/>
          <w:lang w:val="en-US" w:eastAsia="zh-CN"/>
        </w:rPr>
        <w:t>防护绿地</w:t>
      </w:r>
      <w:r>
        <w:rPr>
          <w:rFonts w:hint="default" w:ascii="Times New Roman" w:hAnsi="Times New Roman" w:cs="Times New Roman"/>
          <w:color w:val="auto"/>
          <w:highlight w:val="none"/>
        </w:rPr>
        <w:t>，但增加规划区绿化，对规划区水土流失情况有一定改善作用。</w:t>
      </w:r>
    </w:p>
    <w:p w14:paraId="4DA6DE9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对生态系统的影响</w:t>
      </w:r>
    </w:p>
    <w:p w14:paraId="15B52EAE">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1、对生态系统稳定性的影响</w:t>
      </w:r>
    </w:p>
    <w:p w14:paraId="62CC800F">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自然系统的恢复稳定性，是根据植被净生产力的多少度量的。旅游规划的实施，部分</w:t>
      </w:r>
      <w:r>
        <w:rPr>
          <w:rFonts w:hint="default" w:ascii="Times New Roman" w:hAnsi="Times New Roman" w:cs="Times New Roman"/>
          <w:color w:val="auto"/>
          <w:szCs w:val="21"/>
          <w:highlight w:val="none"/>
          <w:lang w:val="en-US" w:eastAsia="zh-CN"/>
        </w:rPr>
        <w:t>灌木林地</w:t>
      </w:r>
      <w:r>
        <w:rPr>
          <w:rFonts w:hint="default" w:ascii="Times New Roman" w:hAnsi="Times New Roman" w:cs="Times New Roman"/>
          <w:color w:val="auto"/>
          <w:highlight w:val="none"/>
        </w:rPr>
        <w:t>变更为</w:t>
      </w:r>
      <w:r>
        <w:rPr>
          <w:rFonts w:hint="default" w:ascii="Times New Roman" w:hAnsi="Times New Roman" w:cs="Times New Roman"/>
          <w:color w:val="auto"/>
          <w:szCs w:val="21"/>
          <w:highlight w:val="none"/>
          <w:lang w:val="en-US" w:eastAsia="zh-CN"/>
        </w:rPr>
        <w:t>商业用地、</w:t>
      </w:r>
      <w:r>
        <w:rPr>
          <w:rFonts w:hint="default" w:ascii="Times New Roman" w:hAnsi="Times New Roman" w:eastAsia="宋体" w:cs="Times New Roman"/>
          <w:color w:val="auto"/>
          <w:kern w:val="0"/>
          <w:szCs w:val="21"/>
          <w:highlight w:val="none"/>
        </w:rPr>
        <w:t>交通场站用地</w:t>
      </w:r>
      <w:r>
        <w:rPr>
          <w:rFonts w:hint="default" w:ascii="Times New Roman" w:hAnsi="Times New Roman" w:eastAsia="宋体" w:cs="Times New Roman"/>
          <w:color w:val="auto"/>
          <w:kern w:val="0"/>
          <w:szCs w:val="21"/>
          <w:highlight w:val="none"/>
          <w:lang w:val="en-US" w:eastAsia="zh-CN"/>
        </w:rPr>
        <w:t>和防护绿地</w:t>
      </w:r>
      <w:r>
        <w:rPr>
          <w:rFonts w:hint="default" w:ascii="Times New Roman" w:hAnsi="Times New Roman" w:cs="Times New Roman"/>
          <w:color w:val="auto"/>
          <w:highlight w:val="none"/>
        </w:rPr>
        <w:t>，但通过对规划区整体进行绿化后可有效增加规划区生物量，提高植被净生产力，有利于提高规划区自然系统稳定性。</w:t>
      </w:r>
    </w:p>
    <w:p w14:paraId="5A5997CA">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2、对生态系统结构的影响</w:t>
      </w:r>
    </w:p>
    <w:p w14:paraId="3A210024">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建设用地对植被破坏较少，总体对各旅游区生态系统的形态结构影响较小。通过对生态敏感区进行空间管控、环境准入，控制旅游开发建设的强度。同时对建设用地选址进行优化以及采取相应生态保护与修复措施后，对各旅游区的生态系统结构影响可控制在可接受范围内，对整个规划区的生态系统结构不会产生明显的不利影响。</w:t>
      </w:r>
    </w:p>
    <w:p w14:paraId="1F0F442A">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3、对生态系统功能影响</w:t>
      </w:r>
    </w:p>
    <w:p w14:paraId="27B6C5FE">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本次规划对植被破坏和水土流失影响有限。本次规划中不会对生态功能区造成分割，影响部分区域的生态完整性，对占地范围内的生态系统造成的影响较小，对其水土保持生态功能影响较小，不会造成区域生态功能的整体退化。</w:t>
      </w:r>
    </w:p>
    <w:p w14:paraId="2636169E">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对</w:t>
      </w:r>
      <w:r>
        <w:rPr>
          <w:rFonts w:hint="default" w:ascii="Times New Roman" w:hAnsi="Times New Roman" w:cs="Times New Roman"/>
          <w:color w:val="auto"/>
          <w:highlight w:val="none"/>
          <w:lang w:eastAsia="zh-CN"/>
        </w:rPr>
        <w:t>雅鲁藏布大峡谷国家级自然保护区、西藏嘎朗国家湿地公园、生态保护红线</w:t>
      </w:r>
      <w:r>
        <w:rPr>
          <w:rFonts w:hint="default" w:ascii="Times New Roman" w:hAnsi="Times New Roman" w:cs="Times New Roman"/>
          <w:color w:val="auto"/>
          <w:highlight w:val="none"/>
        </w:rPr>
        <w:t>的影响</w:t>
      </w:r>
    </w:p>
    <w:p w14:paraId="1799A256">
      <w:pPr>
        <w:spacing w:line="360" w:lineRule="auto"/>
        <w:ind w:firstLine="480" w:firstLineChars="200"/>
        <w:rPr>
          <w:rFonts w:hint="default" w:ascii="Times New Roman" w:hAnsi="Times New Roman" w:cs="Times New Roman" w:eastAsiaTheme="minorEastAsia"/>
          <w:color w:val="auto"/>
          <w:sz w:val="24"/>
          <w:highlight w:val="none"/>
          <w:lang w:eastAsia="zh-CN"/>
        </w:rPr>
      </w:pPr>
      <w:r>
        <w:rPr>
          <w:rFonts w:hint="default" w:ascii="Times New Roman" w:hAnsi="Times New Roman" w:cs="Times New Roman" w:eastAsiaTheme="minorEastAsia"/>
          <w:color w:val="auto"/>
          <w:sz w:val="24"/>
          <w:highlight w:val="none"/>
        </w:rPr>
        <w:t>规划区</w:t>
      </w:r>
      <w:r>
        <w:rPr>
          <w:rFonts w:hint="default" w:ascii="Times New Roman" w:hAnsi="Times New Roman" w:cs="Times New Roman" w:eastAsiaTheme="minorEastAsia"/>
          <w:color w:val="auto"/>
          <w:sz w:val="24"/>
          <w:highlight w:val="none"/>
          <w:lang w:val="en-US" w:eastAsia="zh-CN"/>
        </w:rPr>
        <w:t>部分</w:t>
      </w:r>
      <w:r>
        <w:rPr>
          <w:rFonts w:hint="default" w:ascii="Times New Roman" w:hAnsi="Times New Roman" w:cs="Times New Roman" w:eastAsiaTheme="minorEastAsia"/>
          <w:color w:val="auto"/>
          <w:sz w:val="24"/>
          <w:highlight w:val="none"/>
        </w:rPr>
        <w:t>位于</w:t>
      </w:r>
      <w:r>
        <w:rPr>
          <w:rFonts w:hint="default" w:ascii="Times New Roman" w:hAnsi="Times New Roman" w:cs="Times New Roman" w:eastAsiaTheme="minorEastAsia"/>
          <w:color w:val="auto"/>
          <w:sz w:val="24"/>
          <w:highlight w:val="none"/>
          <w:lang w:eastAsia="zh-CN"/>
        </w:rPr>
        <w:t>雅鲁藏布大峡谷国家级自然保护区（</w:t>
      </w:r>
      <w:r>
        <w:rPr>
          <w:rFonts w:hint="default" w:ascii="Times New Roman" w:hAnsi="Times New Roman" w:cs="Times New Roman" w:eastAsiaTheme="minorEastAsia"/>
          <w:color w:val="auto"/>
          <w:sz w:val="24"/>
          <w:highlight w:val="none"/>
          <w:lang w:val="en-US" w:eastAsia="zh-CN"/>
        </w:rPr>
        <w:t>试验区</w:t>
      </w:r>
      <w:r>
        <w:rPr>
          <w:rFonts w:hint="default" w:ascii="Times New Roman" w:hAnsi="Times New Roman" w:cs="Times New Roman" w:eastAsiaTheme="minorEastAsia"/>
          <w:color w:val="auto"/>
          <w:sz w:val="24"/>
          <w:highlight w:val="none"/>
          <w:lang w:eastAsia="zh-CN"/>
        </w:rPr>
        <w:t>）、西藏嘎朗国家湿地公园（湿地体验区、湿地功能展示区）、生态保护红线</w:t>
      </w:r>
      <w:r>
        <w:rPr>
          <w:rFonts w:hint="default" w:ascii="Times New Roman" w:hAnsi="Times New Roman" w:cs="Times New Roman" w:eastAsiaTheme="minorEastAsia"/>
          <w:color w:val="auto"/>
          <w:sz w:val="24"/>
          <w:highlight w:val="none"/>
        </w:rPr>
        <w:t>内</w:t>
      </w:r>
      <w:r>
        <w:rPr>
          <w:rFonts w:hint="default" w:ascii="Times New Roman" w:hAnsi="Times New Roman" w:cs="Times New Roman" w:eastAsiaTheme="minorEastAsia"/>
          <w:color w:val="auto"/>
          <w:sz w:val="24"/>
          <w:highlight w:val="none"/>
          <w:lang w:eastAsia="zh-CN"/>
        </w:rPr>
        <w:t>。</w:t>
      </w:r>
    </w:p>
    <w:p w14:paraId="1F33A83D">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规划严格落实《中华人民共和国自然保护区条例（2017年修订）》《在国家级自然保护区修筑设施审批管理暂行办法》《关于进一步加强涉及自然保护区开发建设活动监督管理的通知》《关于做好自然保护区范围及功能分区优化调整前期有关工作的函》《西藏自治区实施〈中华人民共和国自然保护区条例〉办法》等相关要求。生态保护红线内的生态功能区严格按照《关于在国土空间规划中统筹划定落实三条控制线的指导意见》等相关要求管理。红线之外的区域，严格按照《自然生态空间用途管制办法（试行）》等相关要求管理。规划要求在进行各类建设开发活动前，加强对生物多样性影响的评估，</w:t>
      </w:r>
      <w:r>
        <w:rPr>
          <w:rFonts w:hint="default" w:ascii="Times New Roman" w:hAnsi="Times New Roman" w:cs="Times New Roman" w:eastAsiaTheme="minorEastAsia"/>
          <w:color w:val="auto"/>
          <w:sz w:val="24"/>
          <w:highlight w:val="none"/>
          <w:lang w:val="en-US" w:eastAsia="zh-CN"/>
        </w:rPr>
        <w:t>规划实施不会</w:t>
      </w:r>
      <w:r>
        <w:rPr>
          <w:rFonts w:hint="default" w:ascii="Times New Roman" w:hAnsi="Times New Roman" w:cs="Times New Roman" w:eastAsiaTheme="minorEastAsia"/>
          <w:color w:val="auto"/>
          <w:sz w:val="24"/>
          <w:highlight w:val="none"/>
        </w:rPr>
        <w:t>破坏珍稀野生动植物的重要栖息地，不</w:t>
      </w:r>
      <w:r>
        <w:rPr>
          <w:rFonts w:hint="default" w:ascii="Times New Roman" w:hAnsi="Times New Roman" w:cs="Times New Roman" w:eastAsiaTheme="minorEastAsia"/>
          <w:color w:val="auto"/>
          <w:sz w:val="24"/>
          <w:highlight w:val="none"/>
          <w:lang w:val="en-US" w:eastAsia="zh-CN"/>
        </w:rPr>
        <w:t>会</w:t>
      </w:r>
      <w:r>
        <w:rPr>
          <w:rFonts w:hint="default" w:ascii="Times New Roman" w:hAnsi="Times New Roman" w:cs="Times New Roman" w:eastAsiaTheme="minorEastAsia"/>
          <w:color w:val="auto"/>
          <w:sz w:val="24"/>
          <w:highlight w:val="none"/>
        </w:rPr>
        <w:t>阻隔野生动物的迁徙道路。</w:t>
      </w:r>
    </w:p>
    <w:p w14:paraId="70C532C5">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西藏嘎朗国家湿地公园划定了湿地体验区、湿地保育区、湿地功能展示区、管理服务区，本规划涉及湿地体验区、湿地功能展示区，属于合理利用区，本规划为以“生态保护为核、高铁机遇为引、森林康养为本、两村联动为基”，立足“中国十大最美森林”生态本底，打造集生态观光、森林康养、户外运动、自然研学、民俗休闲于一体的综合性旅游景区，属于不损害湿地生态系统功能的生态体验及管理服务等活动。</w:t>
      </w:r>
    </w:p>
    <w:p w14:paraId="366EA824">
      <w:pPr>
        <w:spacing w:line="360" w:lineRule="auto"/>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eastAsiaTheme="minorEastAsia"/>
          <w:color w:val="auto"/>
          <w:sz w:val="24"/>
          <w:highlight w:val="none"/>
          <w:lang w:val="en-US" w:eastAsia="zh-CN"/>
        </w:rPr>
        <w:t>规划区</w:t>
      </w:r>
      <w:r>
        <w:rPr>
          <w:rFonts w:hint="default" w:ascii="Times New Roman" w:hAnsi="Times New Roman" w:cs="Times New Roman" w:eastAsiaTheme="minorEastAsia"/>
          <w:color w:val="auto"/>
          <w:sz w:val="24"/>
          <w:highlight w:val="none"/>
        </w:rPr>
        <w:t>需</w:t>
      </w:r>
      <w:r>
        <w:rPr>
          <w:rFonts w:hint="default" w:ascii="Times New Roman" w:hAnsi="Times New Roman" w:cs="Times New Roman"/>
          <w:bCs/>
          <w:color w:val="auto"/>
          <w:sz w:val="24"/>
          <w:szCs w:val="20"/>
          <w:highlight w:val="none"/>
        </w:rPr>
        <w:t>严格保护</w:t>
      </w:r>
      <w:r>
        <w:rPr>
          <w:rFonts w:hint="default" w:ascii="Times New Roman" w:hAnsi="Times New Roman" w:cs="Times New Roman"/>
          <w:bCs/>
          <w:color w:val="auto"/>
          <w:sz w:val="24"/>
          <w:szCs w:val="20"/>
          <w:highlight w:val="none"/>
          <w:lang w:val="en-US" w:eastAsia="zh-CN"/>
        </w:rPr>
        <w:t>自然</w:t>
      </w:r>
      <w:r>
        <w:rPr>
          <w:rFonts w:hint="default" w:ascii="Times New Roman" w:hAnsi="Times New Roman" w:cs="Times New Roman"/>
          <w:bCs/>
          <w:color w:val="auto"/>
          <w:sz w:val="24"/>
          <w:szCs w:val="20"/>
          <w:highlight w:val="none"/>
        </w:rPr>
        <w:t>资源及其周边环境。允许开展游览活动，但须管控游客行为，避免破坏自然和文化资源。除与</w:t>
      </w:r>
      <w:r>
        <w:rPr>
          <w:rFonts w:hint="default" w:ascii="Times New Roman" w:hAnsi="Times New Roman" w:cs="Times New Roman"/>
          <w:bCs/>
          <w:color w:val="auto"/>
          <w:sz w:val="24"/>
          <w:szCs w:val="20"/>
          <w:highlight w:val="none"/>
          <w:lang w:val="en-US" w:eastAsia="zh-CN"/>
        </w:rPr>
        <w:t>自然资源</w:t>
      </w:r>
      <w:r>
        <w:rPr>
          <w:rFonts w:hint="default" w:ascii="Times New Roman" w:hAnsi="Times New Roman" w:cs="Times New Roman"/>
          <w:bCs/>
          <w:color w:val="auto"/>
          <w:sz w:val="24"/>
          <w:szCs w:val="20"/>
          <w:highlight w:val="none"/>
        </w:rPr>
        <w:t>保护和游览相关的必需设施外，严格限制其他各类建设与活动。</w:t>
      </w:r>
      <w:r>
        <w:rPr>
          <w:rFonts w:hint="default" w:ascii="Times New Roman" w:hAnsi="Times New Roman" w:cs="Times New Roman" w:eastAsiaTheme="minorEastAsia"/>
          <w:color w:val="auto"/>
          <w:sz w:val="24"/>
          <w:highlight w:val="none"/>
        </w:rPr>
        <w:t>施工期，严格控制作业范围，禁止越界施工，同时加强施工期扬尘及水土流失防治，严格保护</w:t>
      </w:r>
      <w:r>
        <w:rPr>
          <w:rFonts w:hint="default" w:ascii="Times New Roman" w:hAnsi="Times New Roman" w:cs="Times New Roman" w:eastAsiaTheme="minorEastAsia"/>
          <w:color w:val="auto"/>
          <w:sz w:val="24"/>
          <w:highlight w:val="none"/>
          <w:lang w:val="en-US" w:eastAsia="zh-CN"/>
        </w:rPr>
        <w:t>自然</w:t>
      </w:r>
      <w:r>
        <w:rPr>
          <w:rFonts w:hint="default" w:ascii="Times New Roman" w:hAnsi="Times New Roman" w:cs="Times New Roman" w:eastAsiaTheme="minorEastAsia"/>
          <w:color w:val="auto"/>
          <w:sz w:val="24"/>
          <w:highlight w:val="none"/>
        </w:rPr>
        <w:t>资源及其周边环境；规划实施后，严格</w:t>
      </w:r>
      <w:r>
        <w:rPr>
          <w:rFonts w:hint="default" w:ascii="Times New Roman" w:hAnsi="Times New Roman" w:cs="Times New Roman"/>
          <w:bCs/>
          <w:color w:val="auto"/>
          <w:sz w:val="24"/>
          <w:szCs w:val="20"/>
          <w:highlight w:val="none"/>
        </w:rPr>
        <w:t>管控游客行为，避免破坏自然和文化资源；除与</w:t>
      </w:r>
      <w:r>
        <w:rPr>
          <w:rFonts w:hint="default" w:ascii="Times New Roman" w:hAnsi="Times New Roman" w:cs="Times New Roman"/>
          <w:bCs/>
          <w:color w:val="auto"/>
          <w:sz w:val="24"/>
          <w:szCs w:val="20"/>
          <w:highlight w:val="none"/>
          <w:lang w:val="en-US" w:eastAsia="zh-CN"/>
        </w:rPr>
        <w:t>自然资源</w:t>
      </w:r>
      <w:r>
        <w:rPr>
          <w:rFonts w:hint="default" w:ascii="Times New Roman" w:hAnsi="Times New Roman" w:cs="Times New Roman"/>
          <w:bCs/>
          <w:color w:val="auto"/>
          <w:sz w:val="24"/>
          <w:szCs w:val="20"/>
          <w:highlight w:val="none"/>
        </w:rPr>
        <w:t>保护和游览相关的必需设施外，严格限制了其他各类建设与活动。</w:t>
      </w:r>
      <w:r>
        <w:rPr>
          <w:rFonts w:hint="default" w:ascii="Times New Roman" w:hAnsi="Times New Roman" w:cs="Times New Roman" w:eastAsiaTheme="minorEastAsia"/>
          <w:color w:val="auto"/>
          <w:sz w:val="24"/>
          <w:highlight w:val="none"/>
        </w:rPr>
        <w:t>采取上述措施后对其环境影响较小。</w:t>
      </w:r>
    </w:p>
    <w:p w14:paraId="66474CF1">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小结</w:t>
      </w:r>
    </w:p>
    <w:p w14:paraId="585FA406">
      <w:pPr>
        <w:pStyle w:val="720"/>
        <w:rPr>
          <w:rFonts w:hint="default" w:ascii="Times New Roman" w:hAnsi="Times New Roman" w:cs="Times New Roman"/>
          <w:color w:val="auto"/>
          <w:highlight w:val="none"/>
        </w:rPr>
      </w:pPr>
      <w:bookmarkStart w:id="162" w:name="_Hlk140153278"/>
      <w:r>
        <w:rPr>
          <w:rFonts w:hint="default" w:ascii="Times New Roman" w:hAnsi="Times New Roman" w:cs="Times New Roman"/>
          <w:color w:val="auto"/>
          <w:highlight w:val="none"/>
        </w:rPr>
        <w:t>本次规划建设内容占地主要为</w:t>
      </w:r>
      <w:r>
        <w:rPr>
          <w:rFonts w:hint="default" w:ascii="Times New Roman" w:hAnsi="Times New Roman" w:cs="Times New Roman"/>
          <w:color w:val="auto"/>
          <w:highlight w:val="none"/>
          <w:lang w:val="en-US" w:eastAsia="zh-CN"/>
        </w:rPr>
        <w:t>植被覆盖度较低的灌木林地</w:t>
      </w:r>
      <w:r>
        <w:rPr>
          <w:rFonts w:hint="default" w:ascii="Times New Roman" w:hAnsi="Times New Roman" w:cs="Times New Roman"/>
          <w:color w:val="auto"/>
          <w:highlight w:val="none"/>
        </w:rPr>
        <w:t>，但随着规划的实施与绿化工程的落地，施工期工程行为不会造成规划区内生态系统、植被和动植物资源发生明显变化，对规划区生物多样性的影响极小，不会对区域生态系统的稳定性产生影响，对</w:t>
      </w:r>
      <w:r>
        <w:rPr>
          <w:rFonts w:hint="default" w:ascii="Times New Roman" w:hAnsi="Times New Roman" w:cs="Times New Roman"/>
          <w:color w:val="auto"/>
          <w:highlight w:val="none"/>
          <w:lang w:eastAsia="zh-CN"/>
        </w:rPr>
        <w:t>雅鲁藏布大峡谷国家级自然保护区、西藏嘎朗国家湿地公园、生态保护红线</w:t>
      </w:r>
      <w:r>
        <w:rPr>
          <w:rFonts w:hint="default" w:ascii="Times New Roman" w:hAnsi="Times New Roman" w:cs="Times New Roman"/>
          <w:color w:val="auto"/>
          <w:highlight w:val="none"/>
        </w:rPr>
        <w:t>影响较小。旅游活动性质为生态旅游，通过严格管理，合理控制旅游区游客数量，规划的实施不会对规划区生态系统结构和功能、土地利用格局等产生实质性的影响。</w:t>
      </w:r>
      <w:bookmarkEnd w:id="162"/>
    </w:p>
    <w:p w14:paraId="6824584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社会经济影响分析</w:t>
      </w:r>
    </w:p>
    <w:p w14:paraId="555BEE1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（1）对人群健康的影响分析</w:t>
      </w:r>
    </w:p>
    <w:p w14:paraId="42CAC99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规划的建设对人群健康的不利影响主要是因为人口的流动造成一些传染性疾病的传播。人口流动包括建设期施工人员及运营期的外来投资者、就业者及游客。</w:t>
      </w:r>
    </w:p>
    <w:p w14:paraId="78A3A34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在建设期，施工人员的饮用水供应、吃饭、住宿等条件较简陋，施工人群流动性较大，人群健康状况对疾病的抵抗力不一样，易导致一些消化道、呼吸道传染病在工地上流行，也容易导致当地地方病发生携带感染。因此需对施工人员定期进行身体检查，保持施工场地的卫生，施工营地的通风，保证饮水安全。</w:t>
      </w:r>
    </w:p>
    <w:p w14:paraId="38BADDD0">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在运营期，外来投资者、就业者及游客来自区外，流动性大，病原种类多样性，这些人群的病原体携带状况与食宿条件密切相关，同时，病原体在环境中传播途径很多，一旦抵抗力下降，使人群患病的可能性偏高。需要做好景区内的清洁工作，做好突发疾病的预防等工作。</w:t>
      </w:r>
    </w:p>
    <w:p w14:paraId="73DC4F4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在做好相应的防范措施条件下，规划实施不会对人群健康造成明显的不利影响；规划项目建成后，在带动地区经济发展的同时，将会提高当地居民的生活、文化水平，改善并增加人们预防和治疗疾病的意识和物质条件，对人群健康的保护是有利的。</w:t>
      </w:r>
    </w:p>
    <w:p w14:paraId="65DB1589">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（2）对区域居民生活质量的影响分析</w:t>
      </w:r>
    </w:p>
    <w:p w14:paraId="20D61D96">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lang w:eastAsia="zh-CN"/>
        </w:rPr>
        <w:t>岗云杉林景区</w:t>
      </w:r>
      <w:r>
        <w:rPr>
          <w:rFonts w:hint="default" w:ascii="Times New Roman" w:hAnsi="Times New Roman" w:cs="Times New Roman"/>
          <w:color w:val="auto"/>
          <w:spacing w:val="0"/>
          <w:kern w:val="24"/>
          <w:highlight w:val="none"/>
        </w:rPr>
        <w:t>的营运将提高周边民众生活质量，增加就业机会；同时给区域带来巨大的间接效益，对当地招商引资开发会带来良好影响，因此，其对当地经济发展和提高人民生活质量的效应是非常好的。</w:t>
      </w:r>
    </w:p>
    <w:p w14:paraId="5139BDC9">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（3）对当地旅游及经济发展的影响分析</w:t>
      </w:r>
    </w:p>
    <w:p w14:paraId="2F32AE00">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lang w:eastAsia="zh-CN"/>
        </w:rPr>
        <w:t>岗云杉林景区</w:t>
      </w:r>
      <w:r>
        <w:rPr>
          <w:rFonts w:hint="default" w:ascii="Times New Roman" w:hAnsi="Times New Roman" w:cs="Times New Roman"/>
          <w:color w:val="auto"/>
          <w:spacing w:val="0"/>
          <w:kern w:val="24"/>
          <w:highlight w:val="none"/>
        </w:rPr>
        <w:t>的产业发展以第三产业为主，其中，观光游览、科普教育、度假休闲等是其发展的核心产业内容。研究表明，在我国旅游收入每增加1元，可带动第三产业相应增加10.7元，旅游业的发展对相关产业的同步发展产生了相互拉动的作用。</w:t>
      </w:r>
      <w:r>
        <w:rPr>
          <w:rFonts w:hint="default" w:ascii="Times New Roman" w:hAnsi="Times New Roman" w:cs="Times New Roman"/>
          <w:color w:val="auto"/>
          <w:spacing w:val="0"/>
          <w:kern w:val="24"/>
          <w:highlight w:val="none"/>
          <w:lang w:eastAsia="zh-CN"/>
        </w:rPr>
        <w:t>岗云杉林景区</w:t>
      </w:r>
      <w:r>
        <w:rPr>
          <w:rFonts w:hint="default" w:ascii="Times New Roman" w:hAnsi="Times New Roman" w:cs="Times New Roman"/>
          <w:color w:val="auto"/>
          <w:spacing w:val="0"/>
          <w:kern w:val="24"/>
          <w:highlight w:val="none"/>
        </w:rPr>
        <w:t>的建设和运营，能够承载更高端的旅游服务接待功能，深入挖掘生态、文化、旅游产业中的特色增长潜力，形成新的经济增长源泉，助力于</w:t>
      </w:r>
      <w:r>
        <w:rPr>
          <w:rFonts w:hint="default" w:ascii="Times New Roman" w:hAnsi="Times New Roman" w:cs="Times New Roman"/>
          <w:color w:val="auto"/>
          <w:spacing w:val="0"/>
          <w:kern w:val="24"/>
          <w:highlight w:val="none"/>
          <w:lang w:eastAsia="zh-CN"/>
        </w:rPr>
        <w:t>波密县</w:t>
      </w:r>
      <w:r>
        <w:rPr>
          <w:rFonts w:hint="default" w:ascii="Times New Roman" w:hAnsi="Times New Roman" w:cs="Times New Roman"/>
          <w:color w:val="auto"/>
          <w:spacing w:val="0"/>
          <w:kern w:val="24"/>
          <w:highlight w:val="none"/>
        </w:rPr>
        <w:t>经济的可持续增长和跨越式发展。</w:t>
      </w:r>
    </w:p>
    <w:p w14:paraId="4649F1A5">
      <w:pPr>
        <w:pStyle w:val="3"/>
        <w:spacing w:before="156" w:after="156"/>
        <w:rPr>
          <w:rFonts w:hint="default" w:ascii="Times New Roman" w:hAnsi="Times New Roman" w:cs="Times New Roman"/>
          <w:color w:val="auto"/>
          <w:highlight w:val="none"/>
        </w:rPr>
      </w:pPr>
      <w:bookmarkStart w:id="163" w:name="_Toc8165"/>
      <w:r>
        <w:rPr>
          <w:rFonts w:hint="default" w:ascii="Times New Roman" w:hAnsi="Times New Roman" w:cs="Times New Roman"/>
          <w:color w:val="auto"/>
          <w:highlight w:val="none"/>
        </w:rPr>
        <w:t>环境风险评价</w:t>
      </w:r>
      <w:bookmarkEnd w:id="163"/>
    </w:p>
    <w:p w14:paraId="1DC810E6">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环境风险评价的目的是分析和预测规划区建设存在的潜在危险，对规划区建设和运营期间发生的突发性事件，所造成的人身安全与环境影响，提出合理可行的防范、应急措施，以使事故率、损失达到可接受水平。本评价将对本规划实施过程中可能发生的潜在危险进行分析，以找出主要危险环节，认识危险程度，从而针对性地采取预防和应急措施，尽可能将风险可能性和危害程度降至最低。本次规划环评环境风险评价主要采用类比分析的方法进行。</w:t>
      </w:r>
    </w:p>
    <w:p w14:paraId="1F3D05BF">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环境风险识别</w:t>
      </w:r>
    </w:p>
    <w:p w14:paraId="03124117">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随着规划的实施，景区宣传力度的增大，景区人数的不断增加，环境风险出现概率及风险发生的破坏程度也随之不断增大。结合岗云杉林景区的实际情况和旅游的生态环境影响特征，本次评价将生态旅游景区的环境风险源归纳为以下几类：</w:t>
      </w:r>
    </w:p>
    <w:p w14:paraId="6E57B484">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（1）旅游人数超过环境容量</w:t>
      </w:r>
    </w:p>
    <w:p w14:paraId="35B52FC1">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游客是旅游景区的主体，当其人数超过景区环境所能承受的临界量时将会对景区的环境造成不利影响或危害，构成威胁景区自身发展的重要风险源。该风险源通过严格的管理手段可以得到纠正和改善。</w:t>
      </w:r>
    </w:p>
    <w:p w14:paraId="02F5DD01">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（2）旅游资源开发破坏</w:t>
      </w:r>
    </w:p>
    <w:p w14:paraId="2D2C1355">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旅游资源开发建设引起的生态破坏是景区生态风险源之一，将旅游资源转化成旅游产品需要经过人工的开发和建设，会造成一定程度的破坏。同时在旅游产品建设过程中直接或者间接的引进外来物种，对景区生态系统造成一定的危害。通过采取各种保护措施，尽量减小盲目粗暴开发所引起的负面生态环境效应。</w:t>
      </w:r>
    </w:p>
    <w:p w14:paraId="0EEE5E8E">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（3）游客和经营者的不当行为</w:t>
      </w:r>
    </w:p>
    <w:p w14:paraId="69AE1A51">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在旅游活动进行过程中，游客自身以及管理规程中各种不当的行为对景区生态环境同样会造成一定风险，各种不当的行为源于生态环境意识的淡薄，是主观行为造成的生态风险。游客的不当行为包括：随手丢弃废弃物、火种、攀折景区植被等。同时经营者则可能因缺乏环保意识、景区生活垃圾及废水收集处理系统不够完善或故障，导致旅游接待产生的污染物直接排入景区。</w:t>
      </w:r>
    </w:p>
    <w:p w14:paraId="5734801F">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环境风险分析</w:t>
      </w:r>
    </w:p>
    <w:p w14:paraId="14241848">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根据以上风险源识别，岗云杉林景区环境风险事故类型可分为突发环境风险事故和生态环境风险事故。</w:t>
      </w:r>
    </w:p>
    <w:p w14:paraId="47C42EAA">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突发事故风险分析</w:t>
      </w:r>
    </w:p>
    <w:p w14:paraId="4C3F058D">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（1）火灾</w:t>
      </w:r>
    </w:p>
    <w:p w14:paraId="28C4CB3D">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景区运营阶段游客活动难以有效监控，有引发火灾的风险。如发生火灾，不仅毁坏动植物，还会降低植物的水源涵养功能，将改变局部区域的土壤、水文等自然条件，对动植物及微生物等会产生深远的影响。另外，火灾伴生废气进入大气，严重影响景区环境空气质量。应加强对游客的防火宣传，在重点防火季节，采取一定的措施，禁止将火种带入景区，规范火灾预防系统，可最大程度降低人为原因引起的火灾风险。</w:t>
      </w:r>
    </w:p>
    <w:p w14:paraId="20B5B4E9">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（2）污水事故排放</w:t>
      </w:r>
    </w:p>
    <w:p w14:paraId="75EA08A3">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在景区运营期间，生活污水收集和输送过程中发生管道破裂、设备管线老化损坏等，导致生活污水泄漏后直接进入地表和地下水体，将对水环境产生影响。</w:t>
      </w:r>
    </w:p>
    <w:p w14:paraId="2E5A45AF">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生态风险分析</w:t>
      </w:r>
    </w:p>
    <w:p w14:paraId="583016C6">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引起生物入侵的途径主要包括：在景区建设过程中，外来绿地草种的引种，可能造成与本地草种的生态位重叠，从而导致外来物种入侵，同时，伴随着土壤、草皮等其他媒介引入有害的昆虫等动物，对本地植物物种或人畜等造成危害。生物入侵的危害主要表现在以下几个方面：</w:t>
      </w:r>
    </w:p>
    <w:p w14:paraId="47E69FB8">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1）外来物种入侵会严重破坏生物的多样性，并加速本地物种的灭绝。外来物种入侵后，由于其新生环境会制约其繁殖的自然天敌及其他制约因素，其后果便是迅速蔓延，大量扩张，形成优势种群，并与当地物种竞争有限的食物资源和空间资源，直接导致当地物种的退后，甚至被灭绝。</w:t>
      </w:r>
    </w:p>
    <w:p w14:paraId="758A1DFF">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（2）外来物种入侵会严重破坏生态平衡。外来物种入侵，会对植物土壤的水分及其他营养成分，以及生物群落的结构稳定性及遗传性等方面造成影响，从而破坏当地的生态平衡。</w:t>
      </w:r>
    </w:p>
    <w:p w14:paraId="4EADBCC4">
      <w:pPr>
        <w:pStyle w:val="545"/>
        <w:adjustRightInd/>
        <w:spacing w:line="360" w:lineRule="auto"/>
        <w:jc w:val="both"/>
        <w:rPr>
          <w:rFonts w:hint="default" w:ascii="Times New Roman" w:hAnsi="Times New Roman" w:cs="Times New Roman"/>
          <w:color w:val="auto"/>
          <w:spacing w:val="0"/>
          <w:highlight w:val="none"/>
          <w:lang w:val="zh-CN"/>
        </w:rPr>
      </w:pPr>
      <w:r>
        <w:rPr>
          <w:rFonts w:hint="default" w:ascii="Times New Roman" w:hAnsi="Times New Roman" w:cs="Times New Roman"/>
          <w:color w:val="auto"/>
          <w:spacing w:val="0"/>
          <w:highlight w:val="none"/>
          <w:lang w:val="zh-CN"/>
        </w:rPr>
        <w:t>（3）外来物种入侵会因其可能携带病原微生物而对其他生物的生存甚至对人类健康构成直接威胁。</w:t>
      </w:r>
    </w:p>
    <w:p w14:paraId="7A2F923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环境风险防范措施</w:t>
      </w:r>
    </w:p>
    <w:p w14:paraId="0E09B1E9">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突发事故的防范措施</w:t>
      </w:r>
    </w:p>
    <w:p w14:paraId="24FAEE6B">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（1）火灾防范</w:t>
      </w:r>
    </w:p>
    <w:p w14:paraId="4999503E">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景区防火工作应坚持：“预防为主，积极消灭”的方针，做好预防工作是防止景区火灾发生的先决条件。防止旅游区火灾，重在“防”，应因地制宜、因害设防，做好预防工作。</w:t>
      </w:r>
    </w:p>
    <w:p w14:paraId="19A83E68">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①提高全民防火意识。景区建筑多为木质、石质材料，面积大，因此必须做好宣传教育工作，把防火变成广大群众的自觉行为。</w:t>
      </w:r>
    </w:p>
    <w:p w14:paraId="666ED420">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②强化景区消防监督管理。管理部门要树立防火第一的思想，适时布置，加强检查，掌握进程，解决存在的问题。景区消防职能部门要定时抽派精干得力人员到重点防火部位检查监督工作。</w:t>
      </w:r>
    </w:p>
    <w:p w14:paraId="44CCC03E">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③严格火源管理，建立和完善各种制度，明确用火规定。高火险季节，要增派第一线巡山人员；划定景区防火戒严区，适时发布景区防火期和防火戒严。</w:t>
      </w:r>
    </w:p>
    <w:p w14:paraId="7DF7E495">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④岗云杉林景区按要求配备了消防头盔、消防服、腰带、灭火器等应急救援器材，本次评价提出需补充消防桶、消防水带、消防靴、灭火防护手套、消防斧等应急救援器材。若发现火势不大，依靠景区消防力量立即灭火；当火势已发展到无法控制时，立即向指挥部报告，请求波密县应急救援支队进行支援，该支队内设有水罐消防车、泡沫消防车等消防器材，可在20min内到达火灾现场，同时向市旅发委、市应急管理局报告，并有序撤离景区游客。</w:t>
      </w:r>
    </w:p>
    <w:p w14:paraId="2A093512">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（2）污水事故排放防范</w:t>
      </w:r>
    </w:p>
    <w:p w14:paraId="14FC29E6">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加强对污水收集输送管道的维护和管理，防止泥沙沉积堵塞影响管道过水能力，保证管道畅通。</w:t>
      </w:r>
    </w:p>
    <w:p w14:paraId="3843C406">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生物风险防范措施</w:t>
      </w:r>
    </w:p>
    <w:p w14:paraId="1AC3FD2A">
      <w:pPr>
        <w:pStyle w:val="545"/>
        <w:adjustRightInd/>
        <w:spacing w:line="360" w:lineRule="auto"/>
        <w:ind w:firstLine="512"/>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highlight w:val="none"/>
        </w:rPr>
        <w:t>（1）生物入侵防范</w:t>
      </w:r>
    </w:p>
    <w:p w14:paraId="6BD3E5B5">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①</w:t>
      </w:r>
      <w:bookmarkStart w:id="164" w:name="_Hlk140238619"/>
      <w:r>
        <w:rPr>
          <w:rFonts w:hint="default" w:ascii="Times New Roman" w:hAnsi="Times New Roman" w:cs="Times New Roman"/>
          <w:color w:val="auto"/>
          <w:spacing w:val="0"/>
          <w:szCs w:val="24"/>
          <w:highlight w:val="none"/>
          <w:lang w:val="zh-CN"/>
        </w:rPr>
        <w:t>重视本地物种，</w:t>
      </w:r>
      <w:bookmarkEnd w:id="164"/>
      <w:r>
        <w:rPr>
          <w:rFonts w:hint="default" w:ascii="Times New Roman" w:hAnsi="Times New Roman" w:cs="Times New Roman"/>
          <w:color w:val="auto"/>
          <w:spacing w:val="0"/>
          <w:szCs w:val="24"/>
          <w:highlight w:val="none"/>
          <w:lang w:val="zh-CN"/>
        </w:rPr>
        <w:t>防止外来物种入侵。</w:t>
      </w:r>
    </w:p>
    <w:p w14:paraId="3B204C76">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②对天然植被坚持保护为主的原则，尽最大可能保护原有植被，特别是重要保护物种和林地等。</w:t>
      </w:r>
    </w:p>
    <w:p w14:paraId="61222082">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③加强宣传，提高景区管理人员及常住居民的防范意识。进一步加强对生物入侵危害性的宣传教育，广泛宣传盲目引进外来有害生物的危害性，为植物检疫工作和外来有害生物防治工作顺利开展奠定良好的基础。</w:t>
      </w:r>
    </w:p>
    <w:p w14:paraId="75460CAA">
      <w:pPr>
        <w:pStyle w:val="545"/>
        <w:adjustRightInd/>
        <w:spacing w:line="360" w:lineRule="auto"/>
        <w:jc w:val="both"/>
        <w:rPr>
          <w:rFonts w:hint="default" w:ascii="Times New Roman" w:hAnsi="Times New Roman" w:cs="Times New Roman"/>
          <w:color w:val="auto"/>
          <w:spacing w:val="0"/>
          <w:szCs w:val="24"/>
          <w:highlight w:val="none"/>
          <w:lang w:val="zh-CN"/>
        </w:rPr>
      </w:pPr>
      <w:r>
        <w:rPr>
          <w:rFonts w:hint="default" w:ascii="Times New Roman" w:hAnsi="Times New Roman" w:cs="Times New Roman"/>
          <w:color w:val="auto"/>
          <w:spacing w:val="0"/>
          <w:szCs w:val="24"/>
          <w:highlight w:val="none"/>
          <w:lang w:val="zh-CN"/>
        </w:rPr>
        <w:t>④加强对外来有害生物预测预报。建立相应的监测系统，查明我国外来物种的种类、数量、分布和作用，重点对外来有害生物的发展趋势，是否需要防治、何时采取防治措施等情况进行预报，然后指定精确的防治方案。</w:t>
      </w:r>
    </w:p>
    <w:p w14:paraId="1B60D61D">
      <w:pPr>
        <w:pStyle w:val="36"/>
        <w:snapToGrid/>
        <w:spacing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综上，合理控制景区游客人数、适度开展旅游资源开发、规范游客和经营者行为，加强森林防火工作、防范污水事故排放、严控外来物种入侵、杜绝动物疫情，景区环境风险可控、影响可接受。</w:t>
      </w:r>
    </w:p>
    <w:p w14:paraId="6D02CFDA">
      <w:pPr>
        <w:pStyle w:val="3"/>
        <w:spacing w:before="156" w:after="156"/>
        <w:rPr>
          <w:rFonts w:hint="default" w:ascii="Times New Roman" w:hAnsi="Times New Roman" w:cs="Times New Roman"/>
          <w:color w:val="auto"/>
          <w:highlight w:val="none"/>
        </w:rPr>
      </w:pPr>
      <w:bookmarkStart w:id="165" w:name="_Toc19761"/>
      <w:r>
        <w:rPr>
          <w:rFonts w:hint="default" w:ascii="Times New Roman" w:hAnsi="Times New Roman" w:cs="Times New Roman"/>
          <w:color w:val="auto"/>
          <w:highlight w:val="none"/>
        </w:rPr>
        <w:t>资源与环境承载力分析</w:t>
      </w:r>
      <w:bookmarkEnd w:id="165"/>
    </w:p>
    <w:p w14:paraId="1FECDCAD">
      <w:pPr>
        <w:pStyle w:val="4"/>
        <w:spacing w:before="156" w:after="156"/>
        <w:rPr>
          <w:rFonts w:hint="default" w:ascii="Times New Roman" w:hAnsi="Times New Roman" w:cs="Times New Roman"/>
          <w:color w:val="auto"/>
          <w:highlight w:val="none"/>
        </w:rPr>
      </w:pPr>
      <w:bookmarkStart w:id="166" w:name="_Toc36557447"/>
      <w:r>
        <w:rPr>
          <w:rFonts w:hint="default" w:ascii="Times New Roman" w:hAnsi="Times New Roman" w:cs="Times New Roman"/>
          <w:color w:val="auto"/>
          <w:highlight w:val="none"/>
        </w:rPr>
        <w:t>水资源承载力</w:t>
      </w:r>
      <w:bookmarkEnd w:id="166"/>
    </w:p>
    <w:p w14:paraId="5CDAA3B3">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区域水资源状况及开发利用</w:t>
      </w:r>
    </w:p>
    <w:p w14:paraId="4AC6F579">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评价区位于</w:t>
      </w:r>
      <w:r>
        <w:rPr>
          <w:rFonts w:hint="default" w:ascii="Times New Roman" w:hAnsi="Times New Roman" w:cs="Times New Roman"/>
          <w:color w:val="auto"/>
          <w:kern w:val="0"/>
          <w:sz w:val="24"/>
          <w:highlight w:val="none"/>
          <w:lang w:eastAsia="zh-CN"/>
        </w:rPr>
        <w:t>帕隆藏布</w:t>
      </w:r>
      <w:r>
        <w:rPr>
          <w:rFonts w:hint="default" w:ascii="Times New Roman" w:hAnsi="Times New Roman" w:cs="Times New Roman"/>
          <w:color w:val="auto"/>
          <w:kern w:val="0"/>
          <w:sz w:val="24"/>
          <w:highlight w:val="none"/>
        </w:rPr>
        <w:t>流域，</w:t>
      </w:r>
      <w:r>
        <w:rPr>
          <w:rFonts w:hint="default" w:ascii="Times New Roman" w:hAnsi="Times New Roman" w:cs="Times New Roman"/>
          <w:color w:val="auto"/>
          <w:kern w:val="0"/>
          <w:sz w:val="24"/>
          <w:highlight w:val="none"/>
          <w:lang w:eastAsia="zh-CN"/>
        </w:rPr>
        <w:t>帕隆藏布</w:t>
      </w:r>
      <w:r>
        <w:rPr>
          <w:rFonts w:hint="default" w:ascii="Times New Roman" w:hAnsi="Times New Roman" w:cs="Times New Roman"/>
          <w:color w:val="auto"/>
          <w:kern w:val="0"/>
          <w:sz w:val="24"/>
          <w:highlight w:val="none"/>
        </w:rPr>
        <w:t>流域面积</w:t>
      </w:r>
      <w:r>
        <w:rPr>
          <w:rFonts w:hint="default" w:ascii="Times New Roman" w:hAnsi="Times New Roman" w:cs="Times New Roman"/>
          <w:color w:val="auto"/>
          <w:kern w:val="0"/>
          <w:sz w:val="24"/>
          <w:highlight w:val="none"/>
          <w:lang w:val="en-US" w:eastAsia="zh-CN"/>
        </w:rPr>
        <w:t>约</w:t>
      </w:r>
      <w:r>
        <w:rPr>
          <w:rFonts w:hint="default" w:ascii="Times New Roman" w:hAnsi="Times New Roman" w:cs="Times New Roman"/>
          <w:color w:val="auto"/>
          <w:kern w:val="0"/>
          <w:sz w:val="24"/>
          <w:highlight w:val="none"/>
        </w:rPr>
        <w:t>为</w:t>
      </w:r>
      <w:r>
        <w:rPr>
          <w:rFonts w:hint="default" w:ascii="Times New Roman" w:hAnsi="Times New Roman" w:cs="Times New Roman"/>
          <w:color w:val="auto"/>
          <w:kern w:val="0"/>
          <w:sz w:val="24"/>
          <w:highlight w:val="none"/>
          <w:lang w:val="en-US" w:eastAsia="zh-CN"/>
        </w:rPr>
        <w:t>2.86</w:t>
      </w:r>
      <w:r>
        <w:rPr>
          <w:rFonts w:hint="default" w:ascii="Times New Roman" w:hAnsi="Times New Roman" w:cs="Times New Roman"/>
          <w:color w:val="auto"/>
          <w:kern w:val="0"/>
          <w:sz w:val="24"/>
          <w:highlight w:val="none"/>
        </w:rPr>
        <w:t>万km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w:t>
      </w:r>
    </w:p>
    <w:p w14:paraId="4DC40EEE">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区域内地表水主要用于沿线乡镇农田灌溉和农村用水，</w:t>
      </w:r>
      <w:r>
        <w:rPr>
          <w:rFonts w:hint="default" w:ascii="Times New Roman" w:hAnsi="Times New Roman" w:cs="Times New Roman"/>
          <w:color w:val="auto"/>
          <w:kern w:val="0"/>
          <w:sz w:val="24"/>
          <w:highlight w:val="none"/>
          <w:lang w:val="en-US" w:eastAsia="zh-CN"/>
        </w:rPr>
        <w:t>评价区地下水未开采</w:t>
      </w:r>
      <w:r>
        <w:rPr>
          <w:rFonts w:hint="default" w:ascii="Times New Roman" w:hAnsi="Times New Roman" w:cs="Times New Roman"/>
          <w:color w:val="auto"/>
          <w:kern w:val="0"/>
          <w:sz w:val="24"/>
          <w:highlight w:val="none"/>
        </w:rPr>
        <w:t>，无工业供水和水电开发。流域内水资源开发利用程度较低，水资源开发利用潜力大。</w:t>
      </w:r>
    </w:p>
    <w:p w14:paraId="757D907B">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规划区水资源承载评估</w:t>
      </w:r>
    </w:p>
    <w:p w14:paraId="7E0AEB67">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规划区用水主要为常驻居民、工作人员、旅客等，远期旅游旺季最大用水量约</w:t>
      </w:r>
      <w:r>
        <w:rPr>
          <w:rFonts w:hint="default" w:ascii="Times New Roman" w:hAnsi="Times New Roman" w:cs="Times New Roman"/>
          <w:color w:val="auto"/>
          <w:kern w:val="0"/>
          <w:sz w:val="24"/>
          <w:highlight w:val="none"/>
          <w:lang w:val="en-US" w:eastAsia="zh-CN"/>
        </w:rPr>
        <w:t>157.31</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/d。根据资料收集，规划区用水主要为山泉水，规划区水资源丰富，</w:t>
      </w:r>
      <w:r>
        <w:rPr>
          <w:rFonts w:hint="default" w:ascii="Times New Roman" w:hAnsi="Times New Roman" w:cs="Times New Roman"/>
          <w:color w:val="auto"/>
          <w:kern w:val="0"/>
          <w:sz w:val="24"/>
          <w:highlight w:val="none"/>
          <w:lang w:val="en-US" w:eastAsia="zh-CN"/>
        </w:rPr>
        <w:t>山泉水经管道引至高位水池，再经各供水管线输送至各个用水点，</w:t>
      </w:r>
      <w:r>
        <w:rPr>
          <w:rFonts w:hint="default" w:ascii="Times New Roman" w:hAnsi="Times New Roman" w:cs="Times New Roman"/>
          <w:color w:val="auto"/>
          <w:kern w:val="0"/>
          <w:sz w:val="24"/>
          <w:highlight w:val="none"/>
        </w:rPr>
        <w:t>饮用水资源足够满足需求</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随着规划的实施，应进一步及时的完善规划区内的供水管线，</w:t>
      </w:r>
      <w:r>
        <w:rPr>
          <w:rFonts w:hint="default" w:ascii="Times New Roman" w:hAnsi="Times New Roman" w:cs="Times New Roman"/>
          <w:color w:val="auto"/>
          <w:sz w:val="24"/>
          <w:szCs w:val="20"/>
          <w:highlight w:val="none"/>
        </w:rPr>
        <w:t>确保规划区的用水需求与用水安全。</w:t>
      </w:r>
      <w:r>
        <w:rPr>
          <w:rFonts w:hint="default" w:ascii="Times New Roman" w:hAnsi="Times New Roman" w:cs="Times New Roman"/>
          <w:color w:val="auto"/>
          <w:kern w:val="0"/>
          <w:sz w:val="24"/>
          <w:highlight w:val="none"/>
        </w:rPr>
        <w:t>水资源不是该规划的限制因素，但仍需控制旅游规模，完善配套建设供水设施及供水管线，尽量合理利用水资源，节约用水。</w:t>
      </w:r>
    </w:p>
    <w:p w14:paraId="02C85CBC">
      <w:pPr>
        <w:pStyle w:val="4"/>
        <w:spacing w:before="156" w:after="156"/>
        <w:rPr>
          <w:rFonts w:hint="default" w:ascii="Times New Roman" w:hAnsi="Times New Roman" w:cs="Times New Roman"/>
          <w:color w:val="auto"/>
          <w:highlight w:val="none"/>
        </w:rPr>
      </w:pPr>
      <w:bookmarkStart w:id="167" w:name="_Toc36557448"/>
      <w:r>
        <w:rPr>
          <w:rFonts w:hint="default" w:ascii="Times New Roman" w:hAnsi="Times New Roman" w:cs="Times New Roman"/>
          <w:color w:val="auto"/>
          <w:highlight w:val="none"/>
        </w:rPr>
        <w:t>土地资源承载力</w:t>
      </w:r>
      <w:bookmarkEnd w:id="167"/>
    </w:p>
    <w:p w14:paraId="470F56FC">
      <w:pPr>
        <w:pStyle w:val="720"/>
        <w:rPr>
          <w:rFonts w:hint="default" w:ascii="Times New Roman" w:hAnsi="Times New Roman" w:cs="Times New Roman"/>
          <w:color w:val="auto"/>
          <w:highlight w:val="none"/>
        </w:rPr>
      </w:pPr>
      <w:bookmarkStart w:id="168" w:name="_Toc36557449"/>
      <w:r>
        <w:rPr>
          <w:rFonts w:hint="default" w:ascii="Times New Roman" w:hAnsi="Times New Roman" w:cs="Times New Roman"/>
          <w:color w:val="auto"/>
          <w:highlight w:val="none"/>
        </w:rPr>
        <w:t>根据规划区土地利用现状调查及规划，规划实施后区域内</w:t>
      </w:r>
      <w:r>
        <w:rPr>
          <w:rFonts w:hint="default" w:ascii="Times New Roman" w:hAnsi="Times New Roman" w:cs="Times New Roman"/>
          <w:color w:val="auto"/>
          <w:szCs w:val="21"/>
          <w:highlight w:val="none"/>
        </w:rPr>
        <w:t>仅</w:t>
      </w:r>
      <w:r>
        <w:rPr>
          <w:rFonts w:hint="default" w:ascii="Times New Roman" w:hAnsi="Times New Roman" w:cs="Times New Roman"/>
          <w:color w:val="auto"/>
          <w:szCs w:val="21"/>
          <w:highlight w:val="none"/>
          <w:lang w:val="en-US" w:eastAsia="zh-CN"/>
        </w:rPr>
        <w:t>1.12hm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灌木林地会变更为0.26hm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商业用地、0.62hm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eastAsia="宋体" w:cs="Times New Roman"/>
          <w:color w:val="auto"/>
          <w:kern w:val="0"/>
          <w:szCs w:val="21"/>
          <w:highlight w:val="none"/>
        </w:rPr>
        <w:t>交通场站用地</w:t>
      </w:r>
      <w:r>
        <w:rPr>
          <w:rFonts w:hint="default" w:ascii="Times New Roman" w:hAnsi="Times New Roman" w:eastAsia="宋体" w:cs="Times New Roman"/>
          <w:color w:val="auto"/>
          <w:kern w:val="0"/>
          <w:szCs w:val="21"/>
          <w:highlight w:val="none"/>
          <w:lang w:val="en-US" w:eastAsia="zh-CN"/>
        </w:rPr>
        <w:t>和0.24</w:t>
      </w:r>
      <w:r>
        <w:rPr>
          <w:rFonts w:hint="default" w:ascii="Times New Roman" w:hAnsi="Times New Roman" w:cs="Times New Roman"/>
          <w:color w:val="auto"/>
          <w:szCs w:val="21"/>
          <w:highlight w:val="none"/>
          <w:lang w:val="en-US" w:eastAsia="zh-CN"/>
        </w:rPr>
        <w:t>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eastAsia="宋体" w:cs="Times New Roman"/>
          <w:color w:val="auto"/>
          <w:kern w:val="0"/>
          <w:szCs w:val="21"/>
          <w:highlight w:val="none"/>
          <w:lang w:val="en-US" w:eastAsia="zh-CN"/>
        </w:rPr>
        <w:t>防护绿地</w:t>
      </w:r>
      <w:r>
        <w:rPr>
          <w:rFonts w:hint="default" w:ascii="Times New Roman" w:hAnsi="Times New Roman" w:cs="Times New Roman"/>
          <w:color w:val="auto"/>
          <w:highlight w:val="none"/>
        </w:rPr>
        <w:t>。</w:t>
      </w:r>
      <w:r>
        <w:rPr>
          <w:rFonts w:hint="default" w:ascii="Times New Roman" w:hAnsi="Times New Roman" w:eastAsia="宋体" w:cs="Times New Roman"/>
          <w:color w:val="auto"/>
          <w:kern w:val="0"/>
          <w:szCs w:val="21"/>
          <w:highlight w:val="none"/>
          <w:lang w:val="en-US" w:eastAsia="zh-CN"/>
        </w:rPr>
        <w:t>随着规划的实施，前文2.1.7小结：绿地景观系统规划逐步得到落实后，可</w:t>
      </w:r>
      <w:r>
        <w:rPr>
          <w:rFonts w:hint="default" w:ascii="Times New Roman" w:hAnsi="Times New Roman" w:cs="Times New Roman"/>
          <w:color w:val="auto"/>
          <w:kern w:val="0"/>
          <w:szCs w:val="21"/>
          <w:highlight w:val="none"/>
          <w:lang w:val="en-US" w:eastAsia="zh-CN"/>
        </w:rPr>
        <w:t>进一步</w:t>
      </w:r>
      <w:r>
        <w:rPr>
          <w:rFonts w:hint="default" w:ascii="Times New Roman" w:hAnsi="Times New Roman" w:eastAsia="宋体" w:cs="Times New Roman"/>
          <w:color w:val="auto"/>
          <w:kern w:val="0"/>
          <w:szCs w:val="21"/>
          <w:highlight w:val="none"/>
          <w:lang w:val="en-US" w:eastAsia="zh-CN"/>
        </w:rPr>
        <w:t>改善区域的生态环境质量现状，</w:t>
      </w:r>
      <w:r>
        <w:rPr>
          <w:rFonts w:hint="default" w:ascii="Times New Roman" w:hAnsi="Times New Roman" w:cs="Times New Roman"/>
          <w:color w:val="auto"/>
          <w:kern w:val="24"/>
          <w:highlight w:val="none"/>
        </w:rPr>
        <w:t>从整体区域看，本次规划实施后，土地资源需求量在可接受范围内</w:t>
      </w:r>
      <w:r>
        <w:rPr>
          <w:rFonts w:hint="default" w:ascii="Times New Roman" w:hAnsi="Times New Roman" w:cs="Times New Roman"/>
          <w:color w:val="auto"/>
          <w:highlight w:val="none"/>
        </w:rPr>
        <w:t>。采取上述措施后能有效增加林地、草地面积，实施后植被增加。规划实施未突破区域土地资源利用上线要求。</w:t>
      </w:r>
    </w:p>
    <w:p w14:paraId="3288EEA5">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能源调查</w:t>
      </w:r>
    </w:p>
    <w:p w14:paraId="4A37F566">
      <w:pPr>
        <w:pStyle w:val="651"/>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（1）电力规划</w:t>
      </w:r>
    </w:p>
    <w:p w14:paraId="5FCE3281">
      <w:pPr>
        <w:pStyle w:val="651"/>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b w:val="0"/>
          <w:bCs/>
          <w:color w:val="auto"/>
          <w:kern w:val="0"/>
          <w:sz w:val="24"/>
          <w:highlight w:val="none"/>
          <w:lang w:val="en-US" w:eastAsia="zh-CN"/>
        </w:rPr>
        <w:t>供电设施接自古乡35kV变电站，可为景区提供稳定可靠的电能，满足生活生产用电需求。</w:t>
      </w:r>
    </w:p>
    <w:p w14:paraId="7FAC755A">
      <w:pPr>
        <w:pStyle w:val="651"/>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（2）供气规划</w:t>
      </w:r>
    </w:p>
    <w:p w14:paraId="161EEE9D">
      <w:pPr>
        <w:pStyle w:val="651"/>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规划区内现状燃料主要为液化气，冬季部分居民采用薪柴、牛粪作为燃料取暖，规划实施过程中</w:t>
      </w:r>
      <w:r>
        <w:rPr>
          <w:rFonts w:hint="default" w:ascii="Times New Roman" w:hAnsi="Times New Roman" w:cs="Times New Roman"/>
          <w:color w:val="auto"/>
          <w:kern w:val="0"/>
          <w:sz w:val="24"/>
          <w:highlight w:val="none"/>
          <w:lang w:eastAsia="zh-CN"/>
        </w:rPr>
        <w:t>，为</w:t>
      </w:r>
      <w:r>
        <w:rPr>
          <w:rFonts w:hint="default" w:ascii="Times New Roman" w:hAnsi="Times New Roman" w:cs="Times New Roman"/>
          <w:color w:val="auto"/>
          <w:kern w:val="0"/>
          <w:sz w:val="24"/>
          <w:highlight w:val="none"/>
        </w:rPr>
        <w:t>改善村民的生活环境，采用罐装液化石油气，需求量较小。</w:t>
      </w:r>
    </w:p>
    <w:p w14:paraId="3BB4CCAF">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大气环境承载力</w:t>
      </w:r>
      <w:bookmarkEnd w:id="168"/>
    </w:p>
    <w:p w14:paraId="221D32A3">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大气环境容量</w:t>
      </w:r>
    </w:p>
    <w:p w14:paraId="552C619E">
      <w:pPr>
        <w:pStyle w:val="651"/>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大气环境容量和总量是一个十分复杂的问题，本次评价做初步分析。在排放标准、质量达标前提下研究大气环境容量和总量计算，以便部门统筹考虑，有针对性的开发建设项目，并合理布局。</w:t>
      </w:r>
    </w:p>
    <w:p w14:paraId="22A9D267">
      <w:pPr>
        <w:autoSpaceDE w:val="0"/>
        <w:autoSpaceDN w:val="0"/>
        <w:spacing w:line="360" w:lineRule="auto"/>
        <w:ind w:firstLine="482" w:firstLineChars="200"/>
        <w:outlineLvl w:val="4"/>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（一）大气环境容量模式的选取</w:t>
      </w:r>
    </w:p>
    <w:p w14:paraId="67F97163">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对于大气污染物而言，区域排放总量限值依据《制定地方大气污染物排放标准的技术方法》（GB/T3840-91）中推荐的A-P值法确定：</w:t>
      </w:r>
    </w:p>
    <w:p w14:paraId="677FD71A">
      <w:pPr>
        <w:pStyle w:val="23"/>
        <w:spacing w:before="46" w:line="318" w:lineRule="auto"/>
        <w:ind w:left="1260" w:hanging="42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rPr>
        <w:drawing>
          <wp:inline distT="0" distB="0" distL="0" distR="0">
            <wp:extent cx="2194560" cy="457200"/>
            <wp:effectExtent l="0" t="0" r="0" b="0"/>
            <wp:docPr id="5611" name="图片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 name="图片 56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194560" cy="457200"/>
                    </a:xfrm>
                    <a:prstGeom prst="rect">
                      <a:avLst/>
                    </a:prstGeom>
                    <a:noFill/>
                    <a:ln>
                      <a:noFill/>
                    </a:ln>
                  </pic:spPr>
                </pic:pic>
              </a:graphicData>
            </a:graphic>
          </wp:inline>
        </w:drawing>
      </w:r>
    </w:p>
    <w:p w14:paraId="2E6BEF1E">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式中：</w:t>
      </w:r>
      <w:r>
        <w:rPr>
          <w:rFonts w:hint="default" w:ascii="Times New Roman" w:hAnsi="Times New Roman" w:cs="Times New Roman"/>
          <w:i/>
          <w:color w:val="auto"/>
          <w:kern w:val="0"/>
          <w:sz w:val="24"/>
          <w:highlight w:val="none"/>
        </w:rPr>
        <w:t>Q</w:t>
      </w:r>
      <w:r>
        <w:rPr>
          <w:rFonts w:hint="default" w:ascii="Times New Roman" w:hAnsi="Times New Roman" w:cs="Times New Roman"/>
          <w:i/>
          <w:color w:val="auto"/>
          <w:kern w:val="0"/>
          <w:sz w:val="24"/>
          <w:highlight w:val="none"/>
          <w:vertAlign w:val="subscript"/>
        </w:rPr>
        <w:t>ak</w:t>
      </w:r>
      <w:r>
        <w:rPr>
          <w:rFonts w:hint="default" w:ascii="Times New Roman" w:hAnsi="Times New Roman" w:cs="Times New Roman"/>
          <w:color w:val="auto"/>
          <w:kern w:val="0"/>
          <w:sz w:val="24"/>
          <w:highlight w:val="none"/>
        </w:rPr>
        <w:t>—总量控制区某种污染物允许排放总量限值，万t；</w:t>
      </w:r>
    </w:p>
    <w:p w14:paraId="7DC1103C">
      <w:pPr>
        <w:autoSpaceDE w:val="0"/>
        <w:autoSpaceDN w:val="0"/>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i</w:t>
      </w:r>
      <w:r>
        <w:rPr>
          <w:rFonts w:hint="default" w:ascii="Times New Roman" w:hAnsi="Times New Roman" w:cs="Times New Roman"/>
          <w:color w:val="auto"/>
          <w:kern w:val="0"/>
          <w:sz w:val="24"/>
          <w:highlight w:val="none"/>
        </w:rPr>
        <w:t>—总量控制区内各功能区的编号；</w:t>
      </w:r>
    </w:p>
    <w:p w14:paraId="7298D2CB">
      <w:pPr>
        <w:autoSpaceDE w:val="0"/>
        <w:autoSpaceDN w:val="0"/>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n</w:t>
      </w:r>
      <w:r>
        <w:rPr>
          <w:rFonts w:hint="default" w:ascii="Times New Roman" w:hAnsi="Times New Roman" w:cs="Times New Roman"/>
          <w:color w:val="auto"/>
          <w:kern w:val="0"/>
          <w:sz w:val="24"/>
          <w:highlight w:val="none"/>
        </w:rPr>
        <w:t>—总量控制区内的功能区总数；</w:t>
      </w:r>
    </w:p>
    <w:p w14:paraId="6BDB9F78">
      <w:pPr>
        <w:autoSpaceDE w:val="0"/>
        <w:autoSpaceDN w:val="0"/>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A</w:t>
      </w:r>
      <w:r>
        <w:rPr>
          <w:rFonts w:hint="default" w:ascii="Times New Roman" w:hAnsi="Times New Roman" w:cs="Times New Roman"/>
          <w:color w:val="auto"/>
          <w:kern w:val="0"/>
          <w:sz w:val="24"/>
          <w:highlight w:val="none"/>
        </w:rPr>
        <w:t>—地理区域性总量控制系数，10</w:t>
      </w:r>
      <w:r>
        <w:rPr>
          <w:rFonts w:hint="default" w:ascii="Times New Roman" w:hAnsi="Times New Roman" w:cs="Times New Roman"/>
          <w:color w:val="auto"/>
          <w:kern w:val="0"/>
          <w:sz w:val="24"/>
          <w:highlight w:val="none"/>
          <w:vertAlign w:val="superscript"/>
        </w:rPr>
        <w:t>4</w:t>
      </w:r>
      <w:r>
        <w:rPr>
          <w:rFonts w:hint="default" w:ascii="Times New Roman" w:hAnsi="Times New Roman" w:cs="Times New Roman"/>
          <w:color w:val="auto"/>
          <w:kern w:val="0"/>
          <w:sz w:val="24"/>
          <w:highlight w:val="none"/>
        </w:rPr>
        <w:t>·t·km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/a；</w:t>
      </w:r>
    </w:p>
    <w:p w14:paraId="6381A3D2">
      <w:pPr>
        <w:autoSpaceDE w:val="0"/>
        <w:autoSpaceDN w:val="0"/>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S</w:t>
      </w:r>
      <w:r>
        <w:rPr>
          <w:rFonts w:hint="default" w:ascii="Times New Roman" w:hAnsi="Times New Roman" w:cs="Times New Roman"/>
          <w:i/>
          <w:color w:val="auto"/>
          <w:kern w:val="0"/>
          <w:sz w:val="24"/>
          <w:highlight w:val="none"/>
          <w:vertAlign w:val="subscript"/>
        </w:rPr>
        <w:t>i</w:t>
      </w:r>
      <w:r>
        <w:rPr>
          <w:rFonts w:hint="default" w:ascii="Times New Roman" w:hAnsi="Times New Roman" w:cs="Times New Roman"/>
          <w:color w:val="auto"/>
          <w:kern w:val="0"/>
          <w:sz w:val="24"/>
          <w:highlight w:val="none"/>
        </w:rPr>
        <w:t>—第i功能区面积，km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w:t>
      </w:r>
    </w:p>
    <w:p w14:paraId="7F769869">
      <w:pPr>
        <w:autoSpaceDE w:val="0"/>
        <w:autoSpaceDN w:val="0"/>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C</w:t>
      </w:r>
      <w:r>
        <w:rPr>
          <w:rFonts w:hint="default" w:ascii="Times New Roman" w:hAnsi="Times New Roman" w:cs="Times New Roman"/>
          <w:i/>
          <w:color w:val="auto"/>
          <w:kern w:val="0"/>
          <w:sz w:val="24"/>
          <w:highlight w:val="none"/>
          <w:vertAlign w:val="subscript"/>
        </w:rPr>
        <w:t>ki</w:t>
      </w:r>
      <w:r>
        <w:rPr>
          <w:rFonts w:hint="default" w:ascii="Times New Roman" w:hAnsi="Times New Roman" w:cs="Times New Roman"/>
          <w:color w:val="auto"/>
          <w:kern w:val="0"/>
          <w:sz w:val="24"/>
          <w:highlight w:val="none"/>
        </w:rPr>
        <w:t>—GB3095等国家和地方有关大气环境质量标准所规定的与第i功能区类别相应的年日平均浓度限值，mg/m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w:t>
      </w:r>
    </w:p>
    <w:p w14:paraId="03C1EE48">
      <w:pPr>
        <w:autoSpaceDE w:val="0"/>
        <w:autoSpaceDN w:val="0"/>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C</w:t>
      </w:r>
      <w:r>
        <w:rPr>
          <w:rFonts w:hint="default" w:ascii="Times New Roman" w:hAnsi="Times New Roman" w:cs="Times New Roman"/>
          <w:i/>
          <w:color w:val="auto"/>
          <w:kern w:val="0"/>
          <w:sz w:val="24"/>
          <w:highlight w:val="none"/>
          <w:vertAlign w:val="subscript"/>
        </w:rPr>
        <w:t>0</w:t>
      </w:r>
      <w:r>
        <w:rPr>
          <w:rFonts w:hint="default" w:ascii="Times New Roman" w:hAnsi="Times New Roman" w:cs="Times New Roman"/>
          <w:color w:val="auto"/>
          <w:kern w:val="0"/>
          <w:sz w:val="24"/>
          <w:highlight w:val="none"/>
        </w:rPr>
        <w:t>—区域大气环境质量背景年日平均浓度，mg/m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w:t>
      </w:r>
    </w:p>
    <w:p w14:paraId="41DEF6A1">
      <w:pPr>
        <w:autoSpaceDE w:val="0"/>
        <w:autoSpaceDN w:val="0"/>
        <w:spacing w:line="360" w:lineRule="auto"/>
        <w:ind w:firstLine="482" w:firstLineChars="200"/>
        <w:outlineLvl w:val="4"/>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（二）总量控制因子</w:t>
      </w:r>
    </w:p>
    <w:p w14:paraId="21A85A5A">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根据规划区域空气质量特征，选取SO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、NO</w:t>
      </w:r>
      <w:r>
        <w:rPr>
          <w:rFonts w:hint="default" w:ascii="Times New Roman" w:hAnsi="Times New Roman" w:cs="Times New Roman"/>
          <w:color w:val="auto"/>
          <w:kern w:val="0"/>
          <w:sz w:val="24"/>
          <w:highlight w:val="none"/>
          <w:vertAlign w:val="subscript"/>
        </w:rPr>
        <w:t>x</w:t>
      </w:r>
      <w:r>
        <w:rPr>
          <w:rFonts w:hint="default" w:ascii="Times New Roman" w:hAnsi="Times New Roman" w:cs="Times New Roman"/>
          <w:color w:val="auto"/>
          <w:kern w:val="0"/>
          <w:sz w:val="24"/>
          <w:highlight w:val="none"/>
        </w:rPr>
        <w:t>、PM</w:t>
      </w:r>
      <w:r>
        <w:rPr>
          <w:rFonts w:hint="default" w:ascii="Times New Roman" w:hAnsi="Times New Roman" w:cs="Times New Roman"/>
          <w:color w:val="auto"/>
          <w:kern w:val="0"/>
          <w:sz w:val="24"/>
          <w:highlight w:val="none"/>
          <w:vertAlign w:val="subscript"/>
        </w:rPr>
        <w:t>10</w:t>
      </w:r>
      <w:r>
        <w:rPr>
          <w:rFonts w:hint="default" w:ascii="Times New Roman" w:hAnsi="Times New Roman" w:cs="Times New Roman"/>
          <w:color w:val="auto"/>
          <w:kern w:val="0"/>
          <w:sz w:val="24"/>
          <w:highlight w:val="none"/>
        </w:rPr>
        <w:t>作为控制因子。</w:t>
      </w:r>
    </w:p>
    <w:p w14:paraId="529EFCB2">
      <w:pPr>
        <w:autoSpaceDE w:val="0"/>
        <w:autoSpaceDN w:val="0"/>
        <w:spacing w:line="360" w:lineRule="auto"/>
        <w:ind w:firstLine="482" w:firstLineChars="200"/>
        <w:outlineLvl w:val="4"/>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（三）参数的选取</w:t>
      </w:r>
    </w:p>
    <w:p w14:paraId="385115E0">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w:t>
      </w:r>
      <w:r>
        <w:rPr>
          <w:rFonts w:hint="default" w:ascii="Times New Roman" w:hAnsi="Times New Roman" w:cs="Times New Roman"/>
          <w:i/>
          <w:color w:val="auto"/>
          <w:kern w:val="0"/>
          <w:sz w:val="24"/>
          <w:highlight w:val="none"/>
        </w:rPr>
        <w:t>A</w:t>
      </w:r>
      <w:r>
        <w:rPr>
          <w:rFonts w:hint="default" w:ascii="Times New Roman" w:hAnsi="Times New Roman" w:cs="Times New Roman"/>
          <w:color w:val="auto"/>
          <w:kern w:val="0"/>
          <w:sz w:val="24"/>
          <w:highlight w:val="none"/>
        </w:rPr>
        <w:t>值的选取</w:t>
      </w:r>
    </w:p>
    <w:p w14:paraId="19C10AB8">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参数</w:t>
      </w:r>
      <w:r>
        <w:rPr>
          <w:rFonts w:hint="default" w:ascii="Times New Roman" w:hAnsi="Times New Roman" w:cs="Times New Roman"/>
          <w:i/>
          <w:color w:val="auto"/>
          <w:kern w:val="0"/>
          <w:sz w:val="24"/>
          <w:highlight w:val="none"/>
        </w:rPr>
        <w:t>A</w:t>
      </w:r>
      <w:r>
        <w:rPr>
          <w:rFonts w:hint="default" w:ascii="Times New Roman" w:hAnsi="Times New Roman" w:cs="Times New Roman"/>
          <w:color w:val="auto"/>
          <w:kern w:val="0"/>
          <w:sz w:val="24"/>
          <w:highlight w:val="none"/>
        </w:rPr>
        <w:t>是由通风能力确定的一个参数，取决于平均风速的大小和混合层高度，评价区所处的区域平均风速2~4m/s，结合规划区具体情况，A值取下限7.0，其取值见表5.5-1。</w:t>
      </w:r>
    </w:p>
    <w:p w14:paraId="1DC4EE3E">
      <w:pPr>
        <w:pStyle w:val="705"/>
        <w:adjustRightInd/>
        <w:snapToGrid/>
        <w:ind w:firstLine="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表5.5-1  我国各地区总量控制系数</w:t>
      </w:r>
      <w:r>
        <w:rPr>
          <w:rFonts w:hint="default" w:ascii="Times New Roman" w:hAnsi="Times New Roman" w:eastAsia="黑体" w:cs="Times New Roman"/>
          <w:i/>
          <w:color w:val="auto"/>
          <w:sz w:val="21"/>
          <w:szCs w:val="21"/>
          <w:highlight w:val="none"/>
        </w:rPr>
        <w:t>A</w:t>
      </w:r>
      <w:r>
        <w:rPr>
          <w:rFonts w:hint="default" w:ascii="Times New Roman" w:hAnsi="Times New Roman" w:eastAsia="黑体" w:cs="Times New Roman"/>
          <w:color w:val="auto"/>
          <w:sz w:val="21"/>
          <w:szCs w:val="21"/>
          <w:highlight w:val="none"/>
        </w:rPr>
        <w:t>、低源分担率</w:t>
      </w:r>
      <w:r>
        <w:rPr>
          <w:rFonts w:hint="default" w:ascii="Times New Roman" w:hAnsi="Times New Roman" w:eastAsia="黑体" w:cs="Times New Roman"/>
          <w:i/>
          <w:color w:val="auto"/>
          <w:sz w:val="21"/>
          <w:szCs w:val="21"/>
          <w:highlight w:val="none"/>
        </w:rPr>
        <w:t>a</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6"/>
        <w:gridCol w:w="916"/>
        <w:gridCol w:w="692"/>
      </w:tblGrid>
      <w:tr w14:paraId="1671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4" w:type="pct"/>
            <w:shd w:val="clear" w:color="auto" w:fill="auto"/>
            <w:vAlign w:val="center"/>
          </w:tcPr>
          <w:p w14:paraId="26F4793F">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省（市）名</w:t>
            </w:r>
          </w:p>
        </w:tc>
        <w:tc>
          <w:tcPr>
            <w:tcW w:w="499" w:type="pct"/>
            <w:shd w:val="clear" w:color="auto" w:fill="auto"/>
            <w:vAlign w:val="center"/>
          </w:tcPr>
          <w:p w14:paraId="0BDC2C9F">
            <w:pPr>
              <w:jc w:val="center"/>
              <w:rPr>
                <w:rFonts w:hint="default" w:ascii="Times New Roman" w:hAnsi="Times New Roman" w:cs="Times New Roman"/>
                <w:bCs/>
                <w:i/>
                <w:color w:val="auto"/>
                <w:kern w:val="0"/>
                <w:szCs w:val="21"/>
                <w:highlight w:val="none"/>
              </w:rPr>
            </w:pPr>
            <w:r>
              <w:rPr>
                <w:rFonts w:hint="default" w:ascii="Times New Roman" w:hAnsi="Times New Roman" w:cs="Times New Roman"/>
                <w:bCs/>
                <w:i/>
                <w:color w:val="auto"/>
                <w:kern w:val="0"/>
                <w:szCs w:val="21"/>
                <w:highlight w:val="none"/>
              </w:rPr>
              <w:t>A</w:t>
            </w:r>
          </w:p>
        </w:tc>
        <w:tc>
          <w:tcPr>
            <w:tcW w:w="377" w:type="pct"/>
            <w:shd w:val="clear" w:color="auto" w:fill="auto"/>
            <w:vAlign w:val="center"/>
          </w:tcPr>
          <w:p w14:paraId="18A89539">
            <w:pPr>
              <w:jc w:val="center"/>
              <w:rPr>
                <w:rFonts w:hint="default" w:ascii="Times New Roman" w:hAnsi="Times New Roman" w:cs="Times New Roman"/>
                <w:bCs/>
                <w:i/>
                <w:color w:val="auto"/>
                <w:kern w:val="0"/>
                <w:szCs w:val="21"/>
                <w:highlight w:val="none"/>
              </w:rPr>
            </w:pPr>
            <w:r>
              <w:rPr>
                <w:rFonts w:hint="default" w:ascii="Times New Roman" w:hAnsi="Times New Roman" w:cs="Times New Roman"/>
                <w:bCs/>
                <w:i/>
                <w:color w:val="auto"/>
                <w:kern w:val="0"/>
                <w:szCs w:val="21"/>
                <w:highlight w:val="none"/>
              </w:rPr>
              <w:t>a</w:t>
            </w:r>
          </w:p>
        </w:tc>
      </w:tr>
      <w:tr w14:paraId="0212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4" w:type="pct"/>
            <w:shd w:val="clear" w:color="auto" w:fill="auto"/>
            <w:vAlign w:val="center"/>
          </w:tcPr>
          <w:p w14:paraId="188DE688">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新疆、西藏、青海</w:t>
            </w:r>
          </w:p>
        </w:tc>
        <w:tc>
          <w:tcPr>
            <w:tcW w:w="499" w:type="pct"/>
            <w:shd w:val="clear" w:color="auto" w:fill="auto"/>
            <w:vAlign w:val="center"/>
          </w:tcPr>
          <w:p w14:paraId="16D1A475">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7.0-8.4</w:t>
            </w:r>
          </w:p>
        </w:tc>
        <w:tc>
          <w:tcPr>
            <w:tcW w:w="377" w:type="pct"/>
            <w:shd w:val="clear" w:color="auto" w:fill="auto"/>
            <w:vAlign w:val="center"/>
          </w:tcPr>
          <w:p w14:paraId="039EE710">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0.15</w:t>
            </w:r>
          </w:p>
        </w:tc>
      </w:tr>
      <w:tr w14:paraId="0E33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4" w:type="pct"/>
            <w:shd w:val="clear" w:color="auto" w:fill="auto"/>
            <w:noWrap/>
            <w:vAlign w:val="center"/>
          </w:tcPr>
          <w:p w14:paraId="2D0E8E46">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静风区（年平均风速小于1m/s）</w:t>
            </w:r>
          </w:p>
        </w:tc>
        <w:tc>
          <w:tcPr>
            <w:tcW w:w="499" w:type="pct"/>
            <w:shd w:val="clear" w:color="auto" w:fill="auto"/>
            <w:vAlign w:val="center"/>
          </w:tcPr>
          <w:p w14:paraId="2274E1F6">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1.4-2.58</w:t>
            </w:r>
          </w:p>
        </w:tc>
        <w:tc>
          <w:tcPr>
            <w:tcW w:w="377" w:type="pct"/>
            <w:shd w:val="clear" w:color="auto" w:fill="auto"/>
            <w:vAlign w:val="center"/>
          </w:tcPr>
          <w:p w14:paraId="790D4C44">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0.25</w:t>
            </w:r>
          </w:p>
        </w:tc>
      </w:tr>
    </w:tbl>
    <w:p w14:paraId="742073D6">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w:t>
      </w:r>
      <w:r>
        <w:rPr>
          <w:rFonts w:hint="default" w:ascii="Times New Roman" w:hAnsi="Times New Roman" w:cs="Times New Roman"/>
          <w:i/>
          <w:color w:val="auto"/>
          <w:kern w:val="0"/>
          <w:sz w:val="24"/>
          <w:highlight w:val="none"/>
        </w:rPr>
        <w:t>C</w:t>
      </w:r>
      <w:r>
        <w:rPr>
          <w:rFonts w:hint="default" w:ascii="Times New Roman" w:hAnsi="Times New Roman" w:cs="Times New Roman"/>
          <w:color w:val="auto"/>
          <w:kern w:val="0"/>
          <w:sz w:val="24"/>
          <w:highlight w:val="none"/>
        </w:rPr>
        <w:t>值的选取</w:t>
      </w:r>
    </w:p>
    <w:p w14:paraId="1C08CC6F">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大气环境容量测算C值，SO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、NO</w:t>
      </w:r>
      <w:r>
        <w:rPr>
          <w:rFonts w:hint="default" w:ascii="Times New Roman" w:hAnsi="Times New Roman" w:cs="Times New Roman"/>
          <w:color w:val="auto"/>
          <w:kern w:val="0"/>
          <w:sz w:val="24"/>
          <w:highlight w:val="none"/>
          <w:vertAlign w:val="subscript"/>
        </w:rPr>
        <w:t>x</w:t>
      </w:r>
      <w:r>
        <w:rPr>
          <w:rFonts w:hint="default" w:ascii="Times New Roman" w:hAnsi="Times New Roman" w:cs="Times New Roman"/>
          <w:color w:val="auto"/>
          <w:kern w:val="0"/>
          <w:sz w:val="24"/>
          <w:highlight w:val="none"/>
        </w:rPr>
        <w:t>、PM</w:t>
      </w:r>
      <w:r>
        <w:rPr>
          <w:rFonts w:hint="default" w:ascii="Times New Roman" w:hAnsi="Times New Roman" w:cs="Times New Roman"/>
          <w:color w:val="auto"/>
          <w:kern w:val="0"/>
          <w:sz w:val="24"/>
          <w:highlight w:val="none"/>
          <w:vertAlign w:val="subscript"/>
        </w:rPr>
        <w:t>10</w:t>
      </w:r>
      <w:r>
        <w:rPr>
          <w:rFonts w:hint="default" w:ascii="Times New Roman" w:hAnsi="Times New Roman" w:cs="Times New Roman"/>
          <w:color w:val="auto"/>
          <w:kern w:val="0"/>
          <w:sz w:val="24"/>
          <w:highlight w:val="none"/>
        </w:rPr>
        <w:t>选取规划区现状监测背景值，选取见表5.5-2。</w:t>
      </w:r>
    </w:p>
    <w:p w14:paraId="18978330">
      <w:pPr>
        <w:pStyle w:val="705"/>
        <w:adjustRightInd/>
        <w:snapToGrid/>
        <w:ind w:firstLine="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表5.5-2  总量控制模式参数选取</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1813"/>
        <w:gridCol w:w="1198"/>
        <w:gridCol w:w="1182"/>
        <w:gridCol w:w="1182"/>
        <w:gridCol w:w="1708"/>
      </w:tblGrid>
      <w:tr w14:paraId="7CA4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pct"/>
            <w:gridSpan w:val="2"/>
            <w:vMerge w:val="restart"/>
            <w:shd w:val="clear" w:color="auto" w:fill="auto"/>
            <w:vAlign w:val="center"/>
          </w:tcPr>
          <w:p w14:paraId="07907925">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GB3095-2012</w:t>
            </w:r>
          </w:p>
        </w:tc>
        <w:tc>
          <w:tcPr>
            <w:tcW w:w="1941" w:type="pct"/>
            <w:gridSpan w:val="3"/>
            <w:shd w:val="clear" w:color="auto" w:fill="auto"/>
            <w:vAlign w:val="center"/>
          </w:tcPr>
          <w:p w14:paraId="4C843677">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污染因子（mg/m</w:t>
            </w:r>
            <w:r>
              <w:rPr>
                <w:rFonts w:hint="default" w:ascii="Times New Roman" w:hAnsi="Times New Roman" w:cs="Times New Roman"/>
                <w:bCs/>
                <w:color w:val="auto"/>
                <w:kern w:val="0"/>
                <w:szCs w:val="21"/>
                <w:highlight w:val="none"/>
                <w:vertAlign w:val="superscript"/>
              </w:rPr>
              <w:t>3</w:t>
            </w:r>
            <w:r>
              <w:rPr>
                <w:rFonts w:hint="default" w:ascii="Times New Roman" w:hAnsi="Times New Roman" w:cs="Times New Roman"/>
                <w:bCs/>
                <w:color w:val="auto"/>
                <w:kern w:val="0"/>
                <w:szCs w:val="21"/>
                <w:highlight w:val="none"/>
              </w:rPr>
              <w:t>）</w:t>
            </w:r>
          </w:p>
        </w:tc>
        <w:tc>
          <w:tcPr>
            <w:tcW w:w="931" w:type="pct"/>
            <w:vMerge w:val="restart"/>
            <w:shd w:val="clear" w:color="auto" w:fill="auto"/>
            <w:vAlign w:val="center"/>
          </w:tcPr>
          <w:p w14:paraId="072A4BA6">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面积km</w:t>
            </w:r>
            <w:r>
              <w:rPr>
                <w:rFonts w:hint="default" w:ascii="Times New Roman" w:hAnsi="Times New Roman" w:cs="Times New Roman"/>
                <w:bCs/>
                <w:color w:val="auto"/>
                <w:kern w:val="0"/>
                <w:szCs w:val="21"/>
                <w:highlight w:val="none"/>
                <w:vertAlign w:val="superscript"/>
              </w:rPr>
              <w:t>2</w:t>
            </w:r>
          </w:p>
        </w:tc>
      </w:tr>
      <w:tr w14:paraId="6448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pct"/>
            <w:gridSpan w:val="2"/>
            <w:vMerge w:val="continue"/>
            <w:vAlign w:val="center"/>
          </w:tcPr>
          <w:p w14:paraId="5C257E15">
            <w:pPr>
              <w:jc w:val="center"/>
              <w:rPr>
                <w:rFonts w:hint="default" w:ascii="Times New Roman" w:hAnsi="Times New Roman" w:cs="Times New Roman"/>
                <w:bCs/>
                <w:color w:val="auto"/>
                <w:kern w:val="0"/>
                <w:szCs w:val="21"/>
                <w:highlight w:val="none"/>
              </w:rPr>
            </w:pPr>
          </w:p>
        </w:tc>
        <w:tc>
          <w:tcPr>
            <w:tcW w:w="653" w:type="pct"/>
            <w:shd w:val="clear" w:color="auto" w:fill="auto"/>
            <w:vAlign w:val="center"/>
          </w:tcPr>
          <w:p w14:paraId="2562D940">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SO</w:t>
            </w:r>
            <w:r>
              <w:rPr>
                <w:rFonts w:hint="default" w:ascii="Times New Roman" w:hAnsi="Times New Roman" w:cs="Times New Roman"/>
                <w:bCs/>
                <w:color w:val="auto"/>
                <w:kern w:val="0"/>
                <w:szCs w:val="21"/>
                <w:highlight w:val="none"/>
                <w:vertAlign w:val="subscript"/>
              </w:rPr>
              <w:t>2</w:t>
            </w:r>
          </w:p>
        </w:tc>
        <w:tc>
          <w:tcPr>
            <w:tcW w:w="644" w:type="pct"/>
            <w:shd w:val="clear" w:color="auto" w:fill="auto"/>
            <w:vAlign w:val="center"/>
          </w:tcPr>
          <w:p w14:paraId="5C353C1F">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NO</w:t>
            </w:r>
            <w:r>
              <w:rPr>
                <w:rFonts w:hint="default" w:ascii="Times New Roman" w:hAnsi="Times New Roman" w:cs="Times New Roman"/>
                <w:bCs/>
                <w:color w:val="auto"/>
                <w:kern w:val="0"/>
                <w:szCs w:val="21"/>
                <w:highlight w:val="none"/>
                <w:vertAlign w:val="subscript"/>
              </w:rPr>
              <w:t>2</w:t>
            </w:r>
          </w:p>
        </w:tc>
        <w:tc>
          <w:tcPr>
            <w:tcW w:w="644" w:type="pct"/>
            <w:shd w:val="clear" w:color="auto" w:fill="auto"/>
            <w:vAlign w:val="center"/>
          </w:tcPr>
          <w:p w14:paraId="0150633B">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PM</w:t>
            </w:r>
            <w:r>
              <w:rPr>
                <w:rFonts w:hint="default" w:ascii="Times New Roman" w:hAnsi="Times New Roman" w:cs="Times New Roman"/>
                <w:bCs/>
                <w:color w:val="auto"/>
                <w:kern w:val="0"/>
                <w:szCs w:val="21"/>
                <w:highlight w:val="none"/>
                <w:vertAlign w:val="subscript"/>
              </w:rPr>
              <w:t>10</w:t>
            </w:r>
          </w:p>
        </w:tc>
        <w:tc>
          <w:tcPr>
            <w:tcW w:w="931" w:type="pct"/>
            <w:vMerge w:val="continue"/>
            <w:vAlign w:val="center"/>
          </w:tcPr>
          <w:p w14:paraId="03FB8C7A">
            <w:pPr>
              <w:jc w:val="center"/>
              <w:rPr>
                <w:rFonts w:hint="default" w:ascii="Times New Roman" w:hAnsi="Times New Roman" w:cs="Times New Roman"/>
                <w:b/>
                <w:color w:val="auto"/>
                <w:kern w:val="0"/>
                <w:szCs w:val="21"/>
                <w:highlight w:val="none"/>
              </w:rPr>
            </w:pPr>
          </w:p>
        </w:tc>
      </w:tr>
      <w:tr w14:paraId="3CDF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shd w:val="clear" w:color="auto" w:fill="auto"/>
            <w:vAlign w:val="center"/>
          </w:tcPr>
          <w:p w14:paraId="5BD5EFE5">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日均值</w:t>
            </w:r>
            <w:r>
              <w:rPr>
                <w:rFonts w:hint="default" w:ascii="Times New Roman" w:hAnsi="Times New Roman" w:cs="Times New Roman"/>
                <w:i/>
                <w:color w:val="auto"/>
                <w:kern w:val="0"/>
                <w:szCs w:val="21"/>
                <w:highlight w:val="none"/>
              </w:rPr>
              <w:t>C</w:t>
            </w:r>
            <w:r>
              <w:rPr>
                <w:rFonts w:hint="default" w:ascii="Times New Roman" w:hAnsi="Times New Roman" w:cs="Times New Roman"/>
                <w:i/>
                <w:color w:val="auto"/>
                <w:kern w:val="0"/>
                <w:szCs w:val="21"/>
                <w:highlight w:val="none"/>
                <w:vertAlign w:val="subscript"/>
              </w:rPr>
              <w:t>k</w:t>
            </w:r>
          </w:p>
        </w:tc>
        <w:tc>
          <w:tcPr>
            <w:tcW w:w="988" w:type="pct"/>
            <w:shd w:val="clear" w:color="auto" w:fill="auto"/>
            <w:vAlign w:val="center"/>
          </w:tcPr>
          <w:p w14:paraId="396107EC">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一级标准</w:t>
            </w:r>
          </w:p>
        </w:tc>
        <w:tc>
          <w:tcPr>
            <w:tcW w:w="653" w:type="pct"/>
            <w:shd w:val="clear" w:color="auto" w:fill="auto"/>
            <w:vAlign w:val="center"/>
          </w:tcPr>
          <w:p w14:paraId="5A79B981">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0.05</w:t>
            </w:r>
          </w:p>
        </w:tc>
        <w:tc>
          <w:tcPr>
            <w:tcW w:w="644" w:type="pct"/>
            <w:shd w:val="clear" w:color="auto" w:fill="auto"/>
            <w:vAlign w:val="center"/>
          </w:tcPr>
          <w:p w14:paraId="0ACE82BA">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0.08</w:t>
            </w:r>
          </w:p>
        </w:tc>
        <w:tc>
          <w:tcPr>
            <w:tcW w:w="644" w:type="pct"/>
            <w:shd w:val="clear" w:color="auto" w:fill="auto"/>
            <w:vAlign w:val="center"/>
          </w:tcPr>
          <w:p w14:paraId="2F79CC86">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0.05</w:t>
            </w:r>
          </w:p>
        </w:tc>
        <w:tc>
          <w:tcPr>
            <w:tcW w:w="931" w:type="pct"/>
            <w:shd w:val="clear" w:color="auto" w:fill="auto"/>
            <w:vAlign w:val="center"/>
          </w:tcPr>
          <w:p w14:paraId="6EA7F7EF">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6.81</w:t>
            </w:r>
          </w:p>
        </w:tc>
      </w:tr>
      <w:tr w14:paraId="1829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shd w:val="clear" w:color="auto" w:fill="auto"/>
            <w:vAlign w:val="center"/>
          </w:tcPr>
          <w:p w14:paraId="50B38AEE">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背景值</w:t>
            </w:r>
            <w:r>
              <w:rPr>
                <w:rFonts w:hint="default" w:ascii="Times New Roman" w:hAnsi="Times New Roman" w:cs="Times New Roman"/>
                <w:i/>
                <w:color w:val="auto"/>
                <w:kern w:val="0"/>
                <w:szCs w:val="21"/>
                <w:highlight w:val="none"/>
              </w:rPr>
              <w:t>C</w:t>
            </w:r>
            <w:r>
              <w:rPr>
                <w:rFonts w:hint="default" w:ascii="Times New Roman" w:hAnsi="Times New Roman" w:cs="Times New Roman"/>
                <w:i/>
                <w:color w:val="auto"/>
                <w:kern w:val="0"/>
                <w:szCs w:val="21"/>
                <w:highlight w:val="none"/>
                <w:vertAlign w:val="subscript"/>
              </w:rPr>
              <w:t>0</w:t>
            </w:r>
          </w:p>
        </w:tc>
        <w:tc>
          <w:tcPr>
            <w:tcW w:w="988" w:type="pct"/>
            <w:shd w:val="clear" w:color="auto" w:fill="auto"/>
            <w:vAlign w:val="center"/>
          </w:tcPr>
          <w:p w14:paraId="12E5AF72">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一类区</w:t>
            </w:r>
          </w:p>
        </w:tc>
        <w:tc>
          <w:tcPr>
            <w:tcW w:w="653" w:type="pct"/>
            <w:shd w:val="clear" w:color="auto" w:fill="auto"/>
            <w:vAlign w:val="center"/>
          </w:tcPr>
          <w:p w14:paraId="108859DF">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0.0</w:t>
            </w:r>
            <w:r>
              <w:rPr>
                <w:rFonts w:hint="default" w:ascii="Times New Roman" w:hAnsi="Times New Roman" w:cs="Times New Roman"/>
                <w:color w:val="auto"/>
                <w:kern w:val="0"/>
                <w:szCs w:val="21"/>
                <w:highlight w:val="none"/>
                <w:lang w:val="en-US" w:eastAsia="zh-CN"/>
              </w:rPr>
              <w:t>043</w:t>
            </w:r>
          </w:p>
        </w:tc>
        <w:tc>
          <w:tcPr>
            <w:tcW w:w="644" w:type="pct"/>
            <w:shd w:val="clear" w:color="auto" w:fill="auto"/>
            <w:vAlign w:val="center"/>
          </w:tcPr>
          <w:p w14:paraId="59EC6EFE">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0.0</w:t>
            </w:r>
            <w:r>
              <w:rPr>
                <w:rFonts w:hint="default" w:ascii="Times New Roman" w:hAnsi="Times New Roman" w:cs="Times New Roman"/>
                <w:color w:val="auto"/>
                <w:kern w:val="0"/>
                <w:szCs w:val="21"/>
                <w:highlight w:val="none"/>
                <w:lang w:val="en-US" w:eastAsia="zh-CN"/>
              </w:rPr>
              <w:t>054</w:t>
            </w:r>
          </w:p>
        </w:tc>
        <w:tc>
          <w:tcPr>
            <w:tcW w:w="644" w:type="pct"/>
            <w:shd w:val="clear" w:color="auto" w:fill="auto"/>
            <w:vAlign w:val="center"/>
          </w:tcPr>
          <w:p w14:paraId="5E6ADBD7">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0.0</w:t>
            </w:r>
            <w:r>
              <w:rPr>
                <w:rFonts w:hint="default" w:ascii="Times New Roman" w:hAnsi="Times New Roman" w:cs="Times New Roman"/>
                <w:color w:val="auto"/>
                <w:kern w:val="0"/>
                <w:szCs w:val="21"/>
                <w:highlight w:val="none"/>
                <w:lang w:val="en-US" w:eastAsia="zh-CN"/>
              </w:rPr>
              <w:t>243</w:t>
            </w:r>
          </w:p>
        </w:tc>
        <w:tc>
          <w:tcPr>
            <w:tcW w:w="931" w:type="pct"/>
            <w:shd w:val="clear" w:color="auto" w:fill="auto"/>
            <w:vAlign w:val="center"/>
          </w:tcPr>
          <w:p w14:paraId="4480B194">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6.81</w:t>
            </w:r>
          </w:p>
        </w:tc>
      </w:tr>
    </w:tbl>
    <w:p w14:paraId="1AFDEC75">
      <w:pPr>
        <w:autoSpaceDE w:val="0"/>
        <w:autoSpaceDN w:val="0"/>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注：背景值引用现状监测数据。</w:t>
      </w:r>
    </w:p>
    <w:p w14:paraId="1A651368">
      <w:pPr>
        <w:autoSpaceDE w:val="0"/>
        <w:autoSpaceDN w:val="0"/>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3、低架源排放分担率</w:t>
      </w:r>
    </w:p>
    <w:p w14:paraId="32A63A86">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按照</w:t>
      </w:r>
      <w:r>
        <w:rPr>
          <w:rFonts w:hint="default" w:ascii="Times New Roman" w:hAnsi="Times New Roman" w:cs="Times New Roman" w:eastAsiaTheme="minorEastAsia"/>
          <w:color w:val="auto"/>
          <w:kern w:val="0"/>
          <w:sz w:val="24"/>
          <w:highlight w:val="none"/>
        </w:rPr>
        <w:t>“</w:t>
      </w:r>
      <w:r>
        <w:rPr>
          <w:rFonts w:hint="default" w:ascii="Times New Roman" w:hAnsi="Times New Roman" w:cs="Times New Roman" w:eastAsiaTheme="minorEastAsia"/>
          <w:i/>
          <w:color w:val="auto"/>
          <w:kern w:val="0"/>
          <w:sz w:val="24"/>
          <w:highlight w:val="none"/>
        </w:rPr>
        <w:t>A</w:t>
      </w:r>
      <w:r>
        <w:rPr>
          <w:rFonts w:hint="default" w:ascii="Times New Roman" w:hAnsi="Times New Roman" w:cs="Times New Roman" w:eastAsiaTheme="minorEastAsia"/>
          <w:color w:val="auto"/>
          <w:kern w:val="0"/>
          <w:sz w:val="24"/>
          <w:highlight w:val="none"/>
        </w:rPr>
        <w:t>值法”</w:t>
      </w:r>
      <w:r>
        <w:rPr>
          <w:rFonts w:hint="default" w:ascii="Times New Roman" w:hAnsi="Times New Roman" w:cs="Times New Roman"/>
          <w:color w:val="auto"/>
          <w:kern w:val="0"/>
          <w:sz w:val="24"/>
          <w:highlight w:val="none"/>
        </w:rPr>
        <w:t>规定，对于低于30m的无组织污染源排放总量限值模型为：</w:t>
      </w:r>
    </w:p>
    <w:p w14:paraId="2E1FF3EF">
      <w:pPr>
        <w:autoSpaceDE w:val="0"/>
        <w:autoSpaceDN w:val="0"/>
        <w:spacing w:line="36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Q</w:t>
      </w:r>
      <w:r>
        <w:rPr>
          <w:rFonts w:hint="default" w:ascii="Times New Roman" w:hAnsi="Times New Roman" w:cs="Times New Roman"/>
          <w:i/>
          <w:color w:val="auto"/>
          <w:kern w:val="0"/>
          <w:sz w:val="24"/>
          <w:highlight w:val="none"/>
          <w:vertAlign w:val="subscript"/>
        </w:rPr>
        <w:t>低</w:t>
      </w:r>
      <w:r>
        <w:rPr>
          <w:rFonts w:hint="default" w:ascii="Times New Roman" w:hAnsi="Times New Roman" w:cs="Times New Roman"/>
          <w:color w:val="auto"/>
          <w:kern w:val="0"/>
          <w:sz w:val="24"/>
          <w:highlight w:val="none"/>
        </w:rPr>
        <w:t>=</w:t>
      </w:r>
      <w:r>
        <w:rPr>
          <w:rFonts w:hint="default" w:ascii="Times New Roman" w:hAnsi="Times New Roman" w:cs="Times New Roman"/>
          <w:i/>
          <w:color w:val="auto"/>
          <w:kern w:val="0"/>
          <w:sz w:val="24"/>
          <w:highlight w:val="none"/>
        </w:rPr>
        <w:t>aQ</w:t>
      </w:r>
      <w:r>
        <w:rPr>
          <w:rFonts w:hint="default" w:ascii="Times New Roman" w:hAnsi="Times New Roman" w:cs="Times New Roman"/>
          <w:color w:val="auto"/>
          <w:kern w:val="0"/>
          <w:sz w:val="24"/>
          <w:highlight w:val="none"/>
        </w:rPr>
        <w:t>（</w:t>
      </w:r>
      <w:r>
        <w:rPr>
          <w:rFonts w:hint="default" w:ascii="Times New Roman" w:hAnsi="Times New Roman" w:cs="Times New Roman"/>
          <w:i/>
          <w:color w:val="auto"/>
          <w:kern w:val="0"/>
          <w:sz w:val="24"/>
          <w:highlight w:val="none"/>
        </w:rPr>
        <w:t>a</w:t>
      </w:r>
      <w:r>
        <w:rPr>
          <w:rFonts w:hint="default" w:ascii="Times New Roman" w:hAnsi="Times New Roman" w:cs="Times New Roman"/>
          <w:color w:val="auto"/>
          <w:kern w:val="0"/>
          <w:sz w:val="24"/>
          <w:highlight w:val="none"/>
        </w:rPr>
        <w:t>取0.15）</w:t>
      </w:r>
    </w:p>
    <w:p w14:paraId="1ADDD5B8">
      <w:pPr>
        <w:autoSpaceDE w:val="0"/>
        <w:autoSpaceDN w:val="0"/>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4、计算结果</w:t>
      </w:r>
    </w:p>
    <w:p w14:paraId="4B5CA8AB">
      <w:pPr>
        <w:autoSpaceDE w:val="0"/>
        <w:autoSpaceDN w:val="0"/>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color w:val="auto"/>
          <w:kern w:val="0"/>
          <w:sz w:val="24"/>
          <w:highlight w:val="none"/>
        </w:rPr>
        <w:t>根据上述模式和方法计算得到规划区大气环境容量见表5.5-3，规划区内低架源环境容量为</w:t>
      </w:r>
      <w:r>
        <w:rPr>
          <w:rFonts w:hint="default" w:ascii="Times New Roman" w:hAnsi="Times New Roman" w:cs="Times New Roman"/>
          <w:bCs/>
          <w:color w:val="auto"/>
          <w:kern w:val="0"/>
          <w:sz w:val="24"/>
          <w:highlight w:val="none"/>
        </w:rPr>
        <w:t>SO</w:t>
      </w:r>
      <w:r>
        <w:rPr>
          <w:rFonts w:hint="default" w:ascii="Times New Roman" w:hAnsi="Times New Roman" w:cs="Times New Roman"/>
          <w:bCs/>
          <w:color w:val="auto"/>
          <w:kern w:val="0"/>
          <w:sz w:val="24"/>
          <w:highlight w:val="none"/>
          <w:vertAlign w:val="subscript"/>
        </w:rPr>
        <w:t>2</w:t>
      </w:r>
      <w:r>
        <w:rPr>
          <w:rFonts w:hint="default" w:ascii="Times New Roman" w:hAnsi="Times New Roman" w:cs="Times New Roman"/>
          <w:bCs/>
          <w:color w:val="auto"/>
          <w:kern w:val="0"/>
          <w:sz w:val="24"/>
          <w:highlight w:val="none"/>
        </w:rPr>
        <w:t>：22.14t/a、NOx：10.84t/a、PM</w:t>
      </w:r>
      <w:r>
        <w:rPr>
          <w:rFonts w:hint="default" w:ascii="Times New Roman" w:hAnsi="Times New Roman" w:cs="Times New Roman"/>
          <w:bCs/>
          <w:color w:val="auto"/>
          <w:kern w:val="0"/>
          <w:sz w:val="24"/>
          <w:highlight w:val="none"/>
          <w:vertAlign w:val="subscript"/>
        </w:rPr>
        <w:t>10</w:t>
      </w:r>
      <w:r>
        <w:rPr>
          <w:rFonts w:hint="default" w:ascii="Times New Roman" w:hAnsi="Times New Roman" w:cs="Times New Roman"/>
          <w:bCs/>
          <w:color w:val="auto"/>
          <w:kern w:val="0"/>
          <w:sz w:val="24"/>
          <w:highlight w:val="none"/>
        </w:rPr>
        <w:t>：6.36t/a。</w:t>
      </w:r>
    </w:p>
    <w:p w14:paraId="3CBF8422">
      <w:pPr>
        <w:pStyle w:val="705"/>
        <w:adjustRightInd/>
        <w:snapToGrid/>
        <w:ind w:firstLine="0"/>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表5.5-3  规划区大气环境容量测算结果  单位：t/a</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5"/>
        <w:gridCol w:w="1778"/>
        <w:gridCol w:w="1631"/>
        <w:gridCol w:w="1710"/>
      </w:tblGrid>
      <w:tr w14:paraId="3CE1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10" w:type="pct"/>
            <w:shd w:val="clear" w:color="auto" w:fill="auto"/>
            <w:vAlign w:val="center"/>
          </w:tcPr>
          <w:p w14:paraId="1A3CE84B">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项目</w:t>
            </w:r>
          </w:p>
        </w:tc>
        <w:tc>
          <w:tcPr>
            <w:tcW w:w="969" w:type="pct"/>
            <w:shd w:val="clear" w:color="auto" w:fill="auto"/>
            <w:vAlign w:val="center"/>
          </w:tcPr>
          <w:p w14:paraId="2DA833DA">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SO</w:t>
            </w:r>
            <w:r>
              <w:rPr>
                <w:rFonts w:hint="default" w:ascii="Times New Roman" w:hAnsi="Times New Roman" w:cs="Times New Roman"/>
                <w:bCs/>
                <w:color w:val="auto"/>
                <w:kern w:val="0"/>
                <w:szCs w:val="21"/>
                <w:highlight w:val="none"/>
                <w:vertAlign w:val="subscript"/>
              </w:rPr>
              <w:t>2</w:t>
            </w:r>
          </w:p>
        </w:tc>
        <w:tc>
          <w:tcPr>
            <w:tcW w:w="889" w:type="pct"/>
            <w:shd w:val="clear" w:color="auto" w:fill="auto"/>
            <w:vAlign w:val="center"/>
          </w:tcPr>
          <w:p w14:paraId="28DA0B49">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NOx</w:t>
            </w:r>
          </w:p>
        </w:tc>
        <w:tc>
          <w:tcPr>
            <w:tcW w:w="932" w:type="pct"/>
            <w:shd w:val="clear" w:color="auto" w:fill="auto"/>
            <w:vAlign w:val="center"/>
          </w:tcPr>
          <w:p w14:paraId="4FEFC83C">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PM</w:t>
            </w:r>
            <w:r>
              <w:rPr>
                <w:rFonts w:hint="default" w:ascii="Times New Roman" w:hAnsi="Times New Roman" w:cs="Times New Roman"/>
                <w:bCs/>
                <w:color w:val="auto"/>
                <w:kern w:val="0"/>
                <w:szCs w:val="21"/>
                <w:highlight w:val="none"/>
                <w:vertAlign w:val="subscript"/>
              </w:rPr>
              <w:t>10</w:t>
            </w:r>
          </w:p>
        </w:tc>
      </w:tr>
      <w:tr w14:paraId="046D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0" w:type="pct"/>
            <w:shd w:val="clear" w:color="auto" w:fill="auto"/>
            <w:vAlign w:val="center"/>
          </w:tcPr>
          <w:p w14:paraId="32465DC0">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计算容量</w:t>
            </w:r>
          </w:p>
        </w:tc>
        <w:tc>
          <w:tcPr>
            <w:tcW w:w="969" w:type="pct"/>
            <w:shd w:val="clear" w:color="auto" w:fill="auto"/>
            <w:vAlign w:val="center"/>
          </w:tcPr>
          <w:p w14:paraId="5087575B">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2"/>
                <w:szCs w:val="22"/>
                <w:highlight w:val="none"/>
                <w:lang w:val="en-US" w:eastAsia="zh-CN"/>
              </w:rPr>
              <w:t>147.63</w:t>
            </w:r>
          </w:p>
        </w:tc>
        <w:tc>
          <w:tcPr>
            <w:tcW w:w="889" w:type="pct"/>
            <w:shd w:val="clear" w:color="auto" w:fill="auto"/>
            <w:vAlign w:val="center"/>
          </w:tcPr>
          <w:p w14:paraId="732F184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2"/>
                <w:szCs w:val="22"/>
                <w:highlight w:val="none"/>
                <w:lang w:val="en-US" w:eastAsia="zh-CN"/>
              </w:rPr>
              <w:t>72.26</w:t>
            </w:r>
          </w:p>
        </w:tc>
        <w:tc>
          <w:tcPr>
            <w:tcW w:w="932" w:type="pct"/>
            <w:shd w:val="clear" w:color="auto" w:fill="auto"/>
            <w:vAlign w:val="center"/>
          </w:tcPr>
          <w:p w14:paraId="70C3039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2"/>
                <w:szCs w:val="22"/>
                <w:highlight w:val="none"/>
                <w:lang w:val="en-US" w:eastAsia="zh-CN"/>
              </w:rPr>
              <w:t>42.41</w:t>
            </w:r>
          </w:p>
        </w:tc>
      </w:tr>
      <w:tr w14:paraId="410F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0" w:type="pct"/>
            <w:shd w:val="clear" w:color="auto" w:fill="auto"/>
            <w:vAlign w:val="center"/>
          </w:tcPr>
          <w:p w14:paraId="6BD6D40D">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低架源环境容量（H≤30m）</w:t>
            </w:r>
          </w:p>
        </w:tc>
        <w:tc>
          <w:tcPr>
            <w:tcW w:w="1778" w:type="dxa"/>
            <w:shd w:val="clear" w:color="auto" w:fill="auto"/>
            <w:vAlign w:val="center"/>
          </w:tcPr>
          <w:p w14:paraId="2B91DA14">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 xml:space="preserve">22.14 </w:t>
            </w:r>
          </w:p>
        </w:tc>
        <w:tc>
          <w:tcPr>
            <w:tcW w:w="1631" w:type="dxa"/>
            <w:shd w:val="clear" w:color="auto" w:fill="auto"/>
            <w:vAlign w:val="center"/>
          </w:tcPr>
          <w:p w14:paraId="156805B6">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 xml:space="preserve">10.84 </w:t>
            </w:r>
          </w:p>
        </w:tc>
        <w:tc>
          <w:tcPr>
            <w:tcW w:w="1710" w:type="dxa"/>
            <w:shd w:val="clear" w:color="auto" w:fill="auto"/>
            <w:vAlign w:val="center"/>
          </w:tcPr>
          <w:p w14:paraId="52AFE5CB">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 xml:space="preserve">6.36 </w:t>
            </w:r>
          </w:p>
        </w:tc>
      </w:tr>
    </w:tbl>
    <w:p w14:paraId="07ACFC88">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大气环境承载状态评估</w:t>
      </w:r>
    </w:p>
    <w:p w14:paraId="1260AA2D">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根据污染物产排量计算，在主要使用电力、液化石油气等清洁能源条件下，规划实施后大气污染物排放量很小，占整个规划区内大气环境容量的比例非常小，大气环境能够支撑规划区旅游发展需要。</w:t>
      </w:r>
    </w:p>
    <w:p w14:paraId="216D3FBD">
      <w:pPr>
        <w:pStyle w:val="4"/>
        <w:spacing w:before="156" w:after="156"/>
        <w:rPr>
          <w:rFonts w:hint="default" w:ascii="Times New Roman" w:hAnsi="Times New Roman" w:cs="Times New Roman"/>
          <w:color w:val="auto"/>
          <w:highlight w:val="none"/>
        </w:rPr>
      </w:pPr>
      <w:bookmarkStart w:id="169" w:name="_Toc36557450"/>
      <w:r>
        <w:rPr>
          <w:rFonts w:hint="default" w:ascii="Times New Roman" w:hAnsi="Times New Roman" w:cs="Times New Roman"/>
          <w:color w:val="auto"/>
          <w:highlight w:val="none"/>
        </w:rPr>
        <w:t>水环境承载力</w:t>
      </w:r>
      <w:bookmarkEnd w:id="169"/>
    </w:p>
    <w:p w14:paraId="773302C2">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规划区位于</w:t>
      </w:r>
      <w:r>
        <w:rPr>
          <w:rFonts w:hint="default" w:ascii="Times New Roman" w:hAnsi="Times New Roman" w:cs="Times New Roman"/>
          <w:color w:val="auto"/>
          <w:kern w:val="0"/>
          <w:sz w:val="24"/>
          <w:highlight w:val="none"/>
          <w:lang w:eastAsia="zh-CN"/>
        </w:rPr>
        <w:t>帕隆藏布</w:t>
      </w:r>
      <w:r>
        <w:rPr>
          <w:rFonts w:hint="default" w:ascii="Times New Roman" w:hAnsi="Times New Roman" w:cs="Times New Roman"/>
          <w:color w:val="auto"/>
          <w:kern w:val="0"/>
          <w:sz w:val="24"/>
          <w:highlight w:val="none"/>
        </w:rPr>
        <w:t>流域，为了解评价区内的水环境承载力，依据《关于开展水环境承载力评价工作的通知》（环办水体函[2020]538号），选用水环境承载力指数评估区域内水环境超载情况。</w:t>
      </w:r>
    </w:p>
    <w:p w14:paraId="7AFDC927">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参与评价断面基础信息</w:t>
      </w:r>
    </w:p>
    <w:p w14:paraId="751AE6F5">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评价断面水质监测数据</w:t>
      </w:r>
    </w:p>
    <w:p w14:paraId="5274821E">
      <w:pPr>
        <w:autoSpaceDE w:val="0"/>
        <w:autoSpaceDN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本次评价引用《202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西藏自治区生态环境状况公报》中地表水环境状况数据，评价基准年为202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2024年，全区主要江河、湖泊水质整体保持优良，达到国家规定相应水域的环境质量标准。澜沧江、金沙江、雅鲁藏布江、怒江干流水质达到Ⅱ类标准，拉萨河、年楚河、尼洋河等流经重要城镇的河流水质达到或优于Ⅱ类标准。班公错、普莫雍错、羊卓雍错、色林错、纳木错、佩枯错湖泊水质均达到Ⅱ类标准。</w:t>
      </w:r>
    </w:p>
    <w:p w14:paraId="5AB0AA1D">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承载力指数</w:t>
      </w:r>
    </w:p>
    <w:p w14:paraId="467B05FB">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（1）承载力指数计算</w:t>
      </w:r>
    </w:p>
    <w:p w14:paraId="78A15A27">
      <w:pPr>
        <w:autoSpaceDE w:val="0"/>
        <w:autoSpaceDN w:val="0"/>
        <w:spacing w:line="360" w:lineRule="auto"/>
        <w:ind w:firstLine="480" w:firstLineChars="200"/>
        <w:rPr>
          <w:rFonts w:hint="default" w:ascii="Times New Roman" w:hAnsi="Times New Roman" w:cs="Times New Roman"/>
          <w:color w:val="auto"/>
          <w:kern w:val="0"/>
          <w:sz w:val="24"/>
          <w:highlight w:val="none"/>
        </w:rPr>
      </w:pPr>
      <m:oMathPara>
        <m:oMath>
          <m:sSub>
            <m:sSubPr>
              <m:ctrlPr>
                <w:rPr>
                  <w:rFonts w:hint="default" w:ascii="Cambria Math" w:hAnsi="Cambria Math" w:cs="Times New Roman"/>
                  <w:i/>
                  <w:color w:val="auto"/>
                  <w:kern w:val="0"/>
                  <w:sz w:val="24"/>
                  <w:highlight w:val="none"/>
                </w:rPr>
              </m:ctrlPr>
            </m:sSubPr>
            <m:e>
              <m:r>
                <m:rPr>
                  <m:nor/>
                </m:rPr>
                <w:rPr>
                  <w:rFonts w:hint="default" w:ascii="Times New Roman" w:hAnsi="Times New Roman" w:cs="Times New Roman"/>
                  <w:i/>
                  <w:color w:val="auto"/>
                  <w:kern w:val="0"/>
                  <w:sz w:val="24"/>
                  <w:highlight w:val="none"/>
                </w:rPr>
                <m:t>R</m:t>
              </m:r>
              <m:ctrlPr>
                <w:rPr>
                  <w:rFonts w:hint="default" w:ascii="Cambria Math" w:hAnsi="Cambria Math" w:cs="Times New Roman"/>
                  <w:i/>
                  <w:color w:val="auto"/>
                  <w:kern w:val="0"/>
                  <w:sz w:val="24"/>
                  <w:highlight w:val="none"/>
                </w:rPr>
              </m:ctrlPr>
            </m:e>
            <m:sub>
              <m:r>
                <m:rPr>
                  <m:nor/>
                </m:rPr>
                <w:rPr>
                  <w:rFonts w:hint="default" w:ascii="Times New Roman" w:hAnsi="Times New Roman" w:cs="Times New Roman"/>
                  <w:i/>
                  <w:color w:val="auto"/>
                  <w:kern w:val="0"/>
                  <w:sz w:val="24"/>
                  <w:highlight w:val="none"/>
                </w:rPr>
                <m:t>C</m:t>
              </m:r>
              <m:ctrlPr>
                <w:rPr>
                  <w:rFonts w:hint="default" w:ascii="Cambria Math" w:hAnsi="Cambria Math" w:cs="Times New Roman"/>
                  <w:i/>
                  <w:color w:val="auto"/>
                  <w:kern w:val="0"/>
                  <w:sz w:val="24"/>
                  <w:highlight w:val="none"/>
                </w:rPr>
              </m:ctrlPr>
            </m:sub>
          </m:sSub>
          <m:r>
            <m:rPr>
              <m:nor/>
              <m:sty m:val="p"/>
            </m:rPr>
            <w:rPr>
              <w:rFonts w:hint="default" w:ascii="Times New Roman" w:hAnsi="Times New Roman" w:cs="Times New Roman"/>
              <w:b w:val="0"/>
              <w:i w:val="0"/>
              <w:color w:val="auto"/>
              <w:kern w:val="0"/>
              <w:sz w:val="24"/>
              <w:highlight w:val="none"/>
            </w:rPr>
            <m:t>=</m:t>
          </m:r>
          <m:f>
            <m:fPr>
              <m:ctrlPr>
                <w:rPr>
                  <w:rFonts w:hint="default" w:ascii="Cambria Math" w:hAnsi="Cambria Math" w:cs="Times New Roman"/>
                  <w:i/>
                  <w:color w:val="auto"/>
                  <w:kern w:val="0"/>
                  <w:sz w:val="24"/>
                  <w:highlight w:val="none"/>
                </w:rPr>
              </m:ctrlPr>
            </m:fPr>
            <m:num>
              <m:sSub>
                <m:sSubPr>
                  <m:ctrlPr>
                    <w:rPr>
                      <w:rFonts w:hint="default" w:ascii="Cambria Math" w:hAnsi="Cambria Math" w:cs="Times New Roman"/>
                      <w:i/>
                      <w:color w:val="auto"/>
                      <w:kern w:val="0"/>
                      <w:sz w:val="24"/>
                      <w:highlight w:val="none"/>
                    </w:rPr>
                  </m:ctrlPr>
                </m:sSubPr>
                <m:e>
                  <m:r>
                    <m:rPr>
                      <m:nor/>
                    </m:rPr>
                    <w:rPr>
                      <w:rFonts w:hint="default" w:ascii="Times New Roman" w:hAnsi="Times New Roman" w:cs="Times New Roman"/>
                      <w:i/>
                      <w:color w:val="auto"/>
                      <w:kern w:val="0"/>
                      <w:sz w:val="24"/>
                      <w:highlight w:val="none"/>
                    </w:rPr>
                    <m:t>A</m:t>
                  </m:r>
                  <m:ctrlPr>
                    <w:rPr>
                      <w:rFonts w:hint="default" w:ascii="Cambria Math" w:hAnsi="Cambria Math" w:cs="Times New Roman"/>
                      <w:i/>
                      <w:color w:val="auto"/>
                      <w:kern w:val="0"/>
                      <w:sz w:val="24"/>
                      <w:highlight w:val="none"/>
                    </w:rPr>
                  </m:ctrlPr>
                </m:e>
                <m:sub>
                  <m:r>
                    <m:rPr>
                      <m:nor/>
                      <m:sty m:val="p"/>
                    </m:rPr>
                    <w:rPr>
                      <w:rFonts w:hint="default" w:ascii="Times New Roman" w:hAnsi="Times New Roman" w:cs="Times New Roman"/>
                      <w:b w:val="0"/>
                      <w:i w:val="0"/>
                      <w:color w:val="auto"/>
                      <w:kern w:val="0"/>
                      <w:sz w:val="24"/>
                      <w:highlight w:val="none"/>
                    </w:rPr>
                    <m:t>1</m:t>
                  </m:r>
                  <m:ctrlPr>
                    <w:rPr>
                      <w:rFonts w:hint="default" w:ascii="Cambria Math" w:hAnsi="Cambria Math" w:cs="Times New Roman"/>
                      <w:i/>
                      <w:color w:val="auto"/>
                      <w:kern w:val="0"/>
                      <w:sz w:val="24"/>
                      <w:highlight w:val="none"/>
                    </w:rPr>
                  </m:ctrlPr>
                </m:sub>
              </m:sSub>
              <m:r>
                <m:rPr>
                  <m:nor/>
                  <m:sty m:val="p"/>
                </m:rPr>
                <w:rPr>
                  <w:rFonts w:hint="default" w:ascii="Times New Roman" w:hAnsi="Times New Roman" w:cs="Times New Roman"/>
                  <w:b w:val="0"/>
                  <w:i w:val="0"/>
                  <w:color w:val="auto"/>
                  <w:kern w:val="0"/>
                  <w:sz w:val="24"/>
                  <w:highlight w:val="none"/>
                </w:rPr>
                <m:t>+</m:t>
              </m:r>
              <m:sSub>
                <m:sSubPr>
                  <m:ctrlPr>
                    <w:rPr>
                      <w:rFonts w:hint="default" w:ascii="Cambria Math" w:hAnsi="Cambria Math" w:cs="Times New Roman"/>
                      <w:i/>
                      <w:color w:val="auto"/>
                      <w:kern w:val="0"/>
                      <w:sz w:val="24"/>
                      <w:highlight w:val="none"/>
                    </w:rPr>
                  </m:ctrlPr>
                </m:sSubPr>
                <m:e>
                  <m:r>
                    <m:rPr>
                      <m:nor/>
                    </m:rPr>
                    <w:rPr>
                      <w:rFonts w:hint="default" w:ascii="Times New Roman" w:hAnsi="Times New Roman" w:cs="Times New Roman"/>
                      <w:i/>
                      <w:color w:val="auto"/>
                      <w:kern w:val="0"/>
                      <w:sz w:val="24"/>
                      <w:highlight w:val="none"/>
                    </w:rPr>
                    <m:t>A</m:t>
                  </m:r>
                  <m:ctrlPr>
                    <w:rPr>
                      <w:rFonts w:hint="default" w:ascii="Cambria Math" w:hAnsi="Cambria Math" w:cs="Times New Roman"/>
                      <w:i/>
                      <w:color w:val="auto"/>
                      <w:kern w:val="0"/>
                      <w:sz w:val="24"/>
                      <w:highlight w:val="none"/>
                    </w:rPr>
                  </m:ctrlPr>
                </m:e>
                <m:sub>
                  <m:r>
                    <m:rPr>
                      <m:nor/>
                      <m:sty m:val="p"/>
                    </m:rPr>
                    <w:rPr>
                      <w:rFonts w:hint="default" w:ascii="Times New Roman" w:hAnsi="Times New Roman" w:cs="Times New Roman"/>
                      <w:b w:val="0"/>
                      <w:i w:val="0"/>
                      <w:color w:val="auto"/>
                      <w:kern w:val="0"/>
                      <w:sz w:val="24"/>
                      <w:highlight w:val="none"/>
                    </w:rPr>
                    <m:t>2</m:t>
                  </m:r>
                  <m:ctrlPr>
                    <w:rPr>
                      <w:rFonts w:hint="default" w:ascii="Cambria Math" w:hAnsi="Cambria Math" w:cs="Times New Roman"/>
                      <w:i/>
                      <w:color w:val="auto"/>
                      <w:kern w:val="0"/>
                      <w:sz w:val="24"/>
                      <w:highlight w:val="none"/>
                    </w:rPr>
                  </m:ctrlPr>
                </m:sub>
              </m:sSub>
              <m:ctrlPr>
                <w:rPr>
                  <w:rFonts w:hint="default" w:ascii="Cambria Math" w:hAnsi="Cambria Math" w:cs="Times New Roman"/>
                  <w:i/>
                  <w:color w:val="auto"/>
                  <w:kern w:val="0"/>
                  <w:sz w:val="24"/>
                  <w:highlight w:val="none"/>
                </w:rPr>
              </m:ctrlPr>
            </m:num>
            <m:den>
              <m:r>
                <m:rPr>
                  <m:nor/>
                  <m:sty m:val="p"/>
                </m:rPr>
                <w:rPr>
                  <w:rFonts w:hint="default" w:ascii="Times New Roman" w:hAnsi="Times New Roman" w:cs="Times New Roman"/>
                  <w:b w:val="0"/>
                  <w:i w:val="0"/>
                  <w:color w:val="auto"/>
                  <w:kern w:val="0"/>
                  <w:sz w:val="24"/>
                  <w:highlight w:val="none"/>
                </w:rPr>
                <m:t>2</m:t>
              </m:r>
              <m:ctrlPr>
                <w:rPr>
                  <w:rFonts w:hint="default" w:ascii="Cambria Math" w:hAnsi="Cambria Math" w:cs="Times New Roman"/>
                  <w:i/>
                  <w:color w:val="auto"/>
                  <w:kern w:val="0"/>
                  <w:sz w:val="24"/>
                  <w:highlight w:val="none"/>
                </w:rPr>
              </m:ctrlPr>
            </m:den>
          </m:f>
        </m:oMath>
      </m:oMathPara>
    </w:p>
    <w:p w14:paraId="610C808E">
      <w:pPr>
        <w:autoSpaceDE w:val="0"/>
        <w:autoSpaceDN w:val="0"/>
        <w:spacing w:line="360" w:lineRule="auto"/>
        <w:ind w:firstLine="480" w:firstLineChars="200"/>
        <w:rPr>
          <w:rFonts w:hint="default" w:ascii="Times New Roman" w:hAnsi="Times New Roman" w:eastAsia="仿宋" w:cs="Times New Roman"/>
          <w:color w:val="auto"/>
          <w:kern w:val="0"/>
          <w:sz w:val="24"/>
          <w:highlight w:val="none"/>
        </w:rPr>
      </w:pPr>
      <w:r>
        <w:rPr>
          <w:rFonts w:hint="default" w:ascii="Times New Roman" w:hAnsi="Times New Roman" w:cs="Times New Roman"/>
          <w:color w:val="auto"/>
          <w:kern w:val="0"/>
          <w:sz w:val="24"/>
          <w:highlight w:val="none"/>
        </w:rPr>
        <w:t>式中，</w:t>
      </w:r>
      <w:r>
        <w:rPr>
          <w:rFonts w:hint="default" w:ascii="Times New Roman" w:hAnsi="Times New Roman" w:cs="Times New Roman"/>
          <w:i/>
          <w:iCs/>
          <w:color w:val="auto"/>
          <w:kern w:val="0"/>
          <w:sz w:val="24"/>
          <w:highlight w:val="none"/>
        </w:rPr>
        <w:t>Rc</w:t>
      </w:r>
      <w:r>
        <w:rPr>
          <w:rFonts w:hint="default" w:ascii="Times New Roman" w:hAnsi="Times New Roman" w:cs="Times New Roman"/>
          <w:color w:val="auto"/>
          <w:kern w:val="0"/>
          <w:sz w:val="24"/>
          <w:highlight w:val="none"/>
        </w:rPr>
        <w:t>是谁环境承载力指数；</w:t>
      </w:r>
      <w:r>
        <w:rPr>
          <w:rFonts w:hint="default" w:ascii="Times New Roman" w:hAnsi="Times New Roman" w:cs="Times New Roman"/>
          <w:i/>
          <w:iCs/>
          <w:color w:val="auto"/>
          <w:kern w:val="0"/>
          <w:sz w:val="24"/>
          <w:highlight w:val="none"/>
        </w:rPr>
        <w:t>A</w:t>
      </w:r>
      <w:r>
        <w:rPr>
          <w:rFonts w:hint="default" w:ascii="Times New Roman" w:hAnsi="Times New Roman" w:cs="Times New Roman"/>
          <w:i/>
          <w:iCs/>
          <w:color w:val="auto"/>
          <w:kern w:val="0"/>
          <w:sz w:val="24"/>
          <w:highlight w:val="none"/>
          <w:vertAlign w:val="subscript"/>
        </w:rPr>
        <w:t>1</w:t>
      </w:r>
      <w:r>
        <w:rPr>
          <w:rFonts w:hint="default" w:ascii="Times New Roman" w:hAnsi="Times New Roman" w:cs="Times New Roman"/>
          <w:color w:val="auto"/>
          <w:kern w:val="0"/>
          <w:sz w:val="24"/>
          <w:highlight w:val="none"/>
        </w:rPr>
        <w:t>是水质时间达标率；</w:t>
      </w:r>
      <w:r>
        <w:rPr>
          <w:rFonts w:hint="default" w:ascii="Times New Roman" w:hAnsi="Times New Roman" w:cs="Times New Roman"/>
          <w:i/>
          <w:iCs/>
          <w:color w:val="auto"/>
          <w:kern w:val="0"/>
          <w:sz w:val="24"/>
          <w:highlight w:val="none"/>
        </w:rPr>
        <w:t>A</w:t>
      </w:r>
      <w:r>
        <w:rPr>
          <w:rFonts w:hint="default" w:ascii="Times New Roman" w:hAnsi="Times New Roman" w:cs="Times New Roman"/>
          <w:i/>
          <w:iCs/>
          <w:color w:val="auto"/>
          <w:kern w:val="0"/>
          <w:sz w:val="24"/>
          <w:highlight w:val="none"/>
          <w:vertAlign w:val="subscript"/>
        </w:rPr>
        <w:t>2</w:t>
      </w:r>
      <w:r>
        <w:rPr>
          <w:rFonts w:hint="default" w:ascii="Times New Roman" w:hAnsi="Times New Roman" w:cs="Times New Roman"/>
          <w:color w:val="auto"/>
          <w:kern w:val="0"/>
          <w:sz w:val="24"/>
          <w:highlight w:val="none"/>
        </w:rPr>
        <w:t>是水质空间达标率。</w:t>
      </w:r>
    </w:p>
    <w:p w14:paraId="37ACA120">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（2）水质时间（</w:t>
      </w:r>
      <w:r>
        <w:rPr>
          <w:rFonts w:hint="default" w:ascii="Times New Roman" w:hAnsi="Times New Roman" w:cs="Times New Roman"/>
          <w:i/>
          <w:iCs/>
          <w:color w:val="auto"/>
          <w:kern w:val="0"/>
          <w:sz w:val="24"/>
          <w:highlight w:val="none"/>
        </w:rPr>
        <w:t>A</w:t>
      </w:r>
      <w:r>
        <w:rPr>
          <w:rFonts w:hint="default" w:ascii="Times New Roman" w:hAnsi="Times New Roman" w:cs="Times New Roman"/>
          <w:i/>
          <w:iCs/>
          <w:color w:val="auto"/>
          <w:kern w:val="0"/>
          <w:sz w:val="24"/>
          <w:highlight w:val="none"/>
          <w:vertAlign w:val="subscript"/>
        </w:rPr>
        <w:t>1</w:t>
      </w:r>
      <w:r>
        <w:rPr>
          <w:rFonts w:hint="default" w:ascii="Times New Roman" w:hAnsi="Times New Roman" w:cs="Times New Roman"/>
          <w:color w:val="auto"/>
          <w:kern w:val="0"/>
          <w:sz w:val="24"/>
          <w:highlight w:val="none"/>
        </w:rPr>
        <w:t>）与水质空间（</w:t>
      </w:r>
      <w:r>
        <w:rPr>
          <w:rFonts w:hint="default" w:ascii="Times New Roman" w:hAnsi="Times New Roman" w:cs="Times New Roman"/>
          <w:i/>
          <w:iCs/>
          <w:color w:val="auto"/>
          <w:kern w:val="0"/>
          <w:sz w:val="24"/>
          <w:highlight w:val="none"/>
        </w:rPr>
        <w:t>A</w:t>
      </w:r>
      <w:r>
        <w:rPr>
          <w:rFonts w:hint="default" w:ascii="Times New Roman" w:hAnsi="Times New Roman" w:cs="Times New Roman"/>
          <w:i/>
          <w:iCs/>
          <w:color w:val="auto"/>
          <w:kern w:val="0"/>
          <w:sz w:val="24"/>
          <w:highlight w:val="none"/>
          <w:vertAlign w:val="subscript"/>
        </w:rPr>
        <w:t>2</w:t>
      </w:r>
      <w:r>
        <w:rPr>
          <w:rFonts w:hint="default" w:ascii="Times New Roman" w:hAnsi="Times New Roman" w:cs="Times New Roman"/>
          <w:color w:val="auto"/>
          <w:kern w:val="0"/>
          <w:sz w:val="24"/>
          <w:highlight w:val="none"/>
        </w:rPr>
        <w:t>）达标率</w:t>
      </w:r>
    </w:p>
    <w:p w14:paraId="74AE24C9">
      <w:pPr>
        <w:pStyle w:val="36"/>
        <w:rPr>
          <w:rFonts w:hint="default" w:ascii="Times New Roman" w:hAnsi="Times New Roman" w:cs="Times New Roman"/>
          <w:color w:val="auto"/>
          <w:sz w:val="24"/>
          <w:szCs w:val="24"/>
          <w:highlight w:val="none"/>
        </w:rPr>
      </w:pPr>
      <m:oMathPara>
        <m:oMath>
          <m:sSub>
            <m:sSubPr>
              <m:ctrlPr>
                <w:rPr>
                  <w:rFonts w:hint="default" w:ascii="Cambria Math" w:hAnsi="Cambria Math" w:cs="Times New Roman"/>
                  <w:i/>
                  <w:color w:val="auto"/>
                  <w:sz w:val="24"/>
                  <w:szCs w:val="24"/>
                  <w:highlight w:val="none"/>
                </w:rPr>
              </m:ctrlPr>
            </m:sSubPr>
            <m:e>
              <m:r>
                <m:rPr>
                  <m:nor/>
                </m:rPr>
                <w:rPr>
                  <w:rFonts w:hint="default" w:ascii="Times New Roman" w:hAnsi="Times New Roman" w:cs="Times New Roman"/>
                  <w:i/>
                  <w:color w:val="auto"/>
                  <w:sz w:val="24"/>
                  <w:szCs w:val="24"/>
                  <w:highlight w:val="none"/>
                </w:rPr>
                <m:t>A</m:t>
              </m:r>
              <m:ctrlPr>
                <w:rPr>
                  <w:rFonts w:hint="default" w:ascii="Cambria Math" w:hAnsi="Cambria Math" w:cs="Times New Roman"/>
                  <w:i/>
                  <w:color w:val="auto"/>
                  <w:sz w:val="24"/>
                  <w:szCs w:val="24"/>
                  <w:highlight w:val="none"/>
                </w:rPr>
              </m:ctrlPr>
            </m:e>
            <m:sub>
              <m:r>
                <m:rPr>
                  <m:nor/>
                  <m:sty m:val="p"/>
                </m:rPr>
                <w:rPr>
                  <w:rFonts w:hint="default" w:ascii="Times New Roman" w:hAnsi="Times New Roman" w:cs="Times New Roman"/>
                  <w:b w:val="0"/>
                  <w:i w:val="0"/>
                  <w:color w:val="auto"/>
                  <w:sz w:val="24"/>
                  <w:szCs w:val="24"/>
                  <w:highlight w:val="none"/>
                </w:rPr>
                <m:t>1</m:t>
              </m:r>
              <m:ctrlPr>
                <w:rPr>
                  <w:rFonts w:hint="default" w:ascii="Cambria Math" w:hAnsi="Cambria Math" w:cs="Times New Roman"/>
                  <w:i/>
                  <w:color w:val="auto"/>
                  <w:sz w:val="24"/>
                  <w:szCs w:val="24"/>
                  <w:highlight w:val="none"/>
                </w:rPr>
              </m:ctrlPr>
            </m:sub>
          </m:sSub>
          <m:r>
            <m:rPr>
              <m:nor/>
              <m:sty m:val="p"/>
            </m:rPr>
            <w:rPr>
              <w:rFonts w:hint="default" w:ascii="Times New Roman" w:hAnsi="Times New Roman" w:cs="Times New Roman"/>
              <w:b w:val="0"/>
              <w:i w:val="0"/>
              <w:color w:val="auto"/>
              <w:sz w:val="24"/>
              <w:szCs w:val="24"/>
              <w:highlight w:val="none"/>
            </w:rPr>
            <m:t>=</m:t>
          </m:r>
          <m:f>
            <m:fPr>
              <m:ctrlPr>
                <w:rPr>
                  <w:rFonts w:hint="default" w:ascii="Cambria Math" w:hAnsi="Cambria Math" w:cs="Times New Roman"/>
                  <w:i/>
                  <w:color w:val="auto"/>
                  <w:sz w:val="24"/>
                  <w:szCs w:val="24"/>
                  <w:highlight w:val="none"/>
                </w:rPr>
              </m:ctrlPr>
            </m:fPr>
            <m:num>
              <m:r>
                <m:rPr>
                  <m:nor/>
                  <m:sty m:val="p"/>
                </m:rPr>
                <w:rPr>
                  <w:rFonts w:hint="default" w:ascii="Times New Roman" w:hAnsi="Times New Roman" w:cs="Times New Roman"/>
                  <w:b w:val="0"/>
                  <w:i w:val="0"/>
                  <w:color w:val="auto"/>
                  <w:sz w:val="24"/>
                  <w:szCs w:val="24"/>
                  <w:highlight w:val="none"/>
                </w:rPr>
                <m:t>1</m:t>
              </m:r>
              <m:ctrlPr>
                <w:rPr>
                  <w:rFonts w:hint="default" w:ascii="Cambria Math" w:hAnsi="Cambria Math" w:cs="Times New Roman"/>
                  <w:i/>
                  <w:color w:val="auto"/>
                  <w:sz w:val="24"/>
                  <w:szCs w:val="24"/>
                  <w:highlight w:val="none"/>
                </w:rPr>
              </m:ctrlPr>
            </m:num>
            <m:den>
              <m:r>
                <m:rPr>
                  <m:nor/>
                </m:rPr>
                <w:rPr>
                  <w:rFonts w:hint="default" w:ascii="Times New Roman" w:hAnsi="Times New Roman" w:cs="Times New Roman"/>
                  <w:i/>
                  <w:color w:val="auto"/>
                  <w:sz w:val="24"/>
                  <w:szCs w:val="24"/>
                  <w:highlight w:val="none"/>
                </w:rPr>
                <m:t>n</m:t>
              </m:r>
              <m:ctrlPr>
                <w:rPr>
                  <w:rFonts w:hint="default" w:ascii="Cambria Math" w:hAnsi="Cambria Math" w:cs="Times New Roman"/>
                  <w:i/>
                  <w:color w:val="auto"/>
                  <w:sz w:val="24"/>
                  <w:szCs w:val="24"/>
                  <w:highlight w:val="none"/>
                </w:rPr>
              </m:ctrlPr>
            </m:den>
          </m:f>
          <m:nary>
            <m:naryPr>
              <m:chr m:val="∑"/>
              <m:limLoc m:val="undOvr"/>
              <m:ctrlPr>
                <w:rPr>
                  <w:rFonts w:hint="default" w:ascii="Cambria Math" w:hAnsi="Cambria Math" w:cs="Times New Roman"/>
                  <w:i/>
                  <w:color w:val="auto"/>
                  <w:sz w:val="24"/>
                  <w:szCs w:val="24"/>
                  <w:highlight w:val="none"/>
                </w:rPr>
              </m:ctrlPr>
            </m:naryPr>
            <m:sub>
              <m:r>
                <m:rPr>
                  <m:nor/>
                </m:rPr>
                <w:rPr>
                  <w:rFonts w:hint="default" w:ascii="Times New Roman" w:hAnsi="Times New Roman" w:cs="Times New Roman"/>
                  <w:i/>
                  <w:color w:val="auto"/>
                  <w:sz w:val="24"/>
                  <w:szCs w:val="24"/>
                  <w:highlight w:val="none"/>
                </w:rPr>
                <m:t>i</m:t>
              </m:r>
              <m:r>
                <m:rPr>
                  <m:nor/>
                  <m:sty m:val="p"/>
                </m:rPr>
                <w:rPr>
                  <w:rFonts w:hint="default" w:ascii="Times New Roman" w:hAnsi="Times New Roman" w:cs="Times New Roman"/>
                  <w:b w:val="0"/>
                  <w:i w:val="0"/>
                  <w:color w:val="auto"/>
                  <w:sz w:val="24"/>
                  <w:szCs w:val="24"/>
                  <w:highlight w:val="none"/>
                </w:rPr>
                <m:t>=1</m:t>
              </m:r>
              <m:ctrlPr>
                <w:rPr>
                  <w:rFonts w:hint="default" w:ascii="Cambria Math" w:hAnsi="Cambria Math" w:cs="Times New Roman"/>
                  <w:i/>
                  <w:color w:val="auto"/>
                  <w:sz w:val="24"/>
                  <w:szCs w:val="24"/>
                  <w:highlight w:val="none"/>
                </w:rPr>
              </m:ctrlPr>
            </m:sub>
            <m:sup>
              <m:r>
                <m:rPr>
                  <m:nor/>
                </m:rPr>
                <w:rPr>
                  <w:rFonts w:hint="default" w:ascii="Times New Roman" w:hAnsi="Times New Roman" w:cs="Times New Roman"/>
                  <w:i/>
                  <w:color w:val="auto"/>
                  <w:sz w:val="24"/>
                  <w:szCs w:val="24"/>
                  <w:highlight w:val="none"/>
                </w:rPr>
                <m:t>n</m:t>
              </m:r>
              <m:ctrlPr>
                <w:rPr>
                  <w:rFonts w:hint="default" w:ascii="Cambria Math" w:hAnsi="Cambria Math" w:cs="Times New Roman"/>
                  <w:i/>
                  <w:color w:val="auto"/>
                  <w:sz w:val="24"/>
                  <w:szCs w:val="24"/>
                  <w:highlight w:val="none"/>
                </w:rPr>
              </m:ctrlPr>
            </m:sup>
            <m:e>
              <m:sSub>
                <m:sSubPr>
                  <m:ctrlPr>
                    <w:rPr>
                      <w:rFonts w:hint="default" w:ascii="Cambria Math" w:hAnsi="Cambria Math" w:cs="Times New Roman"/>
                      <w:i/>
                      <w:color w:val="auto"/>
                      <w:sz w:val="24"/>
                      <w:szCs w:val="24"/>
                      <w:highlight w:val="none"/>
                    </w:rPr>
                  </m:ctrlPr>
                </m:sSubPr>
                <m:e>
                  <m:r>
                    <m:rPr>
                      <m:nor/>
                    </m:rPr>
                    <w:rPr>
                      <w:rFonts w:hint="default" w:ascii="Times New Roman" w:hAnsi="Times New Roman" w:cs="Times New Roman"/>
                      <w:i/>
                      <w:color w:val="auto"/>
                      <w:sz w:val="24"/>
                      <w:szCs w:val="24"/>
                      <w:highlight w:val="none"/>
                    </w:rPr>
                    <m:t>C</m:t>
                  </m:r>
                  <m:ctrlPr>
                    <w:rPr>
                      <w:rFonts w:hint="default" w:ascii="Cambria Math" w:hAnsi="Cambria Math" w:cs="Times New Roman"/>
                      <w:i/>
                      <w:color w:val="auto"/>
                      <w:sz w:val="24"/>
                      <w:szCs w:val="24"/>
                      <w:highlight w:val="none"/>
                    </w:rPr>
                  </m:ctrlPr>
                </m:e>
                <m:sub>
                  <m:r>
                    <m:rPr>
                      <m:nor/>
                    </m:rPr>
                    <w:rPr>
                      <w:rFonts w:hint="default" w:ascii="Times New Roman" w:hAnsi="Times New Roman" w:cs="Times New Roman"/>
                      <w:i/>
                      <w:color w:val="auto"/>
                      <w:sz w:val="24"/>
                      <w:szCs w:val="24"/>
                      <w:highlight w:val="none"/>
                    </w:rPr>
                    <m:t>i</m:t>
                  </m:r>
                  <m:ctrlPr>
                    <w:rPr>
                      <w:rFonts w:hint="default" w:ascii="Cambria Math" w:hAnsi="Cambria Math" w:cs="Times New Roman"/>
                      <w:i/>
                      <w:color w:val="auto"/>
                      <w:sz w:val="24"/>
                      <w:szCs w:val="24"/>
                      <w:highlight w:val="none"/>
                    </w:rPr>
                  </m:ctrlPr>
                </m:sub>
              </m:sSub>
              <m:ctrlPr>
                <w:rPr>
                  <w:rFonts w:hint="default" w:ascii="Cambria Math" w:hAnsi="Cambria Math" w:cs="Times New Roman"/>
                  <w:i/>
                  <w:color w:val="auto"/>
                  <w:sz w:val="24"/>
                  <w:szCs w:val="24"/>
                  <w:highlight w:val="none"/>
                </w:rPr>
              </m:ctrlPr>
            </m:e>
          </m:nary>
        </m:oMath>
      </m:oMathPara>
    </w:p>
    <w:p w14:paraId="57C61CE4">
      <w:pPr>
        <w:pStyle w:val="36"/>
        <w:rPr>
          <w:rFonts w:hint="default" w:ascii="Times New Roman" w:hAnsi="Times New Roman" w:cs="Times New Roman"/>
          <w:color w:val="auto"/>
          <w:sz w:val="24"/>
          <w:szCs w:val="24"/>
          <w:highlight w:val="none"/>
        </w:rPr>
      </w:pPr>
      <m:oMathPara>
        <m:oMath>
          <m:sSub>
            <m:sSubPr>
              <m:ctrlPr>
                <w:rPr>
                  <w:rFonts w:hint="default" w:ascii="Cambria Math" w:hAnsi="Cambria Math" w:cs="Times New Roman"/>
                  <w:i/>
                  <w:color w:val="auto"/>
                  <w:sz w:val="24"/>
                  <w:szCs w:val="24"/>
                  <w:highlight w:val="none"/>
                </w:rPr>
              </m:ctrlPr>
            </m:sSubPr>
            <m:e>
              <m:r>
                <m:rPr>
                  <m:nor/>
                </m:rPr>
                <w:rPr>
                  <w:rFonts w:hint="default" w:ascii="Times New Roman" w:hAnsi="Times New Roman" w:cs="Times New Roman"/>
                  <w:i/>
                  <w:color w:val="auto"/>
                  <w:sz w:val="24"/>
                  <w:szCs w:val="24"/>
                  <w:highlight w:val="none"/>
                </w:rPr>
                <m:t>C</m:t>
              </m:r>
              <m:ctrlPr>
                <w:rPr>
                  <w:rFonts w:hint="default" w:ascii="Cambria Math" w:hAnsi="Cambria Math" w:cs="Times New Roman"/>
                  <w:i/>
                  <w:color w:val="auto"/>
                  <w:sz w:val="24"/>
                  <w:szCs w:val="24"/>
                  <w:highlight w:val="none"/>
                </w:rPr>
              </m:ctrlPr>
            </m:e>
            <m:sub>
              <m:r>
                <m:rPr>
                  <m:nor/>
                </m:rPr>
                <w:rPr>
                  <w:rFonts w:hint="default" w:ascii="Times New Roman" w:hAnsi="Times New Roman" w:cs="Times New Roman"/>
                  <w:i/>
                  <w:color w:val="auto"/>
                  <w:sz w:val="24"/>
                  <w:szCs w:val="24"/>
                  <w:highlight w:val="none"/>
                </w:rPr>
                <m:t>i</m:t>
              </m:r>
              <m:ctrlPr>
                <w:rPr>
                  <w:rFonts w:hint="default" w:ascii="Cambria Math" w:hAnsi="Cambria Math" w:cs="Times New Roman"/>
                  <w:i/>
                  <w:color w:val="auto"/>
                  <w:sz w:val="24"/>
                  <w:szCs w:val="24"/>
                  <w:highlight w:val="none"/>
                </w:rPr>
              </m:ctrlPr>
            </m:sub>
          </m:sSub>
          <m:r>
            <m:rPr>
              <m:nor/>
              <m:sty m:val="p"/>
            </m:rPr>
            <w:rPr>
              <w:rFonts w:hint="default" w:ascii="Times New Roman" w:hAnsi="Times New Roman" w:cs="Times New Roman"/>
              <w:b w:val="0"/>
              <w:i w:val="0"/>
              <w:color w:val="auto"/>
              <w:sz w:val="24"/>
              <w:szCs w:val="24"/>
              <w:highlight w:val="none"/>
            </w:rPr>
            <m:t>=</m:t>
          </m:r>
          <m:f>
            <m:fPr>
              <m:ctrlPr>
                <w:rPr>
                  <w:rFonts w:hint="default" w:ascii="Cambria Math" w:hAnsi="Cambria Math" w:cs="Times New Roman"/>
                  <w:i/>
                  <w:color w:val="auto"/>
                  <w:sz w:val="24"/>
                  <w:szCs w:val="24"/>
                  <w:highlight w:val="none"/>
                </w:rPr>
              </m:ctrlPr>
            </m:fPr>
            <m:num>
              <m:r>
                <m:rPr>
                  <m:nor/>
                  <m:sty m:val="p"/>
                </m:rPr>
                <w:rPr>
                  <w:rFonts w:hint="default" w:ascii="Times New Roman" w:hAnsi="Times New Roman" w:cs="Times New Roman"/>
                  <w:b w:val="0"/>
                  <w:i w:val="0"/>
                  <w:color w:val="auto"/>
                  <w:sz w:val="24"/>
                  <w:szCs w:val="24"/>
                  <w:highlight w:val="none"/>
                </w:rPr>
                <m:t>断面Y点位Y达标次</m:t>
              </m:r>
              <m:r>
                <m:rPr>
                  <m:nor/>
                </m:rPr>
                <w:rPr>
                  <w:rFonts w:hint="default" w:ascii="Times New Roman" w:hAnsi="Times New Roman" w:cs="Times New Roman"/>
                  <w:i/>
                  <w:color w:val="auto"/>
                  <w:sz w:val="24"/>
                  <w:szCs w:val="24"/>
                  <w:highlight w:val="none"/>
                </w:rPr>
                <m:t>i</m:t>
              </m:r>
              <m:ctrlPr>
                <w:rPr>
                  <w:rFonts w:hint="default" w:ascii="Cambria Math" w:hAnsi="Cambria Math" w:cs="Times New Roman"/>
                  <w:i/>
                  <w:color w:val="auto"/>
                  <w:sz w:val="24"/>
                  <w:szCs w:val="24"/>
                  <w:highlight w:val="none"/>
                </w:rPr>
              </m:ctrlPr>
            </m:num>
            <m:den>
              <m:r>
                <m:rPr>
                  <m:nor/>
                  <m:sty m:val="p"/>
                </m:rPr>
                <w:rPr>
                  <w:rFonts w:hint="default" w:ascii="Times New Roman" w:hAnsi="Times New Roman" w:cs="Times New Roman"/>
                  <w:b w:val="0"/>
                  <w:i w:val="0"/>
                  <w:color w:val="auto"/>
                  <w:sz w:val="24"/>
                  <w:szCs w:val="24"/>
                  <w:highlight w:val="none"/>
                </w:rPr>
                <m:t>评价年监测总次数</m:t>
              </m:r>
              <m:r>
                <m:rPr>
                  <m:nor/>
                </m:rPr>
                <w:rPr>
                  <w:rFonts w:hint="default" w:ascii="Times New Roman" w:hAnsi="Times New Roman" w:cs="Times New Roman"/>
                  <w:i/>
                  <w:color w:val="auto"/>
                  <w:sz w:val="24"/>
                  <w:szCs w:val="24"/>
                  <w:highlight w:val="none"/>
                </w:rPr>
                <m:t>i</m:t>
              </m:r>
              <m:ctrlPr>
                <w:rPr>
                  <w:rFonts w:hint="default" w:ascii="Cambria Math" w:hAnsi="Cambria Math" w:cs="Times New Roman"/>
                  <w:i/>
                  <w:color w:val="auto"/>
                  <w:sz w:val="24"/>
                  <w:szCs w:val="24"/>
                  <w:highlight w:val="none"/>
                </w:rPr>
              </m:ctrlPr>
            </m:den>
          </m:f>
          <m:r>
            <m:rPr>
              <m:nor/>
              <m:sty m:val="p"/>
            </m:rPr>
            <w:rPr>
              <w:rFonts w:hint="default" w:ascii="Times New Roman" w:hAnsi="Times New Roman" w:cs="Times New Roman"/>
              <w:b w:val="0"/>
              <w:i w:val="0"/>
              <w:color w:val="auto"/>
              <w:sz w:val="24"/>
              <w:szCs w:val="24"/>
              <w:highlight w:val="none"/>
            </w:rPr>
            <m:t>×100%</m:t>
          </m:r>
        </m:oMath>
      </m:oMathPara>
    </w:p>
    <w:p w14:paraId="664F49FE">
      <w:pPr>
        <w:autoSpaceDE w:val="0"/>
        <w:autoSpaceDN w:val="0"/>
        <w:adjustRightInd w:val="0"/>
        <w:spacing w:line="360" w:lineRule="auto"/>
        <w:ind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i/>
          <w:iCs/>
          <w:color w:val="auto"/>
          <w:kern w:val="0"/>
          <w:sz w:val="24"/>
          <w:highlight w:val="none"/>
        </w:rPr>
        <w:t>A</w:t>
      </w:r>
      <w:r>
        <w:rPr>
          <w:rFonts w:hint="default" w:ascii="Times New Roman" w:hAnsi="Times New Roman" w:cs="Times New Roman"/>
          <w:i/>
          <w:iCs/>
          <w:color w:val="auto"/>
          <w:kern w:val="0"/>
          <w:sz w:val="24"/>
          <w:highlight w:val="none"/>
          <w:vertAlign w:val="subscript"/>
        </w:rPr>
        <w:t>1</w:t>
      </w:r>
      <w:r>
        <w:rPr>
          <w:rFonts w:hint="default" w:ascii="Times New Roman" w:hAnsi="Times New Roman" w:cs="Times New Roman"/>
          <w:color w:val="auto"/>
          <w:kern w:val="0"/>
          <w:sz w:val="24"/>
          <w:highlight w:val="none"/>
        </w:rPr>
        <w:t>式中，</w:t>
      </w:r>
      <w:r>
        <w:rPr>
          <w:rFonts w:hint="default" w:ascii="Times New Roman" w:hAnsi="Times New Roman" w:cs="Times New Roman"/>
          <w:i/>
          <w:iCs/>
          <w:color w:val="auto"/>
          <w:kern w:val="0"/>
          <w:sz w:val="24"/>
          <w:highlight w:val="none"/>
        </w:rPr>
        <w:t xml:space="preserve">n </w:t>
      </w:r>
      <w:r>
        <w:rPr>
          <w:rFonts w:hint="default" w:ascii="Times New Roman" w:hAnsi="Times New Roman" w:cs="Times New Roman"/>
          <w:color w:val="auto"/>
          <w:kern w:val="0"/>
          <w:sz w:val="24"/>
          <w:highlight w:val="none"/>
        </w:rPr>
        <w:t>为区域内断面（点位）个数；</w:t>
      </w:r>
      <w:r>
        <w:rPr>
          <w:rFonts w:hint="default" w:ascii="Times New Roman" w:hAnsi="Times New Roman" w:cs="Times New Roman"/>
          <w:i/>
          <w:iCs/>
          <w:color w:val="auto"/>
          <w:kern w:val="0"/>
          <w:sz w:val="24"/>
          <w:highlight w:val="none"/>
        </w:rPr>
        <w:t xml:space="preserve">Ci </w:t>
      </w:r>
      <w:r>
        <w:rPr>
          <w:rFonts w:hint="default" w:ascii="Times New Roman" w:hAnsi="Times New Roman" w:cs="Times New Roman"/>
          <w:color w:val="auto"/>
          <w:kern w:val="0"/>
          <w:sz w:val="24"/>
          <w:highlight w:val="none"/>
        </w:rPr>
        <w:t>是指第</w:t>
      </w:r>
      <w:r>
        <w:rPr>
          <w:rFonts w:hint="default" w:ascii="Times New Roman" w:hAnsi="Times New Roman" w:cs="Times New Roman"/>
          <w:i/>
          <w:iCs/>
          <w:color w:val="auto"/>
          <w:kern w:val="0"/>
          <w:sz w:val="24"/>
          <w:highlight w:val="none"/>
        </w:rPr>
        <w:t>i</w:t>
      </w:r>
      <w:r>
        <w:rPr>
          <w:rFonts w:hint="default" w:ascii="Times New Roman" w:hAnsi="Times New Roman" w:cs="Times New Roman"/>
          <w:color w:val="auto"/>
          <w:kern w:val="0"/>
          <w:sz w:val="24"/>
          <w:highlight w:val="none"/>
        </w:rPr>
        <w:t>个断面（点位）水质时间达标率。</w:t>
      </w:r>
    </w:p>
    <w:p w14:paraId="0AD67616">
      <w:pPr>
        <w:autoSpaceDE w:val="0"/>
        <w:autoSpaceDN w:val="0"/>
        <w:adjustRightIn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i/>
          <w:iCs/>
          <w:color w:val="auto"/>
          <w:kern w:val="0"/>
          <w:sz w:val="24"/>
          <w:highlight w:val="none"/>
        </w:rPr>
        <w:t>A</w:t>
      </w:r>
      <w:r>
        <w:rPr>
          <w:rFonts w:hint="default" w:ascii="Times New Roman" w:hAnsi="Times New Roman" w:cs="Times New Roman"/>
          <w:i/>
          <w:iCs/>
          <w:color w:val="auto"/>
          <w:kern w:val="0"/>
          <w:sz w:val="24"/>
          <w:highlight w:val="none"/>
          <w:vertAlign w:val="subscript"/>
        </w:rPr>
        <w:t>2</w:t>
      </w:r>
      <w:r>
        <w:rPr>
          <w:rFonts w:hint="default" w:ascii="Times New Roman" w:hAnsi="Times New Roman" w:cs="Times New Roman"/>
          <w:color w:val="auto"/>
          <w:kern w:val="0"/>
          <w:sz w:val="24"/>
          <w:highlight w:val="none"/>
        </w:rPr>
        <w:t>是达标断面（点位）指一年内不同时期水质监测数据的算术平均值不超过目标值的断面（点位），否则为不达标断面（点位）。</w:t>
      </w:r>
    </w:p>
    <w:p w14:paraId="607CD12E">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水环境承载评价</w:t>
      </w:r>
    </w:p>
    <w:p w14:paraId="2F71AB7A">
      <w:pPr>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根据上述公式，规划区所在区域</w:t>
      </w:r>
      <w:r>
        <w:rPr>
          <w:rFonts w:hint="default" w:ascii="Times New Roman" w:hAnsi="Times New Roman" w:cs="Times New Roman"/>
          <w:color w:val="auto"/>
          <w:kern w:val="0"/>
          <w:sz w:val="24"/>
          <w:highlight w:val="none"/>
          <w:lang w:eastAsia="zh-CN"/>
        </w:rPr>
        <w:t>帕隆藏布</w:t>
      </w:r>
      <w:r>
        <w:rPr>
          <w:rFonts w:hint="default" w:ascii="Times New Roman" w:hAnsi="Times New Roman" w:cs="Times New Roman"/>
          <w:color w:val="auto"/>
          <w:kern w:val="0"/>
          <w:sz w:val="24"/>
          <w:highlight w:val="none"/>
        </w:rPr>
        <w:t>流域水环境承载力评价见表5.5-4。</w:t>
      </w:r>
    </w:p>
    <w:p w14:paraId="52A7EDB0">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表5.5-4  水环境承载力指数核算</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66"/>
        <w:gridCol w:w="1277"/>
        <w:gridCol w:w="1208"/>
        <w:gridCol w:w="1497"/>
        <w:gridCol w:w="1450"/>
        <w:gridCol w:w="1776"/>
        <w:gridCol w:w="1098"/>
      </w:tblGrid>
      <w:tr w14:paraId="303A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22" w:type="pct"/>
            <w:vAlign w:val="center"/>
          </w:tcPr>
          <w:p w14:paraId="0F566D28">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704" w:type="pct"/>
            <w:vAlign w:val="center"/>
          </w:tcPr>
          <w:p w14:paraId="01A64072">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区域</w:t>
            </w:r>
          </w:p>
        </w:tc>
        <w:tc>
          <w:tcPr>
            <w:tcW w:w="666" w:type="pct"/>
            <w:vAlign w:val="center"/>
          </w:tcPr>
          <w:p w14:paraId="62030FA2">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时间</w:t>
            </w:r>
          </w:p>
        </w:tc>
        <w:tc>
          <w:tcPr>
            <w:tcW w:w="825" w:type="pct"/>
            <w:vAlign w:val="center"/>
          </w:tcPr>
          <w:p w14:paraId="2A7B98DD">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水质时间达标率（%）</w:t>
            </w:r>
          </w:p>
        </w:tc>
        <w:tc>
          <w:tcPr>
            <w:tcW w:w="799" w:type="pct"/>
            <w:vAlign w:val="center"/>
          </w:tcPr>
          <w:p w14:paraId="62A42183">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水质空间达标率（%）</w:t>
            </w:r>
          </w:p>
        </w:tc>
        <w:tc>
          <w:tcPr>
            <w:tcW w:w="979" w:type="pct"/>
            <w:vAlign w:val="center"/>
          </w:tcPr>
          <w:p w14:paraId="4DA68684">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水环境承载力指数（%）</w:t>
            </w:r>
          </w:p>
        </w:tc>
        <w:tc>
          <w:tcPr>
            <w:tcW w:w="605" w:type="pct"/>
            <w:vAlign w:val="center"/>
          </w:tcPr>
          <w:p w14:paraId="08834D53">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承载状态</w:t>
            </w:r>
          </w:p>
        </w:tc>
      </w:tr>
      <w:tr w14:paraId="37CE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22" w:type="pct"/>
            <w:vAlign w:val="center"/>
          </w:tcPr>
          <w:p w14:paraId="3F386BDE">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704" w:type="pct"/>
            <w:vAlign w:val="center"/>
          </w:tcPr>
          <w:p w14:paraId="728F0BDF">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帕隆藏布</w:t>
            </w:r>
            <w:r>
              <w:rPr>
                <w:rFonts w:hint="default" w:ascii="Times New Roman" w:hAnsi="Times New Roman" w:cs="Times New Roman"/>
                <w:color w:val="auto"/>
                <w:highlight w:val="none"/>
              </w:rPr>
              <w:t>流域</w:t>
            </w:r>
          </w:p>
        </w:tc>
        <w:tc>
          <w:tcPr>
            <w:tcW w:w="666" w:type="pct"/>
            <w:vAlign w:val="center"/>
          </w:tcPr>
          <w:p w14:paraId="74C75D40">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p>
        </w:tc>
        <w:tc>
          <w:tcPr>
            <w:tcW w:w="825" w:type="pct"/>
            <w:vAlign w:val="center"/>
          </w:tcPr>
          <w:p w14:paraId="1F51482E">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799" w:type="pct"/>
            <w:vAlign w:val="center"/>
          </w:tcPr>
          <w:p w14:paraId="0C4ABDCB">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979" w:type="pct"/>
            <w:vAlign w:val="center"/>
          </w:tcPr>
          <w:p w14:paraId="2A5FC740">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605" w:type="pct"/>
            <w:vAlign w:val="center"/>
          </w:tcPr>
          <w:p w14:paraId="376BA610">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未超载</w:t>
            </w:r>
          </w:p>
        </w:tc>
      </w:tr>
    </w:tbl>
    <w:p w14:paraId="06939A15">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根据上表可知，评价区域内</w:t>
      </w:r>
      <w:r>
        <w:rPr>
          <w:rFonts w:hint="default" w:ascii="Times New Roman" w:hAnsi="Times New Roman" w:cs="Times New Roman"/>
          <w:color w:val="auto"/>
          <w:kern w:val="0"/>
          <w:sz w:val="24"/>
          <w:highlight w:val="none"/>
          <w:lang w:eastAsia="zh-CN"/>
        </w:rPr>
        <w:t>帕隆藏布</w:t>
      </w:r>
      <w:r>
        <w:rPr>
          <w:rFonts w:hint="default" w:ascii="Times New Roman" w:hAnsi="Times New Roman" w:cs="Times New Roman"/>
          <w:color w:val="auto"/>
          <w:kern w:val="0"/>
          <w:sz w:val="24"/>
          <w:highlight w:val="none"/>
        </w:rPr>
        <w:t>流域水环境承载力指数大于90%，属于未超载状态，对区域社会系统支持能力较强。</w:t>
      </w:r>
    </w:p>
    <w:p w14:paraId="678AC46F">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水环境承载力状态评估</w:t>
      </w:r>
    </w:p>
    <w:p w14:paraId="519EC7FD">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根据规划区控制性详细规划污水处置方式，居民、游客生活污水与先经隔油池预处理的餐饮废水汇同景区内其他生活污水进入污水管网后接入</w:t>
      </w:r>
      <w:r>
        <w:rPr>
          <w:rFonts w:hint="default" w:ascii="Times New Roman" w:hAnsi="Times New Roman" w:cs="Times New Roman"/>
          <w:color w:val="auto"/>
          <w:kern w:val="0"/>
          <w:sz w:val="24"/>
          <w:highlight w:val="none"/>
          <w:lang w:val="en-US" w:eastAsia="zh-CN"/>
        </w:rPr>
        <w:t>一体化污水处理装置</w:t>
      </w:r>
      <w:r>
        <w:rPr>
          <w:rFonts w:hint="default" w:ascii="Times New Roman" w:hAnsi="Times New Roman" w:cs="Times New Roman"/>
          <w:color w:val="auto"/>
          <w:kern w:val="0"/>
          <w:sz w:val="24"/>
          <w:highlight w:val="none"/>
        </w:rPr>
        <w:t>处理，</w:t>
      </w:r>
      <w:r>
        <w:rPr>
          <w:rFonts w:hint="default" w:ascii="Times New Roman" w:hAnsi="Times New Roman" w:cs="Times New Roman"/>
          <w:color w:val="auto"/>
          <w:kern w:val="0"/>
          <w:sz w:val="24"/>
          <w:highlight w:val="none"/>
          <w:lang w:eastAsia="zh-CN"/>
        </w:rPr>
        <w:t>处理达《污水综合排放标准》（GB8978-1996）一级标准</w:t>
      </w:r>
      <w:r>
        <w:rPr>
          <w:rFonts w:hint="default" w:ascii="Times New Roman" w:hAnsi="Times New Roman" w:cs="Times New Roman"/>
          <w:color w:val="auto"/>
          <w:kern w:val="0"/>
          <w:sz w:val="24"/>
          <w:highlight w:val="none"/>
          <w:lang w:val="en-US" w:eastAsia="zh-CN"/>
        </w:rPr>
        <w:t>限值</w:t>
      </w:r>
      <w:r>
        <w:rPr>
          <w:rFonts w:hint="default" w:ascii="Times New Roman" w:hAnsi="Times New Roman" w:cs="Times New Roman"/>
          <w:color w:val="auto"/>
          <w:kern w:val="0"/>
          <w:sz w:val="24"/>
          <w:highlight w:val="none"/>
          <w:lang w:eastAsia="zh-CN"/>
        </w:rPr>
        <w:t>要求</w:t>
      </w:r>
      <w:r>
        <w:rPr>
          <w:rFonts w:hint="default" w:ascii="Times New Roman" w:hAnsi="Times New Roman" w:cs="Times New Roman"/>
          <w:color w:val="auto"/>
          <w:kern w:val="0"/>
          <w:sz w:val="24"/>
          <w:highlight w:val="none"/>
          <w:lang w:val="en-US" w:eastAsia="zh-CN"/>
        </w:rPr>
        <w:t>用于周边</w:t>
      </w:r>
      <w:r>
        <w:rPr>
          <w:rFonts w:hint="eastAsia" w:cs="Times New Roman"/>
          <w:color w:val="auto"/>
          <w:kern w:val="0"/>
          <w:sz w:val="24"/>
          <w:highlight w:val="none"/>
          <w:lang w:val="en-US" w:eastAsia="zh-CN"/>
        </w:rPr>
        <w:t>林</w:t>
      </w:r>
      <w:r>
        <w:rPr>
          <w:rFonts w:hint="default" w:ascii="Times New Roman" w:hAnsi="Times New Roman" w:cs="Times New Roman"/>
          <w:color w:val="auto"/>
          <w:kern w:val="0"/>
          <w:sz w:val="24"/>
          <w:highlight w:val="none"/>
          <w:lang w:val="en-US" w:eastAsia="zh-CN"/>
        </w:rPr>
        <w:t>草地、耕地施肥</w:t>
      </w:r>
      <w:r>
        <w:rPr>
          <w:rFonts w:hint="default" w:ascii="Times New Roman" w:hAnsi="Times New Roman" w:cs="Times New Roman"/>
          <w:color w:val="auto"/>
          <w:kern w:val="0"/>
          <w:sz w:val="24"/>
          <w:highlight w:val="none"/>
          <w:lang w:eastAsia="zh-CN"/>
        </w:rPr>
        <w:t>。</w:t>
      </w:r>
    </w:p>
    <w:p w14:paraId="536B23CE">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旅游规划实施后对</w:t>
      </w:r>
      <w:r>
        <w:rPr>
          <w:rFonts w:hint="default" w:ascii="Times New Roman" w:hAnsi="Times New Roman" w:cs="Times New Roman"/>
          <w:color w:val="auto"/>
          <w:kern w:val="0"/>
          <w:sz w:val="24"/>
          <w:highlight w:val="none"/>
          <w:lang w:eastAsia="zh-CN"/>
        </w:rPr>
        <w:t>帕隆藏布</w:t>
      </w:r>
      <w:r>
        <w:rPr>
          <w:rFonts w:hint="default" w:ascii="Times New Roman" w:hAnsi="Times New Roman" w:cs="Times New Roman"/>
          <w:color w:val="auto"/>
          <w:kern w:val="0"/>
          <w:sz w:val="24"/>
          <w:highlight w:val="none"/>
        </w:rPr>
        <w:t>流域承载力无直接影响。</w:t>
      </w:r>
    </w:p>
    <w:p w14:paraId="50496915">
      <w:pPr>
        <w:pStyle w:val="4"/>
        <w:spacing w:before="156" w:after="156"/>
        <w:rPr>
          <w:rFonts w:hint="default" w:ascii="Times New Roman" w:hAnsi="Times New Roman" w:cs="Times New Roman"/>
          <w:color w:val="auto"/>
          <w:highlight w:val="none"/>
        </w:rPr>
      </w:pPr>
      <w:bookmarkStart w:id="170" w:name="_Toc36557451"/>
      <w:r>
        <w:rPr>
          <w:rFonts w:hint="default" w:ascii="Times New Roman" w:hAnsi="Times New Roman" w:cs="Times New Roman"/>
          <w:color w:val="auto"/>
          <w:highlight w:val="none"/>
        </w:rPr>
        <w:t>旅游环境容量承载力</w:t>
      </w:r>
      <w:bookmarkEnd w:id="170"/>
    </w:p>
    <w:p w14:paraId="2B511CE7">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岗云杉林生态旅游景区以游览线路和可供活动的较大面积陆域作为游客主要游览载体（即为可游面积），计算方法测算采用游线容量法和面积容量法相结合进行测算。</w:t>
      </w:r>
    </w:p>
    <w:p w14:paraId="5BD0ED4E">
      <w:pPr>
        <w:spacing w:line="360" w:lineRule="auto"/>
        <w:ind w:firstLine="482" w:firstLineChars="200"/>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w:t>
      </w:r>
      <w:r>
        <w:rPr>
          <w:rFonts w:hint="default" w:ascii="Times New Roman" w:hAnsi="Times New Roman" w:cs="Times New Roman"/>
          <w:b/>
          <w:color w:val="auto"/>
          <w:kern w:val="0"/>
          <w:sz w:val="24"/>
          <w:highlight w:val="none"/>
          <w:lang w:val="en-US" w:eastAsia="zh-CN"/>
        </w:rPr>
        <w:t>1</w:t>
      </w:r>
      <w:r>
        <w:rPr>
          <w:rFonts w:hint="default" w:ascii="Times New Roman" w:hAnsi="Times New Roman" w:cs="Times New Roman"/>
          <w:b/>
          <w:color w:val="auto"/>
          <w:kern w:val="0"/>
          <w:sz w:val="24"/>
          <w:highlight w:val="none"/>
        </w:rPr>
        <w:t>）游路法</w:t>
      </w:r>
    </w:p>
    <w:p w14:paraId="71B08526">
      <w:pPr>
        <w:spacing w:line="360" w:lineRule="auto"/>
        <w:ind w:firstLine="3600" w:firstLineChars="1500"/>
        <w:rPr>
          <w:rFonts w:hint="default" w:ascii="Times New Roman" w:hAnsi="Times New Roman" w:cs="Times New Roman"/>
          <w:i/>
          <w:color w:val="auto"/>
          <w:kern w:val="0"/>
          <w:sz w:val="24"/>
          <w:highlight w:val="none"/>
        </w:rPr>
      </w:pPr>
      <w:r>
        <w:rPr>
          <w:rFonts w:hint="default" w:ascii="Times New Roman" w:hAnsi="Times New Roman" w:cs="Times New Roman"/>
          <w:i/>
          <w:color w:val="auto"/>
          <w:kern w:val="0"/>
          <w:sz w:val="24"/>
          <w:highlight w:val="none"/>
        </w:rPr>
        <w:t>C=M/m×D</w:t>
      </w:r>
    </w:p>
    <w:p w14:paraId="7BF28E4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其中：</w:t>
      </w:r>
      <w:r>
        <w:rPr>
          <w:rFonts w:hint="default" w:ascii="Times New Roman" w:hAnsi="Times New Roman" w:cs="Times New Roman"/>
          <w:i/>
          <w:color w:val="auto"/>
          <w:kern w:val="0"/>
          <w:sz w:val="24"/>
          <w:highlight w:val="none"/>
        </w:rPr>
        <w:t>C</w:t>
      </w:r>
      <w:r>
        <w:rPr>
          <w:rFonts w:hint="default" w:ascii="Times New Roman" w:hAnsi="Times New Roman" w:cs="Times New Roman"/>
          <w:color w:val="auto"/>
          <w:kern w:val="0"/>
          <w:sz w:val="24"/>
          <w:highlight w:val="none"/>
        </w:rPr>
        <w:t>—日环境容量，单位为人次；</w:t>
      </w:r>
    </w:p>
    <w:p w14:paraId="334ECDA0">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M</w:t>
      </w:r>
      <w:r>
        <w:rPr>
          <w:rFonts w:hint="default" w:ascii="Times New Roman" w:hAnsi="Times New Roman" w:cs="Times New Roman"/>
          <w:color w:val="auto"/>
          <w:kern w:val="0"/>
          <w:sz w:val="24"/>
          <w:highlight w:val="none"/>
        </w:rPr>
        <w:t>—游览长度，单位为m；</w:t>
      </w:r>
    </w:p>
    <w:p w14:paraId="662C7BFE">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D</w:t>
      </w:r>
      <w:r>
        <w:rPr>
          <w:rFonts w:hint="default" w:ascii="Times New Roman" w:hAnsi="Times New Roman" w:cs="Times New Roman"/>
          <w:color w:val="auto"/>
          <w:kern w:val="0"/>
          <w:sz w:val="24"/>
          <w:highlight w:val="none"/>
        </w:rPr>
        <w:t>—周转率，游道全天开放时间/游完全游道所需时间；</w:t>
      </w:r>
    </w:p>
    <w:p w14:paraId="25422627">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m</w:t>
      </w:r>
      <w:r>
        <w:rPr>
          <w:rFonts w:hint="default" w:ascii="Times New Roman" w:hAnsi="Times New Roman" w:cs="Times New Roman"/>
          <w:color w:val="auto"/>
          <w:kern w:val="0"/>
          <w:sz w:val="24"/>
          <w:highlight w:val="none"/>
        </w:rPr>
        <w:t>—不影响游览质量情况下，每位游客占用的合理游道长度，单位为m。</w:t>
      </w:r>
    </w:p>
    <w:p w14:paraId="7CB4F46F">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岗云杉林生态旅游景区的游览路线长度为20公里，每位游客占用路线长度为5米，日周转率为1.5，代入式中得出景区日环境容量为6000人次。</w:t>
      </w:r>
    </w:p>
    <w:p w14:paraId="61CE8E53">
      <w:pPr>
        <w:numPr>
          <w:ilvl w:val="0"/>
          <w:numId w:val="0"/>
        </w:numPr>
        <w:spacing w:line="360" w:lineRule="auto"/>
        <w:ind w:firstLine="482" w:firstLineChars="200"/>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lang w:eastAsia="zh-CN"/>
        </w:rPr>
        <w:t>（</w:t>
      </w:r>
      <w:r>
        <w:rPr>
          <w:rFonts w:hint="default" w:ascii="Times New Roman" w:hAnsi="Times New Roman" w:cs="Times New Roman"/>
          <w:b/>
          <w:color w:val="auto"/>
          <w:kern w:val="0"/>
          <w:sz w:val="24"/>
          <w:highlight w:val="none"/>
          <w:lang w:val="en-US" w:eastAsia="zh-CN"/>
        </w:rPr>
        <w:t>2</w:t>
      </w:r>
      <w:r>
        <w:rPr>
          <w:rFonts w:hint="default" w:ascii="Times New Roman" w:hAnsi="Times New Roman" w:cs="Times New Roman"/>
          <w:b/>
          <w:color w:val="auto"/>
          <w:kern w:val="0"/>
          <w:sz w:val="24"/>
          <w:highlight w:val="none"/>
          <w:lang w:eastAsia="zh-CN"/>
        </w:rPr>
        <w:t>）</w:t>
      </w:r>
      <w:r>
        <w:rPr>
          <w:rFonts w:hint="default" w:ascii="Times New Roman" w:hAnsi="Times New Roman" w:cs="Times New Roman"/>
          <w:b/>
          <w:color w:val="auto"/>
          <w:kern w:val="0"/>
          <w:sz w:val="24"/>
          <w:highlight w:val="none"/>
        </w:rPr>
        <w:t>面积法</w:t>
      </w:r>
    </w:p>
    <w:p w14:paraId="7C851806">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岗云杉林生态旅游景区全年适游期按245天（8.1个月）计算，旅游区日均开放时间为8小时；游客中心及各片区服务接待点日开放时间按8小时计算。景区总面积为</w:t>
      </w:r>
      <w:r>
        <w:rPr>
          <w:rFonts w:hint="default" w:ascii="Times New Roman" w:hAnsi="Times New Roman" w:cs="Times New Roman"/>
          <w:color w:val="auto"/>
          <w:kern w:val="0"/>
          <w:sz w:val="24"/>
          <w:highlight w:val="none"/>
          <w:lang w:val="en-US" w:eastAsia="zh-CN"/>
        </w:rPr>
        <w:t>6.81</w:t>
      </w:r>
      <w:r>
        <w:rPr>
          <w:rFonts w:hint="default" w:ascii="Times New Roman" w:hAnsi="Times New Roman" w:cs="Times New Roman"/>
          <w:color w:val="auto"/>
          <w:kern w:val="0"/>
          <w:sz w:val="24"/>
          <w:highlight w:val="none"/>
        </w:rPr>
        <w:t>平方千米，可游面积按照30%计算，即约</w:t>
      </w:r>
      <w:r>
        <w:rPr>
          <w:rFonts w:hint="default" w:ascii="Times New Roman" w:hAnsi="Times New Roman" w:cs="Times New Roman"/>
          <w:color w:val="auto"/>
          <w:kern w:val="0"/>
          <w:sz w:val="24"/>
          <w:highlight w:val="none"/>
          <w:lang w:val="en-US" w:eastAsia="zh-CN"/>
        </w:rPr>
        <w:t>2.043</w:t>
      </w:r>
      <w:r>
        <w:rPr>
          <w:rFonts w:hint="default" w:ascii="Times New Roman" w:hAnsi="Times New Roman" w:cs="Times New Roman"/>
          <w:color w:val="auto"/>
          <w:kern w:val="0"/>
          <w:sz w:val="24"/>
          <w:highlight w:val="none"/>
        </w:rPr>
        <w:t>平方千米。</w:t>
      </w:r>
    </w:p>
    <w:p w14:paraId="1D2528EB">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公式：</w:t>
      </w:r>
    </w:p>
    <w:p w14:paraId="20C41565">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瞬时容量C</w:t>
      </w:r>
      <w:r>
        <w:rPr>
          <w:rFonts w:hint="default" w:ascii="Times New Roman" w:hAnsi="Times New Roman" w:cs="Times New Roman"/>
          <w:color w:val="auto"/>
          <w:kern w:val="0"/>
          <w:sz w:val="24"/>
          <w:highlight w:val="none"/>
          <w:vertAlign w:val="subscript"/>
        </w:rPr>
        <w:t>0</w:t>
      </w:r>
      <w:r>
        <w:rPr>
          <w:rFonts w:hint="default" w:ascii="Times New Roman" w:hAnsi="Times New Roman" w:cs="Times New Roman"/>
          <w:color w:val="auto"/>
          <w:kern w:val="0"/>
          <w:sz w:val="24"/>
          <w:highlight w:val="none"/>
        </w:rPr>
        <w:t>=L/S</w:t>
      </w:r>
      <w:r>
        <w:rPr>
          <w:rFonts w:hint="default" w:ascii="Times New Roman" w:hAnsi="Times New Roman" w:cs="Times New Roman"/>
          <w:color w:val="auto"/>
          <w:kern w:val="0"/>
          <w:sz w:val="24"/>
          <w:highlight w:val="none"/>
          <w:vertAlign w:val="subscript"/>
        </w:rPr>
        <w:t>0</w:t>
      </w:r>
    </w:p>
    <w:p w14:paraId="1762472C">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日容量C</w:t>
      </w:r>
      <w:r>
        <w:rPr>
          <w:rFonts w:hint="default" w:ascii="Times New Roman" w:hAnsi="Times New Roman" w:cs="Times New Roman"/>
          <w:color w:val="auto"/>
          <w:kern w:val="0"/>
          <w:sz w:val="24"/>
          <w:highlight w:val="none"/>
          <w:vertAlign w:val="subscript"/>
        </w:rPr>
        <w:t>1</w:t>
      </w:r>
      <w:r>
        <w:rPr>
          <w:rFonts w:hint="default" w:ascii="Times New Roman" w:hAnsi="Times New Roman" w:cs="Times New Roman"/>
          <w:color w:val="auto"/>
          <w:kern w:val="0"/>
          <w:sz w:val="24"/>
          <w:highlight w:val="none"/>
        </w:rPr>
        <w:t>=C</w:t>
      </w:r>
      <w:r>
        <w:rPr>
          <w:rFonts w:hint="default" w:ascii="Times New Roman" w:hAnsi="Times New Roman" w:cs="Times New Roman"/>
          <w:color w:val="auto"/>
          <w:kern w:val="0"/>
          <w:sz w:val="24"/>
          <w:highlight w:val="none"/>
          <w:vertAlign w:val="subscript"/>
        </w:rPr>
        <w:t>0</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O/O</w:t>
      </w:r>
      <w:r>
        <w:rPr>
          <w:rFonts w:hint="default" w:ascii="Times New Roman" w:hAnsi="Times New Roman" w:cs="Times New Roman"/>
          <w:color w:val="auto"/>
          <w:kern w:val="0"/>
          <w:sz w:val="24"/>
          <w:highlight w:val="none"/>
          <w:vertAlign w:val="subscript"/>
        </w:rPr>
        <w:t>0</w:t>
      </w:r>
      <w:r>
        <w:rPr>
          <w:rFonts w:hint="default" w:ascii="Times New Roman" w:hAnsi="Times New Roman" w:cs="Times New Roman"/>
          <w:color w:val="auto"/>
          <w:kern w:val="0"/>
          <w:sz w:val="24"/>
          <w:highlight w:val="none"/>
          <w:lang w:eastAsia="zh-CN"/>
        </w:rPr>
        <w:t>）</w:t>
      </w:r>
    </w:p>
    <w:p w14:paraId="59C7CFFB">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年容量Cn=C</w:t>
      </w:r>
      <w:r>
        <w:rPr>
          <w:rFonts w:hint="default" w:ascii="Times New Roman" w:hAnsi="Times New Roman" w:cs="Times New Roman"/>
          <w:color w:val="auto"/>
          <w:kern w:val="0"/>
          <w:sz w:val="24"/>
          <w:highlight w:val="none"/>
          <w:vertAlign w:val="subscript"/>
        </w:rPr>
        <w:t>1</w:t>
      </w:r>
      <w:r>
        <w:rPr>
          <w:rFonts w:hint="default" w:ascii="Times New Roman" w:hAnsi="Times New Roman" w:cs="Times New Roman"/>
          <w:color w:val="auto"/>
          <w:kern w:val="0"/>
          <w:sz w:val="24"/>
          <w:highlight w:val="none"/>
        </w:rPr>
        <w:t>×D</w:t>
      </w:r>
    </w:p>
    <w:p w14:paraId="15DB1B55">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式中：</w:t>
      </w:r>
    </w:p>
    <w:p w14:paraId="7909EAD8">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L—游线长度（米）或可供游人活动景区面积（平方米）</w:t>
      </w:r>
    </w:p>
    <w:p w14:paraId="5DA92670">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S</w:t>
      </w:r>
      <w:r>
        <w:rPr>
          <w:rFonts w:hint="default" w:ascii="Times New Roman" w:hAnsi="Times New Roman" w:cs="Times New Roman"/>
          <w:color w:val="auto"/>
          <w:kern w:val="0"/>
          <w:sz w:val="24"/>
          <w:highlight w:val="none"/>
          <w:vertAlign w:val="subscript"/>
        </w:rPr>
        <w:t>0</w:t>
      </w:r>
      <w:r>
        <w:rPr>
          <w:rFonts w:hint="default" w:ascii="Times New Roman" w:hAnsi="Times New Roman" w:cs="Times New Roman"/>
          <w:color w:val="auto"/>
          <w:kern w:val="0"/>
          <w:sz w:val="24"/>
          <w:highlight w:val="none"/>
        </w:rPr>
        <w:t>=人均占游线长度（米）或人均占地面积（平方米）</w:t>
      </w:r>
    </w:p>
    <w:p w14:paraId="5E389A87">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O—旅游区日开放时间（小时/日）</w:t>
      </w:r>
    </w:p>
    <w:p w14:paraId="11AC0729">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O</w:t>
      </w:r>
      <w:r>
        <w:rPr>
          <w:rFonts w:hint="default" w:ascii="Times New Roman" w:hAnsi="Times New Roman" w:cs="Times New Roman"/>
          <w:color w:val="auto"/>
          <w:kern w:val="0"/>
          <w:sz w:val="24"/>
          <w:highlight w:val="none"/>
          <w:vertAlign w:val="subscript"/>
        </w:rPr>
        <w:t>0</w:t>
      </w:r>
      <w:r>
        <w:rPr>
          <w:rFonts w:hint="default" w:ascii="Times New Roman" w:hAnsi="Times New Roman" w:cs="Times New Roman"/>
          <w:color w:val="auto"/>
          <w:kern w:val="0"/>
          <w:sz w:val="24"/>
          <w:highlight w:val="none"/>
        </w:rPr>
        <w:t>—人均游览时间（小时）</w:t>
      </w:r>
    </w:p>
    <w:p w14:paraId="543851D6">
      <w:pPr>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D—全年可游天数（日</w:t>
      </w:r>
      <w:r>
        <w:rPr>
          <w:rFonts w:hint="default" w:ascii="Times New Roman" w:hAnsi="Times New Roman" w:cs="Times New Roman"/>
          <w:color w:val="auto"/>
          <w:kern w:val="0"/>
          <w:sz w:val="24"/>
          <w:highlight w:val="none"/>
          <w:lang w:eastAsia="zh-CN"/>
        </w:rPr>
        <w:t>）。</w:t>
      </w:r>
    </w:p>
    <w:p w14:paraId="4C370023">
      <w:pPr>
        <w:spacing w:line="360" w:lineRule="auto"/>
        <w:ind w:firstLine="3600" w:firstLineChars="1500"/>
        <w:rPr>
          <w:rFonts w:hint="default" w:ascii="Times New Roman" w:hAnsi="Times New Roman" w:cs="Times New Roman"/>
          <w:i/>
          <w:color w:val="auto"/>
          <w:kern w:val="0"/>
          <w:sz w:val="24"/>
          <w:highlight w:val="none"/>
        </w:rPr>
      </w:pPr>
      <w:r>
        <w:rPr>
          <w:rFonts w:hint="default" w:ascii="Times New Roman" w:hAnsi="Times New Roman" w:cs="Times New Roman"/>
          <w:i/>
          <w:color w:val="auto"/>
          <w:kern w:val="0"/>
          <w:sz w:val="24"/>
          <w:highlight w:val="none"/>
        </w:rPr>
        <w:t>C=A/a×D</w:t>
      </w:r>
    </w:p>
    <w:p w14:paraId="750D0D76">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其中：</w:t>
      </w:r>
      <w:r>
        <w:rPr>
          <w:rFonts w:hint="default" w:ascii="Times New Roman" w:hAnsi="Times New Roman" w:cs="Times New Roman"/>
          <w:i/>
          <w:color w:val="auto"/>
          <w:kern w:val="0"/>
          <w:sz w:val="24"/>
          <w:highlight w:val="none"/>
        </w:rPr>
        <w:t>C</w:t>
      </w:r>
      <w:r>
        <w:rPr>
          <w:rFonts w:hint="default" w:ascii="Times New Roman" w:hAnsi="Times New Roman" w:cs="Times New Roman"/>
          <w:color w:val="auto"/>
          <w:kern w:val="0"/>
          <w:sz w:val="24"/>
          <w:highlight w:val="none"/>
        </w:rPr>
        <w:t>—日环境容量，单位为人次；</w:t>
      </w:r>
    </w:p>
    <w:p w14:paraId="10CA6467">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A</w:t>
      </w:r>
      <w:r>
        <w:rPr>
          <w:rFonts w:hint="default" w:ascii="Times New Roman" w:hAnsi="Times New Roman" w:cs="Times New Roman"/>
          <w:color w:val="auto"/>
          <w:kern w:val="0"/>
          <w:sz w:val="24"/>
          <w:highlight w:val="none"/>
        </w:rPr>
        <w:t>—可游览面积，单位为m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w:t>
      </w:r>
    </w:p>
    <w:p w14:paraId="3F7A72B3">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D</w:t>
      </w:r>
      <w:r>
        <w:rPr>
          <w:rFonts w:hint="default" w:ascii="Times New Roman" w:hAnsi="Times New Roman" w:cs="Times New Roman"/>
          <w:color w:val="auto"/>
          <w:kern w:val="0"/>
          <w:sz w:val="24"/>
          <w:highlight w:val="none"/>
        </w:rPr>
        <w:t>—周转率，景区开放时间/游完景点所需时间；</w:t>
      </w:r>
    </w:p>
    <w:p w14:paraId="578F081B">
      <w:pPr>
        <w:spacing w:line="360" w:lineRule="auto"/>
        <w:ind w:firstLine="1200" w:firstLineChars="500"/>
        <w:rPr>
          <w:rFonts w:hint="default" w:ascii="Times New Roman" w:hAnsi="Times New Roman" w:cs="Times New Roman"/>
          <w:color w:val="auto"/>
          <w:kern w:val="0"/>
          <w:sz w:val="24"/>
          <w:highlight w:val="none"/>
        </w:rPr>
      </w:pPr>
      <w:r>
        <w:rPr>
          <w:rFonts w:hint="default" w:ascii="Times New Roman" w:hAnsi="Times New Roman" w:cs="Times New Roman"/>
          <w:i/>
          <w:color w:val="auto"/>
          <w:kern w:val="0"/>
          <w:sz w:val="24"/>
          <w:highlight w:val="none"/>
        </w:rPr>
        <w:t>a</w:t>
      </w:r>
      <w:r>
        <w:rPr>
          <w:rFonts w:hint="default" w:ascii="Times New Roman" w:hAnsi="Times New Roman" w:cs="Times New Roman"/>
          <w:color w:val="auto"/>
          <w:kern w:val="0"/>
          <w:sz w:val="24"/>
          <w:highlight w:val="none"/>
        </w:rPr>
        <w:t>—不影响游览质量情况下，每位游客占用的游览空间面积，单位为m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w:t>
      </w:r>
    </w:p>
    <w:p w14:paraId="2536CDCD">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表5.5-5  规划区游客日容量计算表（面积法）</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783"/>
        <w:gridCol w:w="1801"/>
        <w:gridCol w:w="1568"/>
        <w:gridCol w:w="975"/>
        <w:gridCol w:w="1900"/>
      </w:tblGrid>
      <w:tr w14:paraId="3454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shd w:val="clear" w:color="auto" w:fill="auto"/>
            <w:vAlign w:val="center"/>
          </w:tcPr>
          <w:p w14:paraId="33D1ABF6">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核心项目</w:t>
            </w:r>
          </w:p>
        </w:tc>
        <w:tc>
          <w:tcPr>
            <w:tcW w:w="971" w:type="pct"/>
            <w:shd w:val="clear" w:color="auto" w:fill="auto"/>
            <w:vAlign w:val="center"/>
          </w:tcPr>
          <w:p w14:paraId="50B9A369">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可游览面积（m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981" w:type="pct"/>
            <w:shd w:val="clear" w:color="auto" w:fill="auto"/>
            <w:vAlign w:val="center"/>
          </w:tcPr>
          <w:p w14:paraId="6AAB7DC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计算指标</w:t>
            </w: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/人）</w:t>
            </w:r>
          </w:p>
        </w:tc>
        <w:tc>
          <w:tcPr>
            <w:tcW w:w="854" w:type="pct"/>
            <w:shd w:val="clear" w:color="auto" w:fill="auto"/>
            <w:vAlign w:val="center"/>
          </w:tcPr>
          <w:p w14:paraId="067F8780">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瞬时容量（人）</w:t>
            </w:r>
          </w:p>
        </w:tc>
        <w:tc>
          <w:tcPr>
            <w:tcW w:w="531" w:type="pct"/>
            <w:shd w:val="clear" w:color="auto" w:fill="auto"/>
            <w:vAlign w:val="center"/>
          </w:tcPr>
          <w:p w14:paraId="24BEABE3">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日周转率</w:t>
            </w:r>
          </w:p>
        </w:tc>
        <w:tc>
          <w:tcPr>
            <w:tcW w:w="1035" w:type="pct"/>
            <w:shd w:val="clear" w:color="auto" w:fill="auto"/>
            <w:vAlign w:val="center"/>
          </w:tcPr>
          <w:p w14:paraId="50049FD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游客日容量（人次）</w:t>
            </w:r>
          </w:p>
        </w:tc>
      </w:tr>
      <w:tr w14:paraId="3711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shd w:val="clear" w:color="auto" w:fill="auto"/>
            <w:vAlign w:val="center"/>
          </w:tcPr>
          <w:p w14:paraId="424D06D7">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核心游览区</w:t>
            </w:r>
          </w:p>
        </w:tc>
        <w:tc>
          <w:tcPr>
            <w:tcW w:w="971" w:type="pct"/>
            <w:shd w:val="clear" w:color="auto" w:fill="auto"/>
            <w:vAlign w:val="center"/>
          </w:tcPr>
          <w:p w14:paraId="788905B6">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726000</w:t>
            </w:r>
          </w:p>
        </w:tc>
        <w:tc>
          <w:tcPr>
            <w:tcW w:w="981" w:type="pct"/>
            <w:shd w:val="clear" w:color="auto" w:fill="auto"/>
            <w:vAlign w:val="center"/>
          </w:tcPr>
          <w:p w14:paraId="200C468A">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00</w:t>
            </w:r>
          </w:p>
        </w:tc>
        <w:tc>
          <w:tcPr>
            <w:tcW w:w="854" w:type="pct"/>
            <w:shd w:val="clear" w:color="auto" w:fill="auto"/>
            <w:vAlign w:val="center"/>
          </w:tcPr>
          <w:p w14:paraId="060AD350">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3630</w:t>
            </w:r>
          </w:p>
        </w:tc>
        <w:tc>
          <w:tcPr>
            <w:tcW w:w="531" w:type="pct"/>
            <w:shd w:val="clear" w:color="auto" w:fill="auto"/>
            <w:vAlign w:val="center"/>
          </w:tcPr>
          <w:p w14:paraId="3AB6CBD9">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w:t>
            </w:r>
          </w:p>
        </w:tc>
        <w:tc>
          <w:tcPr>
            <w:tcW w:w="1035" w:type="pct"/>
            <w:shd w:val="clear" w:color="auto" w:fill="auto"/>
            <w:vAlign w:val="center"/>
          </w:tcPr>
          <w:p w14:paraId="11FAED35">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3630</w:t>
            </w:r>
          </w:p>
        </w:tc>
      </w:tr>
      <w:tr w14:paraId="06E4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shd w:val="clear" w:color="auto" w:fill="auto"/>
            <w:vAlign w:val="center"/>
          </w:tcPr>
          <w:p w14:paraId="656291DD">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一般游览区</w:t>
            </w:r>
          </w:p>
        </w:tc>
        <w:tc>
          <w:tcPr>
            <w:tcW w:w="971" w:type="pct"/>
            <w:shd w:val="clear" w:color="auto" w:fill="auto"/>
            <w:vAlign w:val="center"/>
          </w:tcPr>
          <w:p w14:paraId="383D6044">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1317000</w:t>
            </w:r>
          </w:p>
        </w:tc>
        <w:tc>
          <w:tcPr>
            <w:tcW w:w="981" w:type="pct"/>
            <w:shd w:val="clear" w:color="auto" w:fill="auto"/>
            <w:vAlign w:val="center"/>
          </w:tcPr>
          <w:p w14:paraId="40907026">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400</w:t>
            </w:r>
          </w:p>
        </w:tc>
        <w:tc>
          <w:tcPr>
            <w:tcW w:w="854" w:type="pct"/>
            <w:shd w:val="clear" w:color="auto" w:fill="auto"/>
            <w:vAlign w:val="center"/>
          </w:tcPr>
          <w:p w14:paraId="6DCC0A2F">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3293</w:t>
            </w:r>
          </w:p>
        </w:tc>
        <w:tc>
          <w:tcPr>
            <w:tcW w:w="531" w:type="pct"/>
            <w:shd w:val="clear" w:color="auto" w:fill="auto"/>
            <w:vAlign w:val="center"/>
          </w:tcPr>
          <w:p w14:paraId="294FB07D">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1.5</w:t>
            </w:r>
          </w:p>
        </w:tc>
        <w:tc>
          <w:tcPr>
            <w:tcW w:w="1035" w:type="pct"/>
            <w:shd w:val="clear" w:color="auto" w:fill="auto"/>
            <w:vAlign w:val="center"/>
          </w:tcPr>
          <w:p w14:paraId="1C0A4251">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4939</w:t>
            </w:r>
          </w:p>
        </w:tc>
      </w:tr>
      <w:tr w14:paraId="4A24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shd w:val="clear" w:color="auto" w:fill="auto"/>
            <w:vAlign w:val="center"/>
          </w:tcPr>
          <w:p w14:paraId="7DE73BF6">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合计</w:t>
            </w:r>
          </w:p>
        </w:tc>
        <w:tc>
          <w:tcPr>
            <w:tcW w:w="1783" w:type="dxa"/>
            <w:shd w:val="clear" w:color="auto" w:fill="auto"/>
            <w:vAlign w:val="center"/>
          </w:tcPr>
          <w:p w14:paraId="07C9B78B">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2043000</w:t>
            </w:r>
          </w:p>
        </w:tc>
        <w:tc>
          <w:tcPr>
            <w:tcW w:w="1801" w:type="dxa"/>
            <w:shd w:val="clear" w:color="auto" w:fill="auto"/>
            <w:vAlign w:val="center"/>
          </w:tcPr>
          <w:p w14:paraId="54FB130F">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600</w:t>
            </w:r>
          </w:p>
        </w:tc>
        <w:tc>
          <w:tcPr>
            <w:tcW w:w="1568" w:type="dxa"/>
            <w:shd w:val="clear" w:color="auto" w:fill="auto"/>
            <w:vAlign w:val="center"/>
          </w:tcPr>
          <w:p w14:paraId="5280F7B8">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6923</w:t>
            </w:r>
          </w:p>
        </w:tc>
        <w:tc>
          <w:tcPr>
            <w:tcW w:w="975" w:type="dxa"/>
            <w:shd w:val="clear" w:color="auto" w:fill="auto"/>
            <w:vAlign w:val="center"/>
          </w:tcPr>
          <w:p w14:paraId="3247C202">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2.5</w:t>
            </w:r>
          </w:p>
        </w:tc>
        <w:tc>
          <w:tcPr>
            <w:tcW w:w="1900" w:type="dxa"/>
            <w:shd w:val="clear" w:color="auto" w:fill="auto"/>
            <w:vAlign w:val="center"/>
          </w:tcPr>
          <w:p w14:paraId="532EC682">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8569</w:t>
            </w:r>
          </w:p>
        </w:tc>
      </w:tr>
    </w:tbl>
    <w:p w14:paraId="5068E82F">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景区日游客容量取值为8569人/d，按245天有效游览天数计算，景区环境承载量最高可满足</w:t>
      </w:r>
      <w:r>
        <w:rPr>
          <w:rFonts w:hint="default" w:ascii="Times New Roman" w:hAnsi="Times New Roman" w:cs="Times New Roman"/>
          <w:color w:val="auto"/>
          <w:kern w:val="0"/>
          <w:sz w:val="24"/>
          <w:highlight w:val="none"/>
          <w:lang w:val="en-US" w:eastAsia="zh-CN"/>
        </w:rPr>
        <w:t>210</w:t>
      </w:r>
      <w:r>
        <w:rPr>
          <w:rFonts w:hint="default" w:ascii="Times New Roman" w:hAnsi="Times New Roman" w:cs="Times New Roman"/>
          <w:color w:val="auto"/>
          <w:kern w:val="0"/>
          <w:sz w:val="24"/>
          <w:highlight w:val="none"/>
        </w:rPr>
        <w:t>万人次/年。综合以上测算法，从维持景区自然生态质量、满足游客空间感和旅游体验感角度，取最低值</w:t>
      </w:r>
      <w:r>
        <w:rPr>
          <w:rFonts w:hint="default"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000人/d，按245天有效游览天数计算，景区环境承载量为</w:t>
      </w:r>
      <w:r>
        <w:rPr>
          <w:rFonts w:hint="default" w:ascii="Times New Roman" w:hAnsi="Times New Roman" w:cs="Times New Roman"/>
          <w:color w:val="auto"/>
          <w:kern w:val="0"/>
          <w:sz w:val="24"/>
          <w:highlight w:val="none"/>
          <w:lang w:val="en-US" w:eastAsia="zh-CN"/>
        </w:rPr>
        <w:t>147</w:t>
      </w:r>
      <w:r>
        <w:rPr>
          <w:rFonts w:hint="default" w:ascii="Times New Roman" w:hAnsi="Times New Roman" w:cs="Times New Roman"/>
          <w:color w:val="auto"/>
          <w:kern w:val="0"/>
          <w:sz w:val="24"/>
          <w:highlight w:val="none"/>
        </w:rPr>
        <w:t>万人次/年。</w:t>
      </w:r>
    </w:p>
    <w:p w14:paraId="63A04124">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规划采用数据统计方案，</w:t>
      </w:r>
      <w:r>
        <w:rPr>
          <w:rFonts w:hint="default" w:ascii="Times New Roman" w:hAnsi="Times New Roman" w:cs="Times New Roman"/>
          <w:color w:val="auto"/>
          <w:kern w:val="0"/>
          <w:sz w:val="24"/>
          <w:highlight w:val="none"/>
          <w:lang w:val="en-US" w:eastAsia="zh-CN"/>
        </w:rPr>
        <w:t>根据前文“表2.1-2  游客量预测表”可知，</w:t>
      </w:r>
      <w:r>
        <w:rPr>
          <w:rFonts w:hint="default" w:ascii="Times New Roman" w:hAnsi="Times New Roman" w:cs="Times New Roman"/>
          <w:color w:val="auto"/>
          <w:kern w:val="0"/>
          <w:sz w:val="24"/>
          <w:highlight w:val="none"/>
        </w:rPr>
        <w:t>至规划年末203</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年接待游客人数为</w:t>
      </w:r>
      <w:r>
        <w:rPr>
          <w:rFonts w:hint="default" w:ascii="Times New Roman" w:hAnsi="Times New Roman" w:cs="Times New Roman"/>
          <w:color w:val="auto"/>
          <w:kern w:val="0"/>
          <w:sz w:val="24"/>
          <w:highlight w:val="none"/>
          <w:lang w:val="en-US" w:eastAsia="zh-CN"/>
        </w:rPr>
        <w:t>50.12</w:t>
      </w:r>
      <w:r>
        <w:rPr>
          <w:rFonts w:hint="default" w:ascii="Times New Roman" w:hAnsi="Times New Roman" w:cs="Times New Roman"/>
          <w:color w:val="auto"/>
          <w:kern w:val="0"/>
          <w:sz w:val="24"/>
          <w:highlight w:val="none"/>
        </w:rPr>
        <w:t>万人次</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远小于</w:t>
      </w:r>
      <w:r>
        <w:rPr>
          <w:rFonts w:hint="default" w:ascii="Times New Roman" w:hAnsi="Times New Roman" w:cs="Times New Roman"/>
          <w:color w:val="auto"/>
          <w:kern w:val="0"/>
          <w:sz w:val="24"/>
          <w:highlight w:val="none"/>
        </w:rPr>
        <w:t>理论年容量一致，故旅游区旅游环境容量满足规划游客规模要求。</w:t>
      </w:r>
    </w:p>
    <w:p w14:paraId="15EFFBC4">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所述，区域环境资源和容量因子不会成为规划区旅游发展的限制因素，但不排除局部或经典景区的游客量超过局部环境容量。因而，有必要对节假日高峰期客流进行合理的规划和分流，协调各个景区的游客量，规划多条游览线路，杜绝某一个景区游客量过剩，而某一个景区较少人游览的现象；同时还应严格控制游客数量，限定售票量。</w:t>
      </w:r>
    </w:p>
    <w:p w14:paraId="329A4115">
      <w:pPr>
        <w:pStyle w:val="36"/>
        <w:rPr>
          <w:rFonts w:hint="default" w:ascii="Times New Roman" w:hAnsi="Times New Roman" w:cs="Times New Roman"/>
          <w:color w:val="auto"/>
          <w:highlight w:val="none"/>
          <w:lang w:val="en-US"/>
        </w:rPr>
      </w:pPr>
    </w:p>
    <w:p w14:paraId="62BF82EA">
      <w:pPr>
        <w:pStyle w:val="2"/>
        <w:spacing w:before="312" w:after="312"/>
        <w:rPr>
          <w:rFonts w:hint="default" w:ascii="Times New Roman" w:hAnsi="Times New Roman" w:cs="Times New Roman"/>
          <w:color w:val="auto"/>
          <w:highlight w:val="none"/>
        </w:rPr>
      </w:pPr>
      <w:bookmarkStart w:id="171" w:name="_Toc25122"/>
      <w:r>
        <w:rPr>
          <w:rFonts w:hint="default" w:ascii="Times New Roman" w:hAnsi="Times New Roman" w:cs="Times New Roman"/>
          <w:color w:val="auto"/>
          <w:highlight w:val="none"/>
        </w:rPr>
        <w:t>规划方案综合论证和优化调整建议</w:t>
      </w:r>
      <w:bookmarkEnd w:id="171"/>
    </w:p>
    <w:p w14:paraId="680E455D">
      <w:pPr>
        <w:pStyle w:val="3"/>
        <w:spacing w:before="156" w:after="156"/>
        <w:rPr>
          <w:rFonts w:hint="default" w:ascii="Times New Roman" w:hAnsi="Times New Roman" w:cs="Times New Roman"/>
          <w:color w:val="auto"/>
          <w:highlight w:val="none"/>
        </w:rPr>
      </w:pPr>
      <w:bookmarkStart w:id="172" w:name="_Toc36557453"/>
      <w:bookmarkStart w:id="173" w:name="_Toc12738"/>
      <w:r>
        <w:rPr>
          <w:rFonts w:hint="default" w:ascii="Times New Roman" w:hAnsi="Times New Roman" w:cs="Times New Roman"/>
          <w:color w:val="auto"/>
          <w:highlight w:val="none"/>
        </w:rPr>
        <w:t>规划方案的环境合理性论证</w:t>
      </w:r>
      <w:bookmarkEnd w:id="172"/>
      <w:bookmarkEnd w:id="173"/>
    </w:p>
    <w:p w14:paraId="0687F261">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规划目标与发展定位的环境合理性</w:t>
      </w:r>
    </w:p>
    <w:p w14:paraId="666EF482">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近期目标：</w:t>
      </w:r>
    </w:p>
    <w:p w14:paraId="02E9D1A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国家4A级旅游景区</w:t>
      </w:r>
    </w:p>
    <w:p w14:paraId="178A05AE">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rPr>
      </w:pPr>
      <w:r>
        <w:rPr>
          <w:rFonts w:hint="default" w:ascii="Times New Roman" w:hAnsi="Times New Roman" w:cs="Times New Roman"/>
          <w:b/>
          <w:bCs w:val="0"/>
          <w:color w:val="auto"/>
          <w:kern w:val="0"/>
          <w:sz w:val="24"/>
          <w:highlight w:val="none"/>
        </w:rPr>
        <w:t>远期目标：</w:t>
      </w:r>
    </w:p>
    <w:p w14:paraId="64493B8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自治区康养旅游示范基地</w:t>
      </w:r>
    </w:p>
    <w:p w14:paraId="159846C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自治区级旅游度假区</w:t>
      </w:r>
    </w:p>
    <w:p w14:paraId="1802397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国家研学旅游基地</w:t>
      </w:r>
    </w:p>
    <w:p w14:paraId="44A5620B">
      <w:pPr>
        <w:pStyle w:val="36"/>
        <w:snapToGrid/>
        <w:spacing w:line="360" w:lineRule="auto"/>
        <w:ind w:firstLine="480" w:firstLineChars="200"/>
        <w:contextualSpacing/>
        <w:rPr>
          <w:rFonts w:hint="default" w:ascii="Times New Roman" w:hAnsi="Times New Roman" w:cs="Times New Roman"/>
          <w:b/>
          <w:bCs/>
          <w:color w:val="auto"/>
          <w:sz w:val="24"/>
          <w:szCs w:val="24"/>
          <w:highlight w:val="none"/>
        </w:rPr>
      </w:pPr>
      <w:r>
        <w:rPr>
          <w:rFonts w:hint="default" w:ascii="Times New Roman" w:hAnsi="Times New Roman" w:cs="Times New Roman"/>
          <w:bCs/>
          <w:color w:val="auto"/>
          <w:kern w:val="0"/>
          <w:sz w:val="24"/>
          <w:highlight w:val="none"/>
        </w:rPr>
        <w:t>西藏首个全域零碳旅游景区</w:t>
      </w:r>
    </w:p>
    <w:p w14:paraId="0D7873D8">
      <w:pPr>
        <w:pStyle w:val="36"/>
        <w:snapToGrid/>
        <w:spacing w:line="360" w:lineRule="auto"/>
        <w:ind w:firstLine="480" w:firstLineChars="200"/>
        <w:contextualSpacing/>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规划目标以</w:t>
      </w:r>
      <w:r>
        <w:rPr>
          <w:rFonts w:hint="default" w:ascii="Times New Roman" w:hAnsi="Times New Roman" w:cs="Times New Roman"/>
          <w:bCs/>
          <w:color w:val="auto"/>
          <w:kern w:val="0"/>
          <w:sz w:val="24"/>
          <w:highlight w:val="none"/>
        </w:rPr>
        <w:t>绿色、康养旅游</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研学旅游</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全域零碳旅游</w:t>
      </w:r>
      <w:r>
        <w:rPr>
          <w:rFonts w:hint="default" w:ascii="Times New Roman" w:hAnsi="Times New Roman" w:cs="Times New Roman"/>
          <w:color w:val="auto"/>
          <w:sz w:val="24"/>
          <w:szCs w:val="24"/>
          <w:highlight w:val="none"/>
        </w:rPr>
        <w:t>为</w:t>
      </w:r>
      <w:r>
        <w:rPr>
          <w:rFonts w:hint="default" w:ascii="Times New Roman" w:hAnsi="Times New Roman" w:cs="Times New Roman"/>
          <w:color w:val="auto"/>
          <w:sz w:val="24"/>
          <w:szCs w:val="24"/>
          <w:highlight w:val="none"/>
          <w:lang w:val="en-US" w:eastAsia="zh-CN"/>
        </w:rPr>
        <w:t>目标</w:t>
      </w:r>
      <w:r>
        <w:rPr>
          <w:rFonts w:hint="default" w:ascii="Times New Roman" w:hAnsi="Times New Roman" w:cs="Times New Roman"/>
          <w:color w:val="auto"/>
          <w:sz w:val="24"/>
          <w:szCs w:val="24"/>
          <w:highlight w:val="none"/>
        </w:rPr>
        <w:t>，与资源相平衡，实现可持续发展，与以生态环境保护，资源合理开发利用为主的环境目标相吻合，符合</w:t>
      </w:r>
      <w:r>
        <w:rPr>
          <w:rFonts w:hint="default" w:ascii="Times New Roman" w:hAnsi="Times New Roman" w:cs="Times New Roman" w:eastAsiaTheme="minorEastAsia"/>
          <w:bCs/>
          <w:color w:val="auto"/>
          <w:sz w:val="24"/>
          <w:highlight w:val="none"/>
        </w:rPr>
        <w:t>《西藏自治区“三线一单”生态环境分区管控方案》，根据章节“2.2规划协调性分析”可知，相关的生态环境保护法律法规、资源利用和产业政策及上层规划。</w:t>
      </w:r>
    </w:p>
    <w:p w14:paraId="775EDB4B">
      <w:pPr>
        <w:pStyle w:val="720"/>
        <w:ind w:firstLine="482"/>
        <w:contextualSpacing/>
        <w:rPr>
          <w:rFonts w:hint="default" w:ascii="Times New Roman" w:hAnsi="Times New Roman" w:cs="Times New Roman"/>
          <w:color w:val="auto"/>
          <w:szCs w:val="24"/>
          <w:highlight w:val="none"/>
        </w:rPr>
      </w:pPr>
      <w:r>
        <w:rPr>
          <w:rFonts w:hint="default" w:ascii="Times New Roman" w:hAnsi="Times New Roman" w:cs="Times New Roman"/>
          <w:b/>
          <w:color w:val="auto"/>
          <w:szCs w:val="24"/>
          <w:highlight w:val="none"/>
          <w:lang w:val="en-US" w:eastAsia="zh-CN"/>
        </w:rPr>
        <w:t>总体</w:t>
      </w:r>
      <w:r>
        <w:rPr>
          <w:rFonts w:hint="default" w:ascii="Times New Roman" w:hAnsi="Times New Roman" w:cs="Times New Roman"/>
          <w:b/>
          <w:color w:val="auto"/>
          <w:szCs w:val="24"/>
          <w:highlight w:val="none"/>
        </w:rPr>
        <w:t>定位：</w:t>
      </w:r>
      <w:r>
        <w:rPr>
          <w:rFonts w:hint="default" w:ascii="Times New Roman" w:hAnsi="Times New Roman" w:cs="Times New Roman"/>
          <w:bCs/>
          <w:color w:val="auto"/>
          <w:kern w:val="0"/>
          <w:sz w:val="24"/>
          <w:highlight w:val="none"/>
          <w:lang w:eastAsia="zh-CN"/>
        </w:rPr>
        <w:t>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将资源优势、生态优势转化为产业优势和发展优势。“三生融合”示范景区：生态保护标杆/生活体验窗口/生产创新样板。打造西藏首个森林康养旅游目的地，国家级森林徒步天堂。</w:t>
      </w:r>
      <w:r>
        <w:rPr>
          <w:rFonts w:hint="default" w:ascii="Times New Roman" w:hAnsi="Times New Roman" w:cs="Times New Roman"/>
          <w:color w:val="auto"/>
          <w:szCs w:val="24"/>
          <w:highlight w:val="none"/>
        </w:rPr>
        <w:t>符合</w:t>
      </w:r>
      <w:r>
        <w:rPr>
          <w:rFonts w:hint="default" w:ascii="Times New Roman" w:hAnsi="Times New Roman" w:cs="Times New Roman" w:eastAsiaTheme="minorEastAsia"/>
          <w:color w:val="auto"/>
          <w:highlight w:val="none"/>
        </w:rPr>
        <w:t>《西藏自治区“三线一单”生态环境分区管控方案》，根据章节“2.2规划协调性分析”可知，相关的生态环境保护法律法规、资源利用和产业政策及上层规划。</w:t>
      </w:r>
    </w:p>
    <w:p w14:paraId="0D0FB47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规划规模和建设时序的环境合理性</w:t>
      </w:r>
    </w:p>
    <w:p w14:paraId="2E8B52E9">
      <w:pPr>
        <w:pStyle w:val="720"/>
        <w:ind w:firstLine="482"/>
        <w:contextualSpacing/>
        <w:rPr>
          <w:rFonts w:hint="default" w:ascii="Times New Roman" w:hAnsi="Times New Roman" w:cs="Times New Roman"/>
          <w:color w:val="auto"/>
          <w:szCs w:val="24"/>
          <w:highlight w:val="none"/>
        </w:rPr>
      </w:pPr>
      <w:r>
        <w:rPr>
          <w:rFonts w:hint="default" w:ascii="Times New Roman" w:hAnsi="Times New Roman" w:cs="Times New Roman"/>
          <w:b/>
          <w:bCs/>
          <w:color w:val="auto"/>
          <w:szCs w:val="24"/>
          <w:highlight w:val="none"/>
        </w:rPr>
        <w:t>规模：</w:t>
      </w:r>
      <w:r>
        <w:rPr>
          <w:rFonts w:hint="default" w:ascii="Times New Roman" w:hAnsi="Times New Roman" w:cs="Times New Roman"/>
          <w:color w:val="auto"/>
          <w:szCs w:val="24"/>
          <w:highlight w:val="none"/>
          <w:lang w:val="en-US"/>
        </w:rPr>
        <w:t>占地面积</w:t>
      </w:r>
      <w:r>
        <w:rPr>
          <w:rFonts w:hint="default" w:ascii="Times New Roman" w:hAnsi="Times New Roman" w:cs="Times New Roman"/>
          <w:color w:val="auto"/>
          <w:szCs w:val="24"/>
          <w:highlight w:val="none"/>
          <w:lang w:val="en-US" w:eastAsia="zh-CN"/>
        </w:rPr>
        <w:t>6.81km</w:t>
      </w:r>
      <w:r>
        <w:rPr>
          <w:rFonts w:hint="default" w:ascii="Times New Roman" w:hAnsi="Times New Roman" w:cs="Times New Roman"/>
          <w:color w:val="auto"/>
          <w:szCs w:val="24"/>
          <w:highlight w:val="none"/>
          <w:vertAlign w:val="superscript"/>
          <w:lang w:val="en-US"/>
        </w:rPr>
        <w:t>2</w:t>
      </w:r>
      <w:r>
        <w:rPr>
          <w:rFonts w:hint="default" w:ascii="Times New Roman" w:hAnsi="Times New Roman" w:cs="Times New Roman"/>
          <w:color w:val="auto"/>
          <w:szCs w:val="24"/>
          <w:highlight w:val="none"/>
          <w:lang w:val="en-US"/>
        </w:rPr>
        <w:t>。</w:t>
      </w:r>
      <w:r>
        <w:rPr>
          <w:rFonts w:hint="default" w:ascii="Times New Roman" w:hAnsi="Times New Roman" w:cs="Times New Roman"/>
          <w:color w:val="auto"/>
          <w:szCs w:val="24"/>
          <w:highlight w:val="none"/>
        </w:rPr>
        <w:t>规划区常住人口</w:t>
      </w:r>
      <w:r>
        <w:rPr>
          <w:rFonts w:hint="default" w:ascii="Times New Roman" w:hAnsi="Times New Roman" w:cs="Times New Roman"/>
          <w:color w:val="auto"/>
          <w:szCs w:val="24"/>
          <w:highlight w:val="none"/>
          <w:lang w:val="en-US" w:eastAsia="zh-CN"/>
        </w:rPr>
        <w:t>495</w:t>
      </w:r>
      <w:r>
        <w:rPr>
          <w:rFonts w:hint="default" w:ascii="Times New Roman" w:hAnsi="Times New Roman" w:cs="Times New Roman"/>
          <w:color w:val="auto"/>
          <w:szCs w:val="24"/>
          <w:highlight w:val="none"/>
        </w:rPr>
        <w:t>人。中期游客</w:t>
      </w:r>
      <w:r>
        <w:rPr>
          <w:rFonts w:hint="default" w:ascii="Times New Roman" w:hAnsi="Times New Roman" w:cs="Times New Roman"/>
          <w:color w:val="auto"/>
          <w:szCs w:val="24"/>
          <w:highlight w:val="none"/>
          <w:lang w:val="en-US" w:eastAsia="zh-CN"/>
        </w:rPr>
        <w:t>22.59</w:t>
      </w:r>
      <w:r>
        <w:rPr>
          <w:rFonts w:hint="default" w:ascii="Times New Roman" w:hAnsi="Times New Roman" w:cs="Times New Roman"/>
          <w:color w:val="auto"/>
          <w:szCs w:val="24"/>
          <w:highlight w:val="none"/>
        </w:rPr>
        <w:t>万人/年，远期</w:t>
      </w:r>
      <w:r>
        <w:rPr>
          <w:rFonts w:hint="default" w:ascii="Times New Roman" w:hAnsi="Times New Roman" w:cs="Times New Roman"/>
          <w:color w:val="auto"/>
          <w:szCs w:val="24"/>
          <w:highlight w:val="none"/>
          <w:lang w:val="en-US" w:eastAsia="zh-CN"/>
        </w:rPr>
        <w:t>50.12</w:t>
      </w:r>
      <w:r>
        <w:rPr>
          <w:rFonts w:hint="default" w:ascii="Times New Roman" w:hAnsi="Times New Roman" w:cs="Times New Roman"/>
          <w:color w:val="auto"/>
          <w:szCs w:val="24"/>
          <w:highlight w:val="none"/>
        </w:rPr>
        <w:t>万人/年。高峰日游客量中期</w:t>
      </w:r>
      <w:r>
        <w:rPr>
          <w:rFonts w:hint="default" w:ascii="Times New Roman" w:hAnsi="Times New Roman" w:cs="Times New Roman"/>
          <w:color w:val="auto"/>
          <w:szCs w:val="24"/>
          <w:highlight w:val="none"/>
          <w:lang w:val="en-US" w:eastAsia="zh-CN"/>
        </w:rPr>
        <w:t>1356</w:t>
      </w:r>
      <w:r>
        <w:rPr>
          <w:rFonts w:hint="default" w:ascii="Times New Roman" w:hAnsi="Times New Roman" w:cs="Times New Roman"/>
          <w:color w:val="auto"/>
          <w:szCs w:val="24"/>
          <w:highlight w:val="none"/>
        </w:rPr>
        <w:t>人/日，远期</w:t>
      </w:r>
      <w:r>
        <w:rPr>
          <w:rFonts w:hint="default" w:ascii="Times New Roman" w:hAnsi="Times New Roman" w:cs="Times New Roman"/>
          <w:color w:val="auto"/>
          <w:szCs w:val="24"/>
          <w:highlight w:val="none"/>
          <w:lang w:val="en-US" w:eastAsia="zh-CN"/>
        </w:rPr>
        <w:t>3007</w:t>
      </w:r>
      <w:r>
        <w:rPr>
          <w:rFonts w:hint="default" w:ascii="Times New Roman" w:hAnsi="Times New Roman" w:cs="Times New Roman"/>
          <w:color w:val="auto"/>
          <w:szCs w:val="24"/>
          <w:highlight w:val="none"/>
        </w:rPr>
        <w:t>人/日。</w:t>
      </w:r>
    </w:p>
    <w:p w14:paraId="31F87D07">
      <w:pPr>
        <w:pStyle w:val="724"/>
        <w:rPr>
          <w:rFonts w:hint="default" w:ascii="Times New Roman" w:hAnsi="Times New Roman" w:cs="Times New Roman"/>
          <w:color w:val="auto"/>
          <w:highlight w:val="none"/>
        </w:rPr>
      </w:pPr>
      <w:r>
        <w:rPr>
          <w:rFonts w:hint="default" w:ascii="Times New Roman" w:hAnsi="Times New Roman" w:cs="Times New Roman"/>
          <w:color w:val="auto"/>
          <w:highlight w:val="none"/>
        </w:rPr>
        <w:t>表6.1-1  规划规模的环境合理性</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534"/>
        <w:gridCol w:w="1317"/>
        <w:gridCol w:w="1543"/>
        <w:gridCol w:w="1276"/>
        <w:gridCol w:w="1417"/>
        <w:gridCol w:w="986"/>
      </w:tblGrid>
      <w:tr w14:paraId="12B0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14:paraId="24E13ADB">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规划规模</w:t>
            </w:r>
          </w:p>
        </w:tc>
        <w:tc>
          <w:tcPr>
            <w:tcW w:w="7087" w:type="dxa"/>
            <w:gridSpan w:val="5"/>
            <w:vAlign w:val="center"/>
          </w:tcPr>
          <w:p w14:paraId="6F9B97B5">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环境和理性分析</w:t>
            </w:r>
          </w:p>
        </w:tc>
        <w:tc>
          <w:tcPr>
            <w:tcW w:w="986" w:type="dxa"/>
            <w:vMerge w:val="restart"/>
            <w:vAlign w:val="center"/>
          </w:tcPr>
          <w:p w14:paraId="3F17E4C7">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结论</w:t>
            </w:r>
          </w:p>
        </w:tc>
      </w:tr>
      <w:tr w14:paraId="5AE7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14:paraId="1852E879">
            <w:pPr>
              <w:pStyle w:val="722"/>
              <w:rPr>
                <w:rFonts w:hint="default" w:ascii="Times New Roman" w:hAnsi="Times New Roman" w:cs="Times New Roman"/>
                <w:color w:val="auto"/>
                <w:highlight w:val="none"/>
              </w:rPr>
            </w:pPr>
          </w:p>
        </w:tc>
        <w:tc>
          <w:tcPr>
            <w:tcW w:w="1534" w:type="dxa"/>
            <w:vAlign w:val="center"/>
          </w:tcPr>
          <w:p w14:paraId="3FAD384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环境影响预测</w:t>
            </w:r>
          </w:p>
        </w:tc>
        <w:tc>
          <w:tcPr>
            <w:tcW w:w="1317" w:type="dxa"/>
            <w:vAlign w:val="center"/>
          </w:tcPr>
          <w:p w14:paraId="73540EB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资源承载力</w:t>
            </w:r>
          </w:p>
        </w:tc>
        <w:tc>
          <w:tcPr>
            <w:tcW w:w="1543" w:type="dxa"/>
            <w:vAlign w:val="center"/>
          </w:tcPr>
          <w:p w14:paraId="7AC4B0E1">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环境承载力</w:t>
            </w:r>
          </w:p>
        </w:tc>
        <w:tc>
          <w:tcPr>
            <w:tcW w:w="1276" w:type="dxa"/>
            <w:vAlign w:val="center"/>
          </w:tcPr>
          <w:p w14:paraId="66C2AF6E">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资源利用上线</w:t>
            </w:r>
          </w:p>
        </w:tc>
        <w:tc>
          <w:tcPr>
            <w:tcW w:w="1417" w:type="dxa"/>
            <w:vAlign w:val="center"/>
          </w:tcPr>
          <w:p w14:paraId="55D10D5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环境质量底线</w:t>
            </w:r>
          </w:p>
        </w:tc>
        <w:tc>
          <w:tcPr>
            <w:tcW w:w="986" w:type="dxa"/>
            <w:vMerge w:val="continue"/>
            <w:vAlign w:val="center"/>
          </w:tcPr>
          <w:p w14:paraId="4FFA9308">
            <w:pPr>
              <w:pStyle w:val="722"/>
              <w:rPr>
                <w:rFonts w:hint="default" w:ascii="Times New Roman" w:hAnsi="Times New Roman" w:cs="Times New Roman"/>
                <w:color w:val="auto"/>
                <w:highlight w:val="none"/>
              </w:rPr>
            </w:pPr>
          </w:p>
        </w:tc>
      </w:tr>
      <w:tr w14:paraId="234D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7F91D28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占地规模</w:t>
            </w:r>
          </w:p>
        </w:tc>
        <w:tc>
          <w:tcPr>
            <w:tcW w:w="1534" w:type="dxa"/>
            <w:vAlign w:val="center"/>
          </w:tcPr>
          <w:p w14:paraId="1847652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环境影响较小</w:t>
            </w:r>
          </w:p>
        </w:tc>
        <w:tc>
          <w:tcPr>
            <w:tcW w:w="1317" w:type="dxa"/>
            <w:vAlign w:val="center"/>
          </w:tcPr>
          <w:p w14:paraId="05FF9136">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满足土地承载力</w:t>
            </w:r>
          </w:p>
        </w:tc>
        <w:tc>
          <w:tcPr>
            <w:tcW w:w="1543" w:type="dxa"/>
            <w:vAlign w:val="center"/>
          </w:tcPr>
          <w:p w14:paraId="38727F83">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满足环境承载力需求</w:t>
            </w:r>
          </w:p>
        </w:tc>
        <w:tc>
          <w:tcPr>
            <w:tcW w:w="1276" w:type="dxa"/>
            <w:vAlign w:val="center"/>
          </w:tcPr>
          <w:p w14:paraId="1B929597">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满足土地资源利用上线</w:t>
            </w:r>
          </w:p>
        </w:tc>
        <w:tc>
          <w:tcPr>
            <w:tcW w:w="1417" w:type="dxa"/>
            <w:vAlign w:val="center"/>
          </w:tcPr>
          <w:p w14:paraId="618182E4">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满足环境质量底线要求</w:t>
            </w:r>
          </w:p>
        </w:tc>
        <w:tc>
          <w:tcPr>
            <w:tcW w:w="986" w:type="dxa"/>
            <w:vMerge w:val="restart"/>
            <w:vAlign w:val="center"/>
          </w:tcPr>
          <w:p w14:paraId="40875825">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规划规模环境合理</w:t>
            </w:r>
          </w:p>
        </w:tc>
      </w:tr>
      <w:tr w14:paraId="61E2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6762A2F5">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常住人口规模</w:t>
            </w:r>
          </w:p>
        </w:tc>
        <w:tc>
          <w:tcPr>
            <w:tcW w:w="1534" w:type="dxa"/>
            <w:vAlign w:val="center"/>
          </w:tcPr>
          <w:p w14:paraId="4E1291E1">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常住人口较小，对环境影响较小</w:t>
            </w:r>
          </w:p>
        </w:tc>
        <w:tc>
          <w:tcPr>
            <w:tcW w:w="1317" w:type="dxa"/>
            <w:vAlign w:val="center"/>
          </w:tcPr>
          <w:p w14:paraId="39734EC3">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对资源承载力影响较小</w:t>
            </w:r>
          </w:p>
        </w:tc>
        <w:tc>
          <w:tcPr>
            <w:tcW w:w="1543" w:type="dxa"/>
            <w:vAlign w:val="center"/>
          </w:tcPr>
          <w:p w14:paraId="17A1698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对环境承载力影响较小</w:t>
            </w:r>
          </w:p>
        </w:tc>
        <w:tc>
          <w:tcPr>
            <w:tcW w:w="1276" w:type="dxa"/>
            <w:vAlign w:val="center"/>
          </w:tcPr>
          <w:p w14:paraId="26594B76">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满足土地资源利用上线</w:t>
            </w:r>
          </w:p>
        </w:tc>
        <w:tc>
          <w:tcPr>
            <w:tcW w:w="1417" w:type="dxa"/>
            <w:vAlign w:val="center"/>
          </w:tcPr>
          <w:p w14:paraId="4AB0C04A">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满足土地资源利用上线</w:t>
            </w:r>
          </w:p>
        </w:tc>
        <w:tc>
          <w:tcPr>
            <w:tcW w:w="986" w:type="dxa"/>
            <w:vMerge w:val="continue"/>
            <w:vAlign w:val="center"/>
          </w:tcPr>
          <w:p w14:paraId="79CDA93A">
            <w:pPr>
              <w:pStyle w:val="722"/>
              <w:rPr>
                <w:rFonts w:hint="default" w:ascii="Times New Roman" w:hAnsi="Times New Roman" w:cs="Times New Roman"/>
                <w:color w:val="auto"/>
                <w:highlight w:val="none"/>
              </w:rPr>
            </w:pPr>
          </w:p>
        </w:tc>
      </w:tr>
      <w:tr w14:paraId="3712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37528636">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游客规模</w:t>
            </w:r>
          </w:p>
        </w:tc>
        <w:tc>
          <w:tcPr>
            <w:tcW w:w="1534" w:type="dxa"/>
            <w:vAlign w:val="center"/>
          </w:tcPr>
          <w:p w14:paraId="73F3A2A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游客产生的环境影响主要为生活污水、生活垃圾、厨余垃圾，经预测对环境影响较小</w:t>
            </w:r>
          </w:p>
        </w:tc>
        <w:tc>
          <w:tcPr>
            <w:tcW w:w="1317" w:type="dxa"/>
            <w:vAlign w:val="center"/>
          </w:tcPr>
          <w:p w14:paraId="64B4B79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游客对资源承载里的影响主要集中于对水资源的消耗，经分析，水资源可满足游客规模需要</w:t>
            </w:r>
          </w:p>
        </w:tc>
        <w:tc>
          <w:tcPr>
            <w:tcW w:w="1543" w:type="dxa"/>
            <w:vAlign w:val="center"/>
          </w:tcPr>
          <w:p w14:paraId="03F4EA1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游客产生的生活污水进入</w:t>
            </w:r>
            <w:r>
              <w:rPr>
                <w:rFonts w:hint="default" w:ascii="Times New Roman" w:hAnsi="Times New Roman" w:cs="Times New Roman"/>
                <w:color w:val="auto"/>
                <w:highlight w:val="none"/>
                <w:lang w:val="en-US" w:eastAsia="zh-CN"/>
              </w:rPr>
              <w:t>一体化污水处理设施</w:t>
            </w:r>
            <w:r>
              <w:rPr>
                <w:rFonts w:hint="default" w:ascii="Times New Roman" w:hAnsi="Times New Roman" w:cs="Times New Roman"/>
                <w:color w:val="auto"/>
                <w:highlight w:val="none"/>
              </w:rPr>
              <w:t>，厨余垃圾、生活垃圾收集后统一无害化处理，游客产生的污染物可全部消纳或处理，满足环境承载力要求</w:t>
            </w:r>
          </w:p>
        </w:tc>
        <w:tc>
          <w:tcPr>
            <w:tcW w:w="1276" w:type="dxa"/>
            <w:vAlign w:val="center"/>
          </w:tcPr>
          <w:p w14:paraId="65C61979">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经计算，游客用水量未超过水资源利用上线</w:t>
            </w:r>
          </w:p>
        </w:tc>
        <w:tc>
          <w:tcPr>
            <w:tcW w:w="1417" w:type="dxa"/>
            <w:vAlign w:val="center"/>
          </w:tcPr>
          <w:p w14:paraId="7BCC26F9">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经预测，游客的环境影响满足环境质量底线要求</w:t>
            </w:r>
          </w:p>
        </w:tc>
        <w:tc>
          <w:tcPr>
            <w:tcW w:w="986" w:type="dxa"/>
            <w:vMerge w:val="continue"/>
            <w:vAlign w:val="center"/>
          </w:tcPr>
          <w:p w14:paraId="62000D80">
            <w:pPr>
              <w:pStyle w:val="722"/>
              <w:rPr>
                <w:rFonts w:hint="default" w:ascii="Times New Roman" w:hAnsi="Times New Roman" w:cs="Times New Roman"/>
                <w:color w:val="auto"/>
                <w:highlight w:val="none"/>
              </w:rPr>
            </w:pPr>
          </w:p>
        </w:tc>
      </w:tr>
    </w:tbl>
    <w:p w14:paraId="66AF6B58">
      <w:pPr>
        <w:pStyle w:val="317"/>
        <w:spacing w:line="360" w:lineRule="auto"/>
        <w:rPr>
          <w:rFonts w:hint="default" w:ascii="Times New Roman" w:hAnsi="Times New Roman" w:cs="Times New Roman"/>
          <w:color w:val="auto"/>
          <w:highlight w:val="none"/>
        </w:rPr>
      </w:pPr>
      <w:r>
        <w:rPr>
          <w:rFonts w:hint="default" w:ascii="Times New Roman" w:hAnsi="Times New Roman" w:cs="Times New Roman"/>
          <w:b/>
          <w:bCs/>
          <w:color w:val="auto"/>
          <w:szCs w:val="24"/>
          <w:highlight w:val="none"/>
        </w:rPr>
        <w:t>建设时序：</w:t>
      </w:r>
      <w:r>
        <w:rPr>
          <w:rFonts w:hint="default" w:ascii="Times New Roman" w:hAnsi="Times New Roman" w:cs="Times New Roman"/>
          <w:color w:val="auto"/>
          <w:highlight w:val="none"/>
        </w:rPr>
        <w:t>近期（20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）品牌构建阶段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规划建设重点项目和完善相关配套。</w:t>
      </w:r>
    </w:p>
    <w:p w14:paraId="72B5F23F">
      <w:pPr>
        <w:pStyle w:val="317"/>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中期（202</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）持续造势阶段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规划提升已有项目和营造软环境。</w:t>
      </w:r>
    </w:p>
    <w:p w14:paraId="491B4E93">
      <w:pPr>
        <w:pStyle w:val="317"/>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远期（20</w:t>
      </w:r>
      <w:r>
        <w:rPr>
          <w:rFonts w:hint="default" w:ascii="Times New Roman" w:hAnsi="Times New Roman" w:cs="Times New Roman"/>
          <w:color w:val="auto"/>
          <w:highlight w:val="none"/>
          <w:lang w:val="en-US" w:eastAsia="zh-CN"/>
        </w:rPr>
        <w:t>31</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35</w:t>
      </w:r>
      <w:r>
        <w:rPr>
          <w:rFonts w:hint="default" w:ascii="Times New Roman" w:hAnsi="Times New Roman" w:cs="Times New Roman"/>
          <w:color w:val="auto"/>
          <w:highlight w:val="none"/>
        </w:rPr>
        <w:t>）</w:t>
      </w:r>
      <w:r>
        <w:rPr>
          <w:rFonts w:hint="default" w:ascii="Times New Roman" w:hAnsi="Times New Roman" w:cs="Times New Roman"/>
          <w:bCs/>
          <w:color w:val="auto"/>
          <w:sz w:val="24"/>
          <w:szCs w:val="20"/>
          <w:highlight w:val="none"/>
          <w:lang w:val="en-US" w:eastAsia="zh-CN"/>
        </w:rPr>
        <w:t>市场巩固阶段，</w:t>
      </w:r>
      <w:r>
        <w:rPr>
          <w:rFonts w:hint="default" w:ascii="Times New Roman" w:hAnsi="Times New Roman" w:cs="Times New Roman"/>
          <w:color w:val="auto"/>
          <w:highlight w:val="none"/>
        </w:rPr>
        <w:t>规划规范景区运营管理。</w:t>
      </w:r>
    </w:p>
    <w:p w14:paraId="37A248A0">
      <w:pPr>
        <w:pStyle w:val="724"/>
        <w:rPr>
          <w:rFonts w:hint="default" w:ascii="Times New Roman" w:hAnsi="Times New Roman" w:cs="Times New Roman"/>
          <w:color w:val="auto"/>
          <w:highlight w:val="none"/>
        </w:rPr>
      </w:pPr>
      <w:r>
        <w:rPr>
          <w:rFonts w:hint="default" w:ascii="Times New Roman" w:hAnsi="Times New Roman" w:cs="Times New Roman"/>
          <w:color w:val="auto"/>
          <w:highlight w:val="none"/>
        </w:rPr>
        <w:t>表6.1-2  建设时序的环境合理性</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2558"/>
        <w:gridCol w:w="1026"/>
        <w:gridCol w:w="1026"/>
        <w:gridCol w:w="965"/>
        <w:gridCol w:w="967"/>
        <w:gridCol w:w="965"/>
      </w:tblGrid>
      <w:tr w14:paraId="2880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pct"/>
            <w:vMerge w:val="restart"/>
            <w:vAlign w:val="center"/>
          </w:tcPr>
          <w:p w14:paraId="67C8F931">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规划规模</w:t>
            </w:r>
          </w:p>
        </w:tc>
        <w:tc>
          <w:tcPr>
            <w:tcW w:w="3565" w:type="pct"/>
            <w:gridSpan w:val="5"/>
            <w:vAlign w:val="center"/>
          </w:tcPr>
          <w:p w14:paraId="240CA930">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环境和理性分析</w:t>
            </w:r>
          </w:p>
        </w:tc>
        <w:tc>
          <w:tcPr>
            <w:tcW w:w="526" w:type="pct"/>
            <w:vMerge w:val="restart"/>
            <w:vAlign w:val="center"/>
          </w:tcPr>
          <w:p w14:paraId="14C36EDB">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结论</w:t>
            </w:r>
          </w:p>
        </w:tc>
      </w:tr>
      <w:tr w14:paraId="0A33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pct"/>
            <w:vMerge w:val="continue"/>
            <w:vAlign w:val="center"/>
          </w:tcPr>
          <w:p w14:paraId="65EB43B2">
            <w:pPr>
              <w:pStyle w:val="722"/>
              <w:rPr>
                <w:rFonts w:hint="default" w:ascii="Times New Roman" w:hAnsi="Times New Roman" w:cs="Times New Roman"/>
                <w:color w:val="auto"/>
                <w:highlight w:val="none"/>
              </w:rPr>
            </w:pPr>
          </w:p>
        </w:tc>
        <w:tc>
          <w:tcPr>
            <w:tcW w:w="1394" w:type="pct"/>
            <w:vAlign w:val="center"/>
          </w:tcPr>
          <w:p w14:paraId="0D90F123">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环境影响预测</w:t>
            </w:r>
          </w:p>
        </w:tc>
        <w:tc>
          <w:tcPr>
            <w:tcW w:w="559" w:type="pct"/>
            <w:vAlign w:val="center"/>
          </w:tcPr>
          <w:p w14:paraId="0C7F8DA8">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资源承载力</w:t>
            </w:r>
          </w:p>
        </w:tc>
        <w:tc>
          <w:tcPr>
            <w:tcW w:w="559" w:type="pct"/>
            <w:vAlign w:val="center"/>
          </w:tcPr>
          <w:p w14:paraId="146A1384">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环境承载力</w:t>
            </w:r>
          </w:p>
        </w:tc>
        <w:tc>
          <w:tcPr>
            <w:tcW w:w="526" w:type="pct"/>
            <w:vAlign w:val="center"/>
          </w:tcPr>
          <w:p w14:paraId="447B6C3F">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资源利用上线</w:t>
            </w:r>
          </w:p>
        </w:tc>
        <w:tc>
          <w:tcPr>
            <w:tcW w:w="526" w:type="pct"/>
            <w:vAlign w:val="center"/>
          </w:tcPr>
          <w:p w14:paraId="4DF476B1">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环境质量底线</w:t>
            </w:r>
          </w:p>
        </w:tc>
        <w:tc>
          <w:tcPr>
            <w:tcW w:w="526" w:type="pct"/>
            <w:vMerge w:val="continue"/>
            <w:vAlign w:val="center"/>
          </w:tcPr>
          <w:p w14:paraId="367A3AEB">
            <w:pPr>
              <w:pStyle w:val="722"/>
              <w:rPr>
                <w:rFonts w:hint="default" w:ascii="Times New Roman" w:hAnsi="Times New Roman" w:cs="Times New Roman"/>
                <w:color w:val="auto"/>
                <w:highlight w:val="none"/>
              </w:rPr>
            </w:pPr>
          </w:p>
        </w:tc>
      </w:tr>
      <w:tr w14:paraId="2154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pct"/>
            <w:vAlign w:val="center"/>
          </w:tcPr>
          <w:p w14:paraId="66B821D7">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近期（20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p>
        </w:tc>
        <w:tc>
          <w:tcPr>
            <w:tcW w:w="1394" w:type="pct"/>
            <w:vAlign w:val="center"/>
          </w:tcPr>
          <w:p w14:paraId="40F71996">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近期的环境影响主要为生活污水、生活垃圾、厨余垃圾，主要为环境影响较小</w:t>
            </w:r>
          </w:p>
        </w:tc>
        <w:tc>
          <w:tcPr>
            <w:tcW w:w="559" w:type="pct"/>
            <w:vAlign w:val="center"/>
          </w:tcPr>
          <w:p w14:paraId="629D5938">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资源承载力满足规划需要</w:t>
            </w:r>
          </w:p>
        </w:tc>
        <w:tc>
          <w:tcPr>
            <w:tcW w:w="559" w:type="pct"/>
            <w:vAlign w:val="center"/>
          </w:tcPr>
          <w:p w14:paraId="4974AF5B">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环境承载力满足规划需要</w:t>
            </w:r>
          </w:p>
        </w:tc>
        <w:tc>
          <w:tcPr>
            <w:tcW w:w="526" w:type="pct"/>
            <w:vAlign w:val="center"/>
          </w:tcPr>
          <w:p w14:paraId="1C78131F">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满足资源利用上线要求</w:t>
            </w:r>
          </w:p>
        </w:tc>
        <w:tc>
          <w:tcPr>
            <w:tcW w:w="526" w:type="pct"/>
            <w:vAlign w:val="center"/>
          </w:tcPr>
          <w:p w14:paraId="458256AA">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满足环境质量底线要求</w:t>
            </w:r>
          </w:p>
        </w:tc>
        <w:tc>
          <w:tcPr>
            <w:tcW w:w="526" w:type="pct"/>
            <w:vMerge w:val="restart"/>
            <w:vAlign w:val="center"/>
          </w:tcPr>
          <w:p w14:paraId="34439FC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规划建设时序环境合理</w:t>
            </w:r>
          </w:p>
        </w:tc>
      </w:tr>
      <w:tr w14:paraId="5028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pct"/>
            <w:vAlign w:val="center"/>
          </w:tcPr>
          <w:p w14:paraId="49830056">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中期（202</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w:t>
            </w:r>
          </w:p>
        </w:tc>
        <w:tc>
          <w:tcPr>
            <w:tcW w:w="1394" w:type="pct"/>
            <w:vAlign w:val="center"/>
          </w:tcPr>
          <w:p w14:paraId="41B0D1E9">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环境影响较小</w:t>
            </w:r>
          </w:p>
        </w:tc>
        <w:tc>
          <w:tcPr>
            <w:tcW w:w="559" w:type="pct"/>
            <w:vAlign w:val="center"/>
          </w:tcPr>
          <w:p w14:paraId="3771BC59">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资源承载力满足规划需要</w:t>
            </w:r>
          </w:p>
        </w:tc>
        <w:tc>
          <w:tcPr>
            <w:tcW w:w="559" w:type="pct"/>
            <w:vAlign w:val="center"/>
          </w:tcPr>
          <w:p w14:paraId="215380F8">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环境承载力满足规划需要</w:t>
            </w:r>
          </w:p>
        </w:tc>
        <w:tc>
          <w:tcPr>
            <w:tcW w:w="526" w:type="pct"/>
            <w:vAlign w:val="center"/>
          </w:tcPr>
          <w:p w14:paraId="1B876D6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满足资源利用上线要求</w:t>
            </w:r>
          </w:p>
        </w:tc>
        <w:tc>
          <w:tcPr>
            <w:tcW w:w="526" w:type="pct"/>
            <w:vAlign w:val="center"/>
          </w:tcPr>
          <w:p w14:paraId="357C006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满足环境质量底线要求</w:t>
            </w:r>
          </w:p>
        </w:tc>
        <w:tc>
          <w:tcPr>
            <w:tcW w:w="526" w:type="pct"/>
            <w:vMerge w:val="continue"/>
            <w:vAlign w:val="center"/>
          </w:tcPr>
          <w:p w14:paraId="7129156F">
            <w:pPr>
              <w:pStyle w:val="722"/>
              <w:rPr>
                <w:rFonts w:hint="default" w:ascii="Times New Roman" w:hAnsi="Times New Roman" w:cs="Times New Roman"/>
                <w:color w:val="auto"/>
                <w:highlight w:val="none"/>
              </w:rPr>
            </w:pPr>
          </w:p>
        </w:tc>
      </w:tr>
      <w:tr w14:paraId="0F9C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pct"/>
            <w:vAlign w:val="center"/>
          </w:tcPr>
          <w:p w14:paraId="324EF3D4">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远期（20</w:t>
            </w:r>
            <w:r>
              <w:rPr>
                <w:rFonts w:hint="default" w:ascii="Times New Roman" w:hAnsi="Times New Roman" w:cs="Times New Roman"/>
                <w:color w:val="auto"/>
                <w:highlight w:val="none"/>
                <w:lang w:val="en-US" w:eastAsia="zh-CN"/>
              </w:rPr>
              <w:t>31</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35</w:t>
            </w:r>
            <w:r>
              <w:rPr>
                <w:rFonts w:hint="default" w:ascii="Times New Roman" w:hAnsi="Times New Roman" w:cs="Times New Roman"/>
                <w:color w:val="auto"/>
                <w:highlight w:val="none"/>
              </w:rPr>
              <w:t>）</w:t>
            </w:r>
          </w:p>
        </w:tc>
        <w:tc>
          <w:tcPr>
            <w:tcW w:w="1394" w:type="pct"/>
            <w:vAlign w:val="center"/>
          </w:tcPr>
          <w:p w14:paraId="19ECD24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远期随游客人数增加，环境影响有所增加</w:t>
            </w:r>
          </w:p>
        </w:tc>
        <w:tc>
          <w:tcPr>
            <w:tcW w:w="559" w:type="pct"/>
            <w:vAlign w:val="center"/>
          </w:tcPr>
          <w:p w14:paraId="2D4C95FC">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资源承载力满足规划需要</w:t>
            </w:r>
          </w:p>
        </w:tc>
        <w:tc>
          <w:tcPr>
            <w:tcW w:w="559" w:type="pct"/>
            <w:vAlign w:val="center"/>
          </w:tcPr>
          <w:p w14:paraId="6E22BF5C">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环境承载力满足规划需要</w:t>
            </w:r>
          </w:p>
        </w:tc>
        <w:tc>
          <w:tcPr>
            <w:tcW w:w="526" w:type="pct"/>
            <w:vAlign w:val="center"/>
          </w:tcPr>
          <w:p w14:paraId="46140BF5">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满足资源利用上线要求</w:t>
            </w:r>
          </w:p>
        </w:tc>
        <w:tc>
          <w:tcPr>
            <w:tcW w:w="526" w:type="pct"/>
            <w:vAlign w:val="center"/>
          </w:tcPr>
          <w:p w14:paraId="0A1B8043">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满足环境质量底线要求</w:t>
            </w:r>
          </w:p>
        </w:tc>
        <w:tc>
          <w:tcPr>
            <w:tcW w:w="526" w:type="pct"/>
            <w:vMerge w:val="continue"/>
            <w:vAlign w:val="center"/>
          </w:tcPr>
          <w:p w14:paraId="5C143E0A">
            <w:pPr>
              <w:pStyle w:val="722"/>
              <w:rPr>
                <w:rFonts w:hint="default" w:ascii="Times New Roman" w:hAnsi="Times New Roman" w:cs="Times New Roman"/>
                <w:color w:val="auto"/>
                <w:highlight w:val="none"/>
              </w:rPr>
            </w:pPr>
          </w:p>
        </w:tc>
      </w:tr>
    </w:tbl>
    <w:p w14:paraId="121EA0A6">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用地结构、能源结构、产业结构的环境合理性</w:t>
      </w:r>
    </w:p>
    <w:p w14:paraId="3C05A94B">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用地结构：规划区内现状用地主要为</w:t>
      </w:r>
      <w:r>
        <w:rPr>
          <w:rFonts w:hint="default" w:ascii="Times New Roman" w:hAnsi="Times New Roman" w:cs="Times New Roman"/>
          <w:color w:val="auto"/>
          <w:highlight w:val="none"/>
          <w:lang w:val="en-US" w:eastAsia="zh-CN"/>
        </w:rPr>
        <w:t>乔木林地，其次未耕地与草地等</w:t>
      </w:r>
      <w:r>
        <w:rPr>
          <w:rFonts w:hint="default" w:ascii="Times New Roman" w:hAnsi="Times New Roman" w:cs="Times New Roman"/>
          <w:color w:val="auto"/>
          <w:highlight w:val="none"/>
        </w:rPr>
        <w:t>。</w:t>
      </w:r>
      <w:r>
        <w:rPr>
          <w:rFonts w:hint="default" w:ascii="Times New Roman" w:hAnsi="Times New Roman" w:cs="Times New Roman"/>
          <w:bCs/>
          <w:color w:val="auto"/>
          <w:kern w:val="0"/>
          <w:highlight w:val="none"/>
        </w:rPr>
        <w:t>规划区土地利用规划用地类型整体不进行改变，</w:t>
      </w:r>
      <w:r>
        <w:rPr>
          <w:rFonts w:hint="default" w:ascii="Times New Roman" w:hAnsi="Times New Roman" w:cs="Times New Roman"/>
          <w:color w:val="auto"/>
          <w:szCs w:val="21"/>
          <w:highlight w:val="none"/>
        </w:rPr>
        <w:t>仅</w:t>
      </w:r>
      <w:r>
        <w:rPr>
          <w:rFonts w:hint="default" w:ascii="Times New Roman" w:hAnsi="Times New Roman" w:cs="Times New Roman"/>
          <w:color w:val="auto"/>
          <w:szCs w:val="21"/>
          <w:highlight w:val="none"/>
          <w:lang w:val="en-US" w:eastAsia="zh-CN"/>
        </w:rPr>
        <w:t>1.12hm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灌木林地会变更为0.26hm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商业用地、0.62hm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eastAsia="宋体" w:cs="Times New Roman"/>
          <w:color w:val="auto"/>
          <w:kern w:val="0"/>
          <w:szCs w:val="21"/>
          <w:highlight w:val="none"/>
        </w:rPr>
        <w:t>交通场站用地</w:t>
      </w:r>
      <w:r>
        <w:rPr>
          <w:rFonts w:hint="default" w:ascii="Times New Roman" w:hAnsi="Times New Roman" w:eastAsia="宋体" w:cs="Times New Roman"/>
          <w:color w:val="auto"/>
          <w:kern w:val="0"/>
          <w:szCs w:val="21"/>
          <w:highlight w:val="none"/>
          <w:lang w:val="en-US" w:eastAsia="zh-CN"/>
        </w:rPr>
        <w:t>和0.24</w:t>
      </w:r>
      <w:r>
        <w:rPr>
          <w:rFonts w:hint="default" w:ascii="Times New Roman" w:hAnsi="Times New Roman" w:cs="Times New Roman"/>
          <w:color w:val="auto"/>
          <w:szCs w:val="21"/>
          <w:highlight w:val="none"/>
          <w:lang w:val="en-US" w:eastAsia="zh-CN"/>
        </w:rPr>
        <w:t>hm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eastAsia="宋体" w:cs="Times New Roman"/>
          <w:color w:val="auto"/>
          <w:kern w:val="0"/>
          <w:szCs w:val="21"/>
          <w:highlight w:val="none"/>
          <w:lang w:val="en-US" w:eastAsia="zh-CN"/>
        </w:rPr>
        <w:t>防护绿地</w:t>
      </w:r>
      <w:r>
        <w:rPr>
          <w:rFonts w:hint="default" w:ascii="Times New Roman" w:hAnsi="Times New Roman" w:cs="Times New Roman"/>
          <w:bCs/>
          <w:color w:val="auto"/>
          <w:kern w:val="0"/>
          <w:highlight w:val="none"/>
        </w:rPr>
        <w:t>，但通过对规划区进行绿化可弥补减少的</w:t>
      </w:r>
      <w:r>
        <w:rPr>
          <w:rFonts w:hint="default" w:ascii="Times New Roman" w:hAnsi="Times New Roman" w:cs="Times New Roman"/>
          <w:bCs/>
          <w:color w:val="auto"/>
          <w:kern w:val="0"/>
          <w:highlight w:val="none"/>
          <w:lang w:val="en-US" w:eastAsia="zh-CN"/>
        </w:rPr>
        <w:t>灌木林地</w:t>
      </w:r>
      <w:r>
        <w:rPr>
          <w:rFonts w:hint="default" w:ascii="Times New Roman" w:hAnsi="Times New Roman" w:cs="Times New Roman"/>
          <w:bCs/>
          <w:color w:val="auto"/>
          <w:kern w:val="0"/>
          <w:highlight w:val="none"/>
        </w:rPr>
        <w:t>。</w:t>
      </w:r>
    </w:p>
    <w:p w14:paraId="403C636F">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能源结构：规划区旅游设施采用空调取暖，规划区以</w:t>
      </w:r>
      <w:r>
        <w:rPr>
          <w:rFonts w:hint="default" w:ascii="Times New Roman" w:hAnsi="Times New Roman" w:cs="Times New Roman"/>
          <w:color w:val="auto"/>
          <w:highlight w:val="none"/>
          <w:lang w:val="en-US" w:eastAsia="zh-CN"/>
        </w:rPr>
        <w:t>观光车、徒步</w:t>
      </w:r>
      <w:r>
        <w:rPr>
          <w:rFonts w:hint="default" w:ascii="Times New Roman" w:hAnsi="Times New Roman" w:cs="Times New Roman"/>
          <w:color w:val="auto"/>
          <w:highlight w:val="none"/>
        </w:rPr>
        <w:t>游览为主。</w:t>
      </w:r>
    </w:p>
    <w:p w14:paraId="67BF7436">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产业结构：规划布局以旅游业为主导，配套商业、住宿、餐饮等产业。</w:t>
      </w:r>
    </w:p>
    <w:p w14:paraId="36DA221F">
      <w:pPr>
        <w:pStyle w:val="724"/>
        <w:rPr>
          <w:rFonts w:hint="default" w:ascii="Times New Roman" w:hAnsi="Times New Roman" w:cs="Times New Roman"/>
          <w:color w:val="auto"/>
          <w:highlight w:val="none"/>
        </w:rPr>
      </w:pPr>
      <w:r>
        <w:rPr>
          <w:rFonts w:hint="default" w:ascii="Times New Roman" w:hAnsi="Times New Roman" w:cs="Times New Roman"/>
          <w:color w:val="auto"/>
          <w:highlight w:val="none"/>
        </w:rPr>
        <w:t>表6.1-3  用地结构、能源结构、产业结构的环境合理性</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2330"/>
        <w:gridCol w:w="1916"/>
        <w:gridCol w:w="1950"/>
        <w:gridCol w:w="1191"/>
        <w:gridCol w:w="1259"/>
      </w:tblGrid>
      <w:tr w14:paraId="6850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Merge w:val="restart"/>
            <w:vAlign w:val="center"/>
          </w:tcPr>
          <w:p w14:paraId="695BC551">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结构</w:t>
            </w:r>
          </w:p>
        </w:tc>
        <w:tc>
          <w:tcPr>
            <w:tcW w:w="4026" w:type="pct"/>
            <w:gridSpan w:val="4"/>
            <w:vAlign w:val="center"/>
          </w:tcPr>
          <w:p w14:paraId="00ADAE43">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环境和理性分析</w:t>
            </w:r>
          </w:p>
        </w:tc>
        <w:tc>
          <w:tcPr>
            <w:tcW w:w="686" w:type="pct"/>
            <w:vMerge w:val="restart"/>
            <w:vAlign w:val="center"/>
          </w:tcPr>
          <w:p w14:paraId="22030128">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结论</w:t>
            </w:r>
          </w:p>
        </w:tc>
      </w:tr>
      <w:tr w14:paraId="4403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Merge w:val="continue"/>
            <w:vAlign w:val="center"/>
          </w:tcPr>
          <w:p w14:paraId="630BF502">
            <w:pPr>
              <w:pStyle w:val="722"/>
              <w:rPr>
                <w:rFonts w:hint="default" w:ascii="Times New Roman" w:hAnsi="Times New Roman" w:cs="Times New Roman"/>
                <w:color w:val="auto"/>
                <w:highlight w:val="none"/>
              </w:rPr>
            </w:pPr>
          </w:p>
        </w:tc>
        <w:tc>
          <w:tcPr>
            <w:tcW w:w="1270" w:type="pct"/>
            <w:vAlign w:val="center"/>
          </w:tcPr>
          <w:p w14:paraId="5CC346F6">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环境影响预测</w:t>
            </w:r>
          </w:p>
        </w:tc>
        <w:tc>
          <w:tcPr>
            <w:tcW w:w="1044" w:type="pct"/>
            <w:vAlign w:val="center"/>
          </w:tcPr>
          <w:p w14:paraId="4A862129">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资源承载力</w:t>
            </w:r>
          </w:p>
        </w:tc>
        <w:tc>
          <w:tcPr>
            <w:tcW w:w="1063" w:type="pct"/>
            <w:vAlign w:val="center"/>
          </w:tcPr>
          <w:p w14:paraId="16B2FAEA">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环境承载力</w:t>
            </w:r>
          </w:p>
        </w:tc>
        <w:tc>
          <w:tcPr>
            <w:tcW w:w="648" w:type="pct"/>
            <w:vAlign w:val="center"/>
          </w:tcPr>
          <w:p w14:paraId="6B508E64">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循环经济发展要求</w:t>
            </w:r>
          </w:p>
        </w:tc>
        <w:tc>
          <w:tcPr>
            <w:tcW w:w="686" w:type="pct"/>
            <w:vMerge w:val="continue"/>
            <w:vAlign w:val="center"/>
          </w:tcPr>
          <w:p w14:paraId="0C7372B0">
            <w:pPr>
              <w:pStyle w:val="722"/>
              <w:rPr>
                <w:rFonts w:hint="default" w:ascii="Times New Roman" w:hAnsi="Times New Roman" w:cs="Times New Roman"/>
                <w:color w:val="auto"/>
                <w:highlight w:val="none"/>
              </w:rPr>
            </w:pPr>
          </w:p>
        </w:tc>
      </w:tr>
      <w:tr w14:paraId="538A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5858F5D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用地结构</w:t>
            </w:r>
          </w:p>
        </w:tc>
        <w:tc>
          <w:tcPr>
            <w:tcW w:w="1270" w:type="pct"/>
            <w:vAlign w:val="center"/>
          </w:tcPr>
          <w:p w14:paraId="67DD05DC">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规划后</w:t>
            </w:r>
            <w:r>
              <w:rPr>
                <w:rFonts w:hint="default" w:ascii="Times New Roman" w:hAnsi="Times New Roman" w:cs="Times New Roman"/>
                <w:color w:val="auto"/>
                <w:highlight w:val="none"/>
                <w:lang w:val="en-US" w:eastAsia="zh-CN"/>
              </w:rPr>
              <w:t>灌木林地</w:t>
            </w:r>
            <w:r>
              <w:rPr>
                <w:rFonts w:hint="default" w:ascii="Times New Roman" w:hAnsi="Times New Roman" w:cs="Times New Roman"/>
                <w:color w:val="auto"/>
                <w:highlight w:val="none"/>
              </w:rPr>
              <w:t>减少，</w:t>
            </w:r>
            <w:r>
              <w:rPr>
                <w:rFonts w:hint="default" w:ascii="Times New Roman" w:hAnsi="Times New Roman" w:cs="Times New Roman"/>
                <w:color w:val="auto"/>
                <w:szCs w:val="21"/>
                <w:highlight w:val="none"/>
                <w:lang w:val="en-US" w:eastAsia="zh-CN"/>
              </w:rPr>
              <w:t>商业用地、</w:t>
            </w:r>
            <w:r>
              <w:rPr>
                <w:rFonts w:hint="default" w:ascii="Times New Roman" w:hAnsi="Times New Roman" w:eastAsia="宋体" w:cs="Times New Roman"/>
                <w:color w:val="auto"/>
                <w:kern w:val="0"/>
                <w:szCs w:val="21"/>
                <w:highlight w:val="none"/>
              </w:rPr>
              <w:t>交通场站用地</w:t>
            </w:r>
            <w:r>
              <w:rPr>
                <w:rFonts w:hint="default" w:ascii="Times New Roman" w:hAnsi="Times New Roman" w:eastAsia="宋体" w:cs="Times New Roman"/>
                <w:color w:val="auto"/>
                <w:kern w:val="0"/>
                <w:szCs w:val="21"/>
                <w:highlight w:val="none"/>
                <w:lang w:val="en-US" w:eastAsia="zh-CN"/>
              </w:rPr>
              <w:t>和防护绿地</w:t>
            </w:r>
            <w:r>
              <w:rPr>
                <w:rFonts w:hint="default" w:ascii="Times New Roman" w:hAnsi="Times New Roman" w:cs="Times New Roman"/>
                <w:color w:val="auto"/>
                <w:highlight w:val="none"/>
              </w:rPr>
              <w:t>增加，对生态环境有一定有利影响</w:t>
            </w:r>
          </w:p>
        </w:tc>
        <w:tc>
          <w:tcPr>
            <w:tcW w:w="1044" w:type="pct"/>
            <w:vAlign w:val="center"/>
          </w:tcPr>
          <w:p w14:paraId="2536BC50">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用地结构满足资源承载力需求</w:t>
            </w:r>
          </w:p>
        </w:tc>
        <w:tc>
          <w:tcPr>
            <w:tcW w:w="1063" w:type="pct"/>
            <w:vAlign w:val="center"/>
          </w:tcPr>
          <w:p w14:paraId="3FE31869">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满足环境承载力要求</w:t>
            </w:r>
          </w:p>
        </w:tc>
        <w:tc>
          <w:tcPr>
            <w:tcW w:w="648" w:type="pct"/>
            <w:vAlign w:val="center"/>
          </w:tcPr>
          <w:p w14:paraId="062C5BB3">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686" w:type="pct"/>
            <w:vMerge w:val="restart"/>
            <w:vAlign w:val="center"/>
          </w:tcPr>
          <w:p w14:paraId="6EC6968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规划用地结构、能源结构、产业结构环境合理</w:t>
            </w:r>
          </w:p>
        </w:tc>
      </w:tr>
      <w:tr w14:paraId="1501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0438F6A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能源结构</w:t>
            </w:r>
          </w:p>
        </w:tc>
        <w:tc>
          <w:tcPr>
            <w:tcW w:w="1270" w:type="pct"/>
            <w:vAlign w:val="center"/>
          </w:tcPr>
          <w:p w14:paraId="185A51F6">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规划区旅游设施采用空调取暖，规划区以观光车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电驱</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、徒步游览为主，规划实施后会减少污染物的排放</w:t>
            </w:r>
          </w:p>
        </w:tc>
        <w:tc>
          <w:tcPr>
            <w:tcW w:w="1044" w:type="pct"/>
            <w:vAlign w:val="center"/>
          </w:tcPr>
          <w:p w14:paraId="5C070B2E">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以电能为主，经计算满足承载力需求</w:t>
            </w:r>
          </w:p>
        </w:tc>
        <w:tc>
          <w:tcPr>
            <w:tcW w:w="1063" w:type="pct"/>
            <w:vAlign w:val="center"/>
          </w:tcPr>
          <w:p w14:paraId="1544C220">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以清洁能源为主，污染物排放较少，满足环境承载力要求</w:t>
            </w:r>
          </w:p>
        </w:tc>
        <w:tc>
          <w:tcPr>
            <w:tcW w:w="648" w:type="pct"/>
            <w:vAlign w:val="center"/>
          </w:tcPr>
          <w:p w14:paraId="09D7F40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以清洁能源为主，符合循环经济发展要求</w:t>
            </w:r>
          </w:p>
        </w:tc>
        <w:tc>
          <w:tcPr>
            <w:tcW w:w="686" w:type="pct"/>
            <w:vMerge w:val="continue"/>
            <w:vAlign w:val="center"/>
          </w:tcPr>
          <w:p w14:paraId="3CB8B4E9">
            <w:pPr>
              <w:pStyle w:val="722"/>
              <w:rPr>
                <w:rFonts w:hint="default" w:ascii="Times New Roman" w:hAnsi="Times New Roman" w:cs="Times New Roman"/>
                <w:color w:val="auto"/>
                <w:highlight w:val="none"/>
              </w:rPr>
            </w:pPr>
          </w:p>
        </w:tc>
      </w:tr>
      <w:tr w14:paraId="0A4E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vAlign w:val="center"/>
          </w:tcPr>
          <w:p w14:paraId="6A2A1B51">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产业结构</w:t>
            </w:r>
          </w:p>
        </w:tc>
        <w:tc>
          <w:tcPr>
            <w:tcW w:w="1270" w:type="pct"/>
            <w:vAlign w:val="center"/>
          </w:tcPr>
          <w:p w14:paraId="6C66EDD5">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以旅游业为主导，配套商业、住宿、餐饮等产业，产生的污染物较小，对环境影响较小</w:t>
            </w:r>
          </w:p>
        </w:tc>
        <w:tc>
          <w:tcPr>
            <w:tcW w:w="1044" w:type="pct"/>
            <w:vAlign w:val="center"/>
          </w:tcPr>
          <w:p w14:paraId="43BEE470">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以旅游业为主导，配套商业、住宿、餐饮等产业，对资源的消耗小，满足资源承载力需求</w:t>
            </w:r>
          </w:p>
        </w:tc>
        <w:tc>
          <w:tcPr>
            <w:tcW w:w="1063" w:type="pct"/>
            <w:vAlign w:val="center"/>
          </w:tcPr>
          <w:p w14:paraId="0D4E716F">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以旅游业为主导，配套商业、住宿、餐饮等产业，产生的污染物较小，满足环境承载力要求</w:t>
            </w:r>
          </w:p>
        </w:tc>
        <w:tc>
          <w:tcPr>
            <w:tcW w:w="648" w:type="pct"/>
            <w:vAlign w:val="center"/>
          </w:tcPr>
          <w:p w14:paraId="15627383">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686" w:type="pct"/>
            <w:vMerge w:val="continue"/>
            <w:vAlign w:val="center"/>
          </w:tcPr>
          <w:p w14:paraId="7CF6274D">
            <w:pPr>
              <w:pStyle w:val="722"/>
              <w:rPr>
                <w:rFonts w:hint="default" w:ascii="Times New Roman" w:hAnsi="Times New Roman" w:cs="Times New Roman"/>
                <w:color w:val="auto"/>
                <w:highlight w:val="none"/>
              </w:rPr>
            </w:pPr>
          </w:p>
        </w:tc>
      </w:tr>
    </w:tbl>
    <w:p w14:paraId="08BA2ED3">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环境目标可达性</w:t>
      </w:r>
    </w:p>
    <w:p w14:paraId="69A30E58">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w:t>
      </w:r>
      <w:r>
        <w:rPr>
          <w:rFonts w:hint="default" w:ascii="Times New Roman" w:hAnsi="Times New Roman" w:cs="Times New Roman"/>
          <w:color w:val="auto"/>
          <w:highlight w:val="none"/>
          <w:lang w:val="en-US" w:eastAsia="zh-CN"/>
        </w:rPr>
        <w:t>规划区</w:t>
      </w:r>
      <w:r>
        <w:rPr>
          <w:rFonts w:hint="default" w:ascii="Times New Roman" w:hAnsi="Times New Roman" w:cs="Times New Roman"/>
          <w:color w:val="auto"/>
          <w:highlight w:val="none"/>
        </w:rPr>
        <w:t>大气环境质量达到《环境空气质量标准》</w:t>
      </w:r>
      <w:r>
        <w:rPr>
          <w:rFonts w:hint="default" w:ascii="Times New Roman" w:hAnsi="Times New Roman" w:cs="Times New Roman"/>
          <w:color w:val="auto"/>
          <w:spacing w:val="0"/>
          <w:kern w:val="24"/>
          <w:highlight w:val="none"/>
        </w:rPr>
        <w:t>（GB3095-20</w:t>
      </w:r>
      <w:r>
        <w:rPr>
          <w:rFonts w:hint="default" w:ascii="Times New Roman" w:hAnsi="Times New Roman" w:cs="Times New Roman"/>
          <w:color w:val="auto"/>
          <w:spacing w:val="0"/>
          <w:kern w:val="24"/>
          <w:highlight w:val="none"/>
          <w:lang w:val="en-US" w:eastAsia="zh-CN"/>
        </w:rPr>
        <w:t>26</w:t>
      </w:r>
      <w:r>
        <w:rPr>
          <w:rFonts w:hint="default" w:ascii="Times New Roman" w:hAnsi="Times New Roman" w:cs="Times New Roman"/>
          <w:color w:val="auto"/>
          <w:spacing w:val="0"/>
          <w:kern w:val="24"/>
          <w:highlight w:val="none"/>
        </w:rPr>
        <w:t>）</w:t>
      </w:r>
      <w:r>
        <w:rPr>
          <w:rFonts w:hint="default" w:ascii="Times New Roman" w:hAnsi="Times New Roman" w:cs="Times New Roman"/>
          <w:color w:val="auto"/>
          <w:highlight w:val="none"/>
        </w:rPr>
        <w:t>一级标准，声环境标准达到《声环境质量标准》规定的1</w:t>
      </w:r>
      <w:r>
        <w:rPr>
          <w:rFonts w:hint="eastAsia" w:cs="Times New Roman"/>
          <w:color w:val="auto"/>
          <w:highlight w:val="none"/>
          <w:lang w:eastAsia="zh-CN"/>
        </w:rPr>
        <w:t>、</w:t>
      </w:r>
      <w:r>
        <w:rPr>
          <w:rFonts w:hint="eastAsia" w:cs="Times New Roman"/>
          <w:color w:val="auto"/>
          <w:highlight w:val="none"/>
          <w:lang w:val="en-US" w:eastAsia="zh-CN"/>
        </w:rPr>
        <w:t>2、4a</w:t>
      </w:r>
      <w:r>
        <w:rPr>
          <w:rFonts w:hint="default" w:ascii="Times New Roman" w:hAnsi="Times New Roman" w:cs="Times New Roman"/>
          <w:color w:val="auto"/>
          <w:highlight w:val="none"/>
        </w:rPr>
        <w:t>类标准，地表水达到《地表水环境质量标准》</w:t>
      </w:r>
      <w:r>
        <w:rPr>
          <w:rFonts w:hint="default" w:ascii="Times New Roman" w:hAnsi="Times New Roman" w:eastAsia="宋体" w:cs="Times New Roman"/>
          <w:color w:val="auto"/>
          <w:highlight w:val="none"/>
        </w:rPr>
        <w:t>Ⅱ</w:t>
      </w:r>
      <w:r>
        <w:rPr>
          <w:rFonts w:hint="default" w:ascii="Times New Roman" w:hAnsi="Times New Roman" w:cs="Times New Roman"/>
          <w:color w:val="auto"/>
          <w:highlight w:val="none"/>
        </w:rPr>
        <w:t>类水体水质标准。</w:t>
      </w:r>
    </w:p>
    <w:p w14:paraId="2F6A40ED">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生态保护：以生态保护为前提发展旅游业，确保生态系统稳定。</w:t>
      </w:r>
    </w:p>
    <w:p w14:paraId="1A49A0B6">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资源利用：能源配置合理，利用效率提高，清洁能源占比提高。</w:t>
      </w:r>
    </w:p>
    <w:p w14:paraId="15A72D14">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污染物排放：污染物排放总量得到控制，生活烟尘、油烟排放得到有效治理，生活污水处理处理率提高、生活垃圾无害化处理率提高。</w:t>
      </w:r>
    </w:p>
    <w:p w14:paraId="49790C44">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风险防控：建立突发生态环境时间应急管理机制。</w:t>
      </w:r>
    </w:p>
    <w:p w14:paraId="43D868CA">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环境管理：环境管理制度完善。</w:t>
      </w:r>
    </w:p>
    <w:p w14:paraId="25063A66">
      <w:pPr>
        <w:pStyle w:val="3"/>
        <w:spacing w:before="156" w:after="156"/>
        <w:rPr>
          <w:rFonts w:hint="default" w:ascii="Times New Roman" w:hAnsi="Times New Roman" w:cs="Times New Roman"/>
          <w:color w:val="auto"/>
          <w:highlight w:val="none"/>
        </w:rPr>
      </w:pPr>
      <w:bookmarkStart w:id="174" w:name="_Toc10427"/>
      <w:bookmarkStart w:id="175" w:name="_Toc36557459"/>
      <w:r>
        <w:rPr>
          <w:rFonts w:hint="default" w:ascii="Times New Roman" w:hAnsi="Times New Roman" w:cs="Times New Roman"/>
          <w:color w:val="auto"/>
          <w:highlight w:val="none"/>
        </w:rPr>
        <w:t>规划方案的环境效益论证</w:t>
      </w:r>
      <w:bookmarkEnd w:id="174"/>
      <w:bookmarkEnd w:id="175"/>
    </w:p>
    <w:p w14:paraId="7AFB303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规划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将资源优势、生态优势转化为产业优势和发展优势。“三生融合”示范景区：生态保护标杆/生活体验窗口/生产创新样板。打造西藏首个森林康养旅游目的地，国家级森林徒步天堂。</w:t>
      </w:r>
    </w:p>
    <w:p w14:paraId="1176CEE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从旅游发展现状来看，在规划区内开展生态旅游是必要的，在推动当地旅游业发展的同时能够合理调整产业结构，带动交通运输业、加工业、服务业等相关行业的发展，促进当地经济的进一步发展。</w:t>
      </w:r>
    </w:p>
    <w:p w14:paraId="15EB807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本规划依托现状</w:t>
      </w:r>
      <w:r>
        <w:rPr>
          <w:rFonts w:hint="default" w:ascii="Times New Roman" w:hAnsi="Times New Roman" w:cs="Times New Roman"/>
          <w:color w:val="auto"/>
          <w:sz w:val="24"/>
          <w:highlight w:val="none"/>
          <w:lang w:val="en-US" w:eastAsia="zh-CN"/>
        </w:rPr>
        <w:t>景观</w:t>
      </w:r>
      <w:r>
        <w:rPr>
          <w:rFonts w:hint="default" w:ascii="Times New Roman" w:hAnsi="Times New Roman" w:cs="Times New Roman"/>
          <w:color w:val="auto"/>
          <w:sz w:val="24"/>
          <w:highlight w:val="none"/>
        </w:rPr>
        <w:t>资源及高原地形地貌资源为基础发展生态旅游。规划实施过程中在保护的前提下合理开发利用景区资源，并做好旅游资源和生态环境保护措施，使景区生态环境影响及生态风险可控，生态功能持续健康发展。</w:t>
      </w:r>
    </w:p>
    <w:p w14:paraId="06ABBF81">
      <w:pPr>
        <w:pStyle w:val="724"/>
        <w:rPr>
          <w:rFonts w:hint="default" w:ascii="Times New Roman" w:hAnsi="Times New Roman" w:cs="Times New Roman"/>
          <w:color w:val="auto"/>
          <w:highlight w:val="none"/>
        </w:rPr>
      </w:pPr>
      <w:r>
        <w:rPr>
          <w:rFonts w:hint="default" w:ascii="Times New Roman" w:hAnsi="Times New Roman" w:cs="Times New Roman"/>
          <w:color w:val="auto"/>
          <w:highlight w:val="none"/>
        </w:rPr>
        <w:t>表6.2-1  规划实施环境效益</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6514"/>
      </w:tblGrid>
      <w:tr w14:paraId="7147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vAlign w:val="center"/>
          </w:tcPr>
          <w:p w14:paraId="05DE77C8">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3550" w:type="pct"/>
            <w:vAlign w:val="center"/>
          </w:tcPr>
          <w:p w14:paraId="42A5E4CF">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环境效益</w:t>
            </w:r>
          </w:p>
        </w:tc>
      </w:tr>
      <w:tr w14:paraId="2190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vAlign w:val="center"/>
          </w:tcPr>
          <w:p w14:paraId="67924DF5">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维护生态功能</w:t>
            </w:r>
          </w:p>
        </w:tc>
        <w:tc>
          <w:tcPr>
            <w:tcW w:w="3550" w:type="pct"/>
            <w:vAlign w:val="center"/>
          </w:tcPr>
          <w:p w14:paraId="72C59920">
            <w:pPr>
              <w:pStyle w:val="722"/>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规划实施后绿地增加，有利于维护生态功能</w:t>
            </w:r>
          </w:p>
        </w:tc>
      </w:tr>
      <w:tr w14:paraId="59C8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vAlign w:val="center"/>
          </w:tcPr>
          <w:p w14:paraId="39F6A150">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改善环境质量</w:t>
            </w:r>
          </w:p>
        </w:tc>
        <w:tc>
          <w:tcPr>
            <w:tcW w:w="3550" w:type="pct"/>
            <w:vAlign w:val="center"/>
          </w:tcPr>
          <w:p w14:paraId="459755ED">
            <w:pPr>
              <w:pStyle w:val="722"/>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规划施用清洁能源，污水收集后全部通过</w:t>
            </w:r>
            <w:r>
              <w:rPr>
                <w:rFonts w:hint="default" w:ascii="Times New Roman" w:hAnsi="Times New Roman" w:cs="Times New Roman"/>
                <w:color w:val="auto"/>
                <w:highlight w:val="none"/>
                <w:lang w:val="en-US" w:eastAsia="zh-CN"/>
              </w:rPr>
              <w:t>一体化污水处理装置处理后用作周边林草低、耕地施肥，不外排</w:t>
            </w:r>
            <w:r>
              <w:rPr>
                <w:rFonts w:hint="default" w:ascii="Times New Roman" w:hAnsi="Times New Roman" w:cs="Times New Roman"/>
                <w:color w:val="auto"/>
                <w:highlight w:val="none"/>
              </w:rPr>
              <w:t>，有利于改善环境质量</w:t>
            </w:r>
          </w:p>
        </w:tc>
      </w:tr>
      <w:tr w14:paraId="22B1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vAlign w:val="center"/>
          </w:tcPr>
          <w:p w14:paraId="3CE03435">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减少温室气体排放</w:t>
            </w:r>
          </w:p>
        </w:tc>
        <w:tc>
          <w:tcPr>
            <w:tcW w:w="3550" w:type="pct"/>
            <w:vAlign w:val="center"/>
          </w:tcPr>
          <w:p w14:paraId="003F97DF">
            <w:pPr>
              <w:pStyle w:val="722"/>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规划施用清洁能源，减少了温室气体排放</w:t>
            </w:r>
          </w:p>
        </w:tc>
      </w:tr>
      <w:tr w14:paraId="1E28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vAlign w:val="center"/>
          </w:tcPr>
          <w:p w14:paraId="1DBD849E">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保障人居安全</w:t>
            </w:r>
          </w:p>
        </w:tc>
        <w:tc>
          <w:tcPr>
            <w:tcW w:w="3550" w:type="pct"/>
            <w:vAlign w:val="center"/>
          </w:tcPr>
          <w:p w14:paraId="0A95569A">
            <w:pPr>
              <w:pStyle w:val="722"/>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规划增加防护绿地面积，改善交通，有利于保障人居安全</w:t>
            </w:r>
          </w:p>
        </w:tc>
      </w:tr>
      <w:tr w14:paraId="7DD8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vAlign w:val="center"/>
          </w:tcPr>
          <w:p w14:paraId="0031143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优化区域空间格局和产业结构</w:t>
            </w:r>
          </w:p>
        </w:tc>
        <w:tc>
          <w:tcPr>
            <w:tcW w:w="3550" w:type="pct"/>
            <w:vAlign w:val="center"/>
          </w:tcPr>
          <w:p w14:paraId="75E218A3">
            <w:pPr>
              <w:pStyle w:val="722"/>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规划旅游设施区与居民生活区界限分明，无混杂现象，规划各片区功能定位明确，主要建设内容远离雅鲁藏布大峡谷国家级自然保护区</w:t>
            </w:r>
            <w:r>
              <w:rPr>
                <w:rFonts w:hint="default" w:ascii="Times New Roman" w:hAnsi="Times New Roman" w:cs="Times New Roman"/>
                <w:color w:val="auto"/>
                <w:highlight w:val="none"/>
                <w:lang w:val="en-US" w:eastAsia="zh-CN"/>
              </w:rPr>
              <w:t>核心区</w:t>
            </w:r>
          </w:p>
        </w:tc>
      </w:tr>
    </w:tbl>
    <w:p w14:paraId="6560199D">
      <w:pPr>
        <w:pStyle w:val="3"/>
        <w:spacing w:before="156" w:after="156"/>
        <w:rPr>
          <w:rFonts w:hint="default" w:ascii="Times New Roman" w:hAnsi="Times New Roman" w:cs="Times New Roman"/>
          <w:color w:val="auto"/>
          <w:highlight w:val="none"/>
        </w:rPr>
      </w:pPr>
      <w:bookmarkStart w:id="176" w:name="_Toc36557460"/>
      <w:bookmarkStart w:id="177" w:name="_Toc7861"/>
      <w:r>
        <w:rPr>
          <w:rFonts w:hint="default" w:ascii="Times New Roman" w:hAnsi="Times New Roman" w:cs="Times New Roman"/>
          <w:color w:val="auto"/>
          <w:highlight w:val="none"/>
        </w:rPr>
        <w:t>规划方案优化调整建议</w:t>
      </w:r>
      <w:bookmarkEnd w:id="176"/>
      <w:bookmarkEnd w:id="177"/>
    </w:p>
    <w:p w14:paraId="1AAB7A87">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本次规划旅游产品以特色资源为依托，改变有资源无产品、有文化无体验、有景点无景区的现状，一方面从整体上进行形象创新，配套完善的相关服务和设施，打造有特色、高水平的旅游接待区，另一方面重点提升拳头产品的内涵，对接市场主流旅游消费人群的需求，形成独特的产品价值。从单纯的观光型景区向兼具</w:t>
      </w:r>
      <w:r>
        <w:rPr>
          <w:rFonts w:hint="default" w:ascii="Times New Roman" w:hAnsi="Times New Roman" w:cs="Times New Roman"/>
          <w:bCs/>
          <w:color w:val="auto"/>
          <w:kern w:val="0"/>
          <w:sz w:val="24"/>
          <w:highlight w:val="none"/>
          <w:lang w:eastAsia="zh-CN"/>
        </w:rPr>
        <w:t>生态观光、森林康养、户外运动、自然研学、民俗休闲于一体的综合性旅游景区</w:t>
      </w:r>
      <w:r>
        <w:rPr>
          <w:rFonts w:hint="default" w:ascii="Times New Roman" w:hAnsi="Times New Roman" w:eastAsia="宋体" w:cs="Times New Roman"/>
          <w:color w:val="auto"/>
          <w:sz w:val="24"/>
          <w:szCs w:val="20"/>
          <w:highlight w:val="none"/>
        </w:rPr>
        <w:t>转变。全面利用规划区的资源，盘活其潜在价值，通过融合发展和就地构建产业链，实现创新、高效发展。规划区的区位条件、资源基础和建筑密度决定了不能大兴土木，也就是此次规划没有大量的硬建筑。所以，整个规划中尽量通过活动设计、节事策划以及体验安排等软规划来实现景区的提升。但在规划实施过程中，也会遇到很多制约发展的瓶颈因素，如发展空间受限、环境质量限制、基础设施完善等一系列难题。面对这些难题，本次规划环评提出了关于规划区建设发展的优化建议，来促进经济和生态环境协调发展。</w:t>
      </w:r>
    </w:p>
    <w:p w14:paraId="7BA2FE87">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1、</w:t>
      </w:r>
      <w:r>
        <w:rPr>
          <w:rFonts w:hint="default" w:ascii="Times New Roman" w:hAnsi="Times New Roman" w:eastAsia="宋体" w:cs="Times New Roman"/>
          <w:color w:val="auto"/>
          <w:sz w:val="24"/>
          <w:szCs w:val="20"/>
          <w:highlight w:val="none"/>
          <w:lang w:eastAsia="zh-CN"/>
        </w:rPr>
        <w:t>波密县</w:t>
      </w:r>
      <w:r>
        <w:rPr>
          <w:rFonts w:hint="default" w:ascii="Times New Roman" w:hAnsi="Times New Roman" w:eastAsia="宋体" w:cs="Times New Roman"/>
          <w:color w:val="auto"/>
          <w:sz w:val="24"/>
          <w:szCs w:val="20"/>
          <w:highlight w:val="none"/>
        </w:rPr>
        <w:t>基础设施相对滞后的优化调整建议</w:t>
      </w:r>
    </w:p>
    <w:p w14:paraId="370B728F">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根据分析，</w:t>
      </w:r>
      <w:r>
        <w:rPr>
          <w:rFonts w:hint="default" w:ascii="Times New Roman" w:hAnsi="Times New Roman" w:eastAsia="宋体" w:cs="Times New Roman"/>
          <w:color w:val="auto"/>
          <w:sz w:val="24"/>
          <w:szCs w:val="20"/>
          <w:highlight w:val="none"/>
          <w:lang w:eastAsia="zh-CN"/>
        </w:rPr>
        <w:t>波密县</w:t>
      </w:r>
      <w:r>
        <w:rPr>
          <w:rFonts w:hint="default" w:ascii="Times New Roman" w:hAnsi="Times New Roman" w:eastAsia="宋体" w:cs="Times New Roman"/>
          <w:color w:val="auto"/>
          <w:sz w:val="24"/>
          <w:szCs w:val="20"/>
          <w:highlight w:val="none"/>
        </w:rPr>
        <w:t>建设相对滞后的基础设施</w:t>
      </w:r>
      <w:r>
        <w:rPr>
          <w:rFonts w:hint="default" w:ascii="Times New Roman" w:hAnsi="Times New Roman" w:eastAsia="宋体" w:cs="Times New Roman"/>
          <w:color w:val="auto"/>
          <w:sz w:val="24"/>
          <w:szCs w:val="20"/>
          <w:highlight w:val="none"/>
          <w:lang w:val="en-US" w:eastAsia="zh-CN"/>
        </w:rPr>
        <w:t>主要为生活垃圾处理设施</w:t>
      </w:r>
      <w:r>
        <w:rPr>
          <w:rFonts w:hint="default" w:ascii="Times New Roman" w:hAnsi="Times New Roman" w:eastAsia="宋体" w:cs="Times New Roman"/>
          <w:color w:val="auto"/>
          <w:sz w:val="24"/>
          <w:szCs w:val="20"/>
          <w:highlight w:val="none"/>
        </w:rPr>
        <w:t>。</w:t>
      </w:r>
    </w:p>
    <w:p w14:paraId="26ECCE82">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eastAsia="zh-CN"/>
        </w:rPr>
        <w:t>波密县县城生活垃圾填埋场</w:t>
      </w:r>
      <w:r>
        <w:rPr>
          <w:rFonts w:hint="default" w:ascii="Times New Roman" w:hAnsi="Times New Roman" w:eastAsia="宋体" w:cs="Times New Roman"/>
          <w:color w:val="auto"/>
          <w:sz w:val="24"/>
          <w:szCs w:val="20"/>
          <w:highlight w:val="none"/>
          <w:lang w:val="en-US" w:eastAsia="zh-CN"/>
        </w:rPr>
        <w:t>位于扎木镇卡达村，现状存量：约5万吨。实际处理：约100吨/日。2025年启动压缩延寿项目，项目名称为县城生活垃圾填埋压缩处置项目；处理量：合计约12.3万吨；存量：5万吨旧垃圾重新压缩；增量：未来2年7.3万吨（100t/d）；目标：提高密度、延长寿命至2026年、节省库容15%–25%。</w:t>
      </w:r>
    </w:p>
    <w:p w14:paraId="639AEDC1">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eastAsia="zh-CN"/>
        </w:rPr>
        <w:t>林芝市波密县县城生活垃圾无害化处理工程（</w:t>
      </w:r>
      <w:r>
        <w:rPr>
          <w:rFonts w:hint="default" w:ascii="Times New Roman" w:hAnsi="Times New Roman" w:eastAsia="宋体" w:cs="Times New Roman"/>
          <w:color w:val="auto"/>
          <w:sz w:val="24"/>
          <w:szCs w:val="20"/>
          <w:highlight w:val="none"/>
          <w:lang w:val="en-US" w:eastAsia="zh-CN"/>
        </w:rPr>
        <w:t>在建</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lang w:val="en-US" w:eastAsia="zh-CN"/>
        </w:rPr>
        <w:t>位于扎木镇通木村，2026年2月施工招标，目前在建，设计库容：45万立方米；日处理能力：近期40t/d、远期60t/d；服务年限：约20年。</w:t>
      </w:r>
    </w:p>
    <w:p w14:paraId="51409803">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若林芝市波密县县城生活垃圾无害化处理工程未及时建成</w:t>
      </w:r>
      <w:r>
        <w:rPr>
          <w:rFonts w:hint="default" w:ascii="Times New Roman" w:hAnsi="Times New Roman" w:eastAsia="宋体" w:cs="Times New Roman"/>
          <w:color w:val="auto"/>
          <w:sz w:val="24"/>
          <w:szCs w:val="20"/>
          <w:highlight w:val="none"/>
        </w:rPr>
        <w:t>，届时本规划实施产生的生活垃圾不能得到妥善处置。环评建议：</w:t>
      </w:r>
      <w:r>
        <w:rPr>
          <w:rFonts w:hint="default" w:ascii="Times New Roman" w:hAnsi="Times New Roman" w:eastAsia="宋体" w:cs="Times New Roman"/>
          <w:color w:val="auto"/>
          <w:sz w:val="24"/>
          <w:szCs w:val="20"/>
          <w:highlight w:val="none"/>
          <w:lang w:eastAsia="zh-CN"/>
        </w:rPr>
        <w:t>林芝市</w:t>
      </w:r>
      <w:r>
        <w:rPr>
          <w:rFonts w:hint="default" w:ascii="Times New Roman" w:hAnsi="Times New Roman" w:eastAsia="宋体" w:cs="Times New Roman"/>
          <w:color w:val="auto"/>
          <w:sz w:val="24"/>
          <w:szCs w:val="20"/>
          <w:highlight w:val="none"/>
        </w:rPr>
        <w:t>及</w:t>
      </w:r>
      <w:r>
        <w:rPr>
          <w:rFonts w:hint="default" w:ascii="Times New Roman" w:hAnsi="Times New Roman" w:eastAsia="宋体" w:cs="Times New Roman"/>
          <w:color w:val="auto"/>
          <w:sz w:val="24"/>
          <w:szCs w:val="20"/>
          <w:highlight w:val="none"/>
          <w:lang w:eastAsia="zh-CN"/>
        </w:rPr>
        <w:t>波密县</w:t>
      </w:r>
      <w:r>
        <w:rPr>
          <w:rFonts w:hint="default" w:ascii="Times New Roman" w:hAnsi="Times New Roman" w:eastAsia="宋体" w:cs="Times New Roman"/>
          <w:color w:val="auto"/>
          <w:sz w:val="24"/>
          <w:szCs w:val="20"/>
          <w:highlight w:val="none"/>
        </w:rPr>
        <w:t>人民政府应</w:t>
      </w:r>
      <w:r>
        <w:rPr>
          <w:rFonts w:hint="default" w:ascii="Times New Roman" w:hAnsi="Times New Roman" w:eastAsia="宋体" w:cs="Times New Roman"/>
          <w:color w:val="auto"/>
          <w:sz w:val="24"/>
          <w:szCs w:val="20"/>
          <w:highlight w:val="none"/>
          <w:lang w:val="en-US" w:eastAsia="zh-CN"/>
        </w:rPr>
        <w:t>跟紧</w:t>
      </w:r>
      <w:r>
        <w:rPr>
          <w:rFonts w:hint="default" w:ascii="Times New Roman" w:hAnsi="Times New Roman" w:eastAsia="宋体" w:cs="Times New Roman"/>
          <w:color w:val="auto"/>
          <w:sz w:val="24"/>
          <w:szCs w:val="20"/>
          <w:highlight w:val="none"/>
          <w:lang w:eastAsia="zh-CN"/>
        </w:rPr>
        <w:t>林芝市波密县县城生活垃圾无害化处理工程</w:t>
      </w:r>
      <w:r>
        <w:rPr>
          <w:rFonts w:hint="default" w:ascii="Times New Roman" w:hAnsi="Times New Roman" w:eastAsia="宋体" w:cs="Times New Roman"/>
          <w:color w:val="auto"/>
          <w:sz w:val="24"/>
          <w:szCs w:val="20"/>
          <w:highlight w:val="none"/>
          <w:lang w:val="en-US" w:eastAsia="zh-CN"/>
        </w:rPr>
        <w:t>的建设进度</w:t>
      </w:r>
      <w:r>
        <w:rPr>
          <w:rFonts w:hint="default" w:ascii="Times New Roman" w:hAnsi="Times New Roman" w:eastAsia="宋体" w:cs="Times New Roman"/>
          <w:color w:val="auto"/>
          <w:sz w:val="24"/>
          <w:szCs w:val="20"/>
          <w:highlight w:val="none"/>
        </w:rPr>
        <w:t>，以应对</w:t>
      </w:r>
      <w:r>
        <w:rPr>
          <w:rFonts w:hint="default" w:ascii="Times New Roman" w:hAnsi="Times New Roman" w:eastAsia="宋体" w:cs="Times New Roman"/>
          <w:color w:val="auto"/>
          <w:sz w:val="24"/>
          <w:szCs w:val="20"/>
          <w:highlight w:val="none"/>
          <w:lang w:eastAsia="zh-CN"/>
        </w:rPr>
        <w:t>波密县县城生活垃圾填埋场</w:t>
      </w:r>
      <w:r>
        <w:rPr>
          <w:rFonts w:hint="default" w:ascii="Times New Roman" w:hAnsi="Times New Roman" w:eastAsia="宋体" w:cs="Times New Roman"/>
          <w:color w:val="auto"/>
          <w:sz w:val="24"/>
          <w:szCs w:val="20"/>
          <w:highlight w:val="none"/>
        </w:rPr>
        <w:t>闭库后中心城区及规划区生活垃圾的处理处置问题。</w:t>
      </w:r>
    </w:p>
    <w:p w14:paraId="36147E09">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2、关于生态敏感区的优化建议</w:t>
      </w:r>
    </w:p>
    <w:p w14:paraId="4B33FC08">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规划涉及的生态敏感区包括</w:t>
      </w:r>
      <w:r>
        <w:rPr>
          <w:rFonts w:hint="default" w:ascii="Times New Roman" w:hAnsi="Times New Roman" w:eastAsia="宋体" w:cs="Times New Roman"/>
          <w:color w:val="auto"/>
          <w:sz w:val="24"/>
          <w:szCs w:val="20"/>
          <w:highlight w:val="none"/>
          <w:lang w:eastAsia="zh-CN"/>
        </w:rPr>
        <w:t>雅鲁藏布大峡谷国家级自然保护区、西藏嘎朗国家湿地公园、生态保护红线</w:t>
      </w:r>
      <w:r>
        <w:rPr>
          <w:rFonts w:hint="default" w:ascii="Times New Roman" w:hAnsi="Times New Roman" w:eastAsia="宋体" w:cs="Times New Roman"/>
          <w:color w:val="auto"/>
          <w:sz w:val="24"/>
          <w:szCs w:val="20"/>
          <w:highlight w:val="none"/>
        </w:rPr>
        <w:t>和文物保护单位。</w:t>
      </w:r>
    </w:p>
    <w:p w14:paraId="1C7260D7">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（1）</w:t>
      </w:r>
      <w:r>
        <w:rPr>
          <w:rFonts w:hint="default" w:ascii="Times New Roman" w:hAnsi="Times New Roman" w:eastAsia="宋体" w:cs="Times New Roman"/>
          <w:color w:val="auto"/>
          <w:sz w:val="24"/>
          <w:szCs w:val="20"/>
          <w:highlight w:val="none"/>
          <w:lang w:eastAsia="zh-CN"/>
        </w:rPr>
        <w:t>雅鲁藏布大峡谷国家级自然保护区</w:t>
      </w:r>
    </w:p>
    <w:p w14:paraId="752AF197">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根据《</w:t>
      </w:r>
      <w:r>
        <w:rPr>
          <w:rFonts w:hint="default" w:ascii="Times New Roman" w:hAnsi="Times New Roman" w:eastAsia="宋体" w:cs="Times New Roman"/>
          <w:color w:val="auto"/>
          <w:sz w:val="24"/>
          <w:szCs w:val="20"/>
          <w:highlight w:val="none"/>
          <w:lang w:eastAsia="zh-CN"/>
        </w:rPr>
        <w:t>雅鲁藏布大峡谷国家级自然保护区</w:t>
      </w:r>
      <w:r>
        <w:rPr>
          <w:rFonts w:hint="default" w:ascii="Times New Roman" w:hAnsi="Times New Roman" w:eastAsia="宋体" w:cs="Times New Roman"/>
          <w:color w:val="auto"/>
          <w:sz w:val="24"/>
          <w:szCs w:val="20"/>
          <w:highlight w:val="none"/>
        </w:rPr>
        <w:t>总体规划（</w:t>
      </w:r>
      <w:r>
        <w:rPr>
          <w:rFonts w:hint="default" w:ascii="Times New Roman" w:hAnsi="Times New Roman" w:eastAsia="宋体" w:cs="Times New Roman"/>
          <w:color w:val="auto"/>
          <w:sz w:val="24"/>
          <w:szCs w:val="20"/>
          <w:highlight w:val="none"/>
          <w:lang w:val="en-US" w:eastAsia="zh-CN"/>
        </w:rPr>
        <w:t>2000</w:t>
      </w:r>
      <w:r>
        <w:rPr>
          <w:rFonts w:hint="default" w:ascii="Times New Roman" w:hAnsi="Times New Roman" w:eastAsia="宋体" w:cs="Times New Roman"/>
          <w:color w:val="auto"/>
          <w:sz w:val="24"/>
          <w:szCs w:val="20"/>
          <w:highlight w:val="none"/>
        </w:rPr>
        <w:t>-20</w:t>
      </w:r>
      <w:r>
        <w:rPr>
          <w:rFonts w:hint="default" w:ascii="Times New Roman" w:hAnsi="Times New Roman" w:eastAsia="宋体" w:cs="Times New Roman"/>
          <w:color w:val="auto"/>
          <w:sz w:val="24"/>
          <w:szCs w:val="20"/>
          <w:highlight w:val="none"/>
          <w:lang w:val="en-US" w:eastAsia="zh-CN"/>
        </w:rPr>
        <w:t>1</w:t>
      </w:r>
      <w:r>
        <w:rPr>
          <w:rFonts w:hint="default" w:ascii="Times New Roman" w:hAnsi="Times New Roman" w:eastAsia="宋体" w:cs="Times New Roman"/>
          <w:color w:val="auto"/>
          <w:sz w:val="24"/>
          <w:szCs w:val="20"/>
          <w:highlight w:val="none"/>
        </w:rPr>
        <w:t>0）》，规划区</w:t>
      </w:r>
      <w:r>
        <w:rPr>
          <w:rFonts w:hint="default" w:ascii="Times New Roman" w:hAnsi="Times New Roman" w:eastAsia="宋体" w:cs="Times New Roman"/>
          <w:color w:val="auto"/>
          <w:sz w:val="24"/>
          <w:szCs w:val="20"/>
          <w:highlight w:val="none"/>
          <w:lang w:val="en-US" w:eastAsia="zh-CN"/>
        </w:rPr>
        <w:t>部分区域</w:t>
      </w:r>
      <w:r>
        <w:rPr>
          <w:rFonts w:hint="default" w:ascii="Times New Roman" w:hAnsi="Times New Roman" w:eastAsia="宋体" w:cs="Times New Roman"/>
          <w:color w:val="auto"/>
          <w:sz w:val="24"/>
          <w:szCs w:val="20"/>
          <w:highlight w:val="none"/>
        </w:rPr>
        <w:t>处于</w:t>
      </w:r>
      <w:r>
        <w:rPr>
          <w:rFonts w:hint="default" w:ascii="Times New Roman" w:hAnsi="Times New Roman" w:eastAsia="宋体" w:cs="Times New Roman"/>
          <w:color w:val="auto"/>
          <w:sz w:val="24"/>
          <w:szCs w:val="20"/>
          <w:highlight w:val="none"/>
          <w:lang w:eastAsia="zh-CN"/>
        </w:rPr>
        <w:t>雅鲁藏布大峡谷国家级自然保护区</w:t>
      </w:r>
      <w:r>
        <w:rPr>
          <w:rFonts w:hint="default" w:ascii="Times New Roman" w:hAnsi="Times New Roman" w:eastAsia="宋体" w:cs="Times New Roman"/>
          <w:color w:val="auto"/>
          <w:sz w:val="24"/>
          <w:szCs w:val="20"/>
          <w:highlight w:val="none"/>
          <w:lang w:val="en-US" w:eastAsia="zh-CN"/>
        </w:rPr>
        <w:t>试验区内，涉及627.6206hm</w:t>
      </w:r>
      <w:r>
        <w:rPr>
          <w:rFonts w:hint="default" w:ascii="Times New Roman" w:hAnsi="Times New Roman" w:eastAsia="宋体" w:cs="Times New Roman"/>
          <w:color w:val="auto"/>
          <w:sz w:val="24"/>
          <w:szCs w:val="20"/>
          <w:highlight w:val="none"/>
          <w:vertAlign w:val="superscript"/>
          <w:lang w:val="en-US" w:eastAsia="zh-CN"/>
        </w:rPr>
        <w:t>2</w:t>
      </w:r>
      <w:r>
        <w:rPr>
          <w:rFonts w:hint="default" w:ascii="Times New Roman" w:hAnsi="Times New Roman" w:eastAsia="宋体" w:cs="Times New Roman"/>
          <w:color w:val="auto"/>
          <w:sz w:val="24"/>
          <w:szCs w:val="20"/>
          <w:highlight w:val="none"/>
          <w:vertAlign w:val="baseline"/>
          <w:lang w:val="en-US" w:eastAsia="zh-CN"/>
        </w:rPr>
        <w:t>，规划区已避让</w:t>
      </w:r>
      <w:r>
        <w:rPr>
          <w:rFonts w:hint="default" w:ascii="Times New Roman" w:hAnsi="Times New Roman" w:eastAsia="宋体" w:cs="Times New Roman"/>
          <w:color w:val="auto"/>
          <w:sz w:val="24"/>
          <w:szCs w:val="20"/>
          <w:highlight w:val="none"/>
          <w:lang w:eastAsia="zh-CN"/>
        </w:rPr>
        <w:t>雅鲁藏布大峡谷国家级自然保护区</w:t>
      </w:r>
      <w:r>
        <w:rPr>
          <w:rFonts w:hint="default" w:ascii="Times New Roman" w:hAnsi="Times New Roman" w:eastAsia="宋体" w:cs="Times New Roman"/>
          <w:color w:val="auto"/>
          <w:sz w:val="24"/>
          <w:szCs w:val="20"/>
          <w:highlight w:val="none"/>
          <w:lang w:val="en-US" w:eastAsia="zh-CN"/>
        </w:rPr>
        <w:t>核心区和缓冲区</w:t>
      </w:r>
      <w:r>
        <w:rPr>
          <w:rFonts w:hint="default" w:ascii="Times New Roman" w:hAnsi="Times New Roman" w:eastAsia="宋体" w:cs="Times New Roman"/>
          <w:color w:val="auto"/>
          <w:sz w:val="24"/>
          <w:szCs w:val="20"/>
          <w:highlight w:val="none"/>
        </w:rPr>
        <w:t>。</w:t>
      </w:r>
    </w:p>
    <w:p w14:paraId="77187233">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环评建议：</w:t>
      </w:r>
    </w:p>
    <w:p w14:paraId="511E4B5A">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eastAsia="zh-CN"/>
        </w:rPr>
        <w:t>①</w:t>
      </w:r>
      <w:r>
        <w:rPr>
          <w:rFonts w:hint="default" w:ascii="Times New Roman" w:hAnsi="Times New Roman" w:cs="Times New Roman"/>
          <w:bCs/>
          <w:color w:val="auto"/>
          <w:sz w:val="24"/>
          <w:szCs w:val="20"/>
          <w:highlight w:val="none"/>
          <w:lang w:val="en-US"/>
        </w:rPr>
        <w:t>规划实施需严格遵守《中华人民共和国自然保护区条例》中相关要求，</w:t>
      </w:r>
      <w:r>
        <w:rPr>
          <w:rFonts w:hint="default" w:ascii="Times New Roman" w:hAnsi="Times New Roman" w:cs="Times New Roman"/>
          <w:bCs/>
          <w:color w:val="auto"/>
          <w:sz w:val="24"/>
          <w:szCs w:val="20"/>
          <w:highlight w:val="none"/>
          <w:lang w:val="en-US" w:eastAsia="zh-CN"/>
        </w:rPr>
        <w:t>严禁建设与条例不符的项目。②对规划区外南侧核心区的现状设施进行梳理，全面拆除核心区违建设施：销售长廊、片石停车场、11处标识标牌等。③调整实验区合规设施（厕所、栈道、防洪堤）转为管护、生态宣教用途，不再用于商业旅游。④核心区、缓冲区全面禁入、禁游、禁采，依靠森林自我修复能力恢复植被与群落。⑤规划项目的实施需依托《波密县古乡巴卡村“多规合一”实用性村庄规划（2023-2035年）》《波密县扎木镇岗巴村“多规合一”实用性村庄规划（2023-2035年）》中相关要求。</w:t>
      </w:r>
    </w:p>
    <w:p w14:paraId="38451B55">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（2）西藏嘎朗国家湿地公园</w:t>
      </w:r>
    </w:p>
    <w:p w14:paraId="4ED2CC06">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rPr>
        <w:t>根据《西藏嘎朗国家湿地公园总体规划（2009-2020）》，规划区</w:t>
      </w:r>
      <w:r>
        <w:rPr>
          <w:rFonts w:hint="default" w:ascii="Times New Roman" w:hAnsi="Times New Roman" w:eastAsia="宋体" w:cs="Times New Roman"/>
          <w:color w:val="auto"/>
          <w:sz w:val="24"/>
          <w:szCs w:val="20"/>
          <w:highlight w:val="none"/>
          <w:lang w:val="en-US" w:eastAsia="zh-CN"/>
        </w:rPr>
        <w:t>涉及湿地体验区、湿地功能展示区，其中占用湿地体验区339.3274hm</w:t>
      </w:r>
      <w:r>
        <w:rPr>
          <w:rFonts w:hint="default" w:ascii="Times New Roman" w:hAnsi="Times New Roman" w:eastAsia="宋体" w:cs="Times New Roman"/>
          <w:color w:val="auto"/>
          <w:sz w:val="24"/>
          <w:szCs w:val="20"/>
          <w:highlight w:val="none"/>
          <w:vertAlign w:val="superscript"/>
          <w:lang w:val="en-US" w:eastAsia="zh-CN"/>
        </w:rPr>
        <w:t>2</w:t>
      </w:r>
      <w:r>
        <w:rPr>
          <w:rFonts w:hint="default" w:ascii="Times New Roman" w:hAnsi="Times New Roman" w:eastAsia="宋体" w:cs="Times New Roman"/>
          <w:color w:val="auto"/>
          <w:sz w:val="24"/>
          <w:szCs w:val="20"/>
          <w:highlight w:val="none"/>
          <w:lang w:val="en-US" w:eastAsia="zh-CN"/>
        </w:rPr>
        <w:t>，占用湿地功能展示区3.4228hm</w:t>
      </w:r>
      <w:r>
        <w:rPr>
          <w:rFonts w:hint="default" w:ascii="Times New Roman" w:hAnsi="Times New Roman" w:eastAsia="宋体" w:cs="Times New Roman"/>
          <w:color w:val="auto"/>
          <w:sz w:val="24"/>
          <w:szCs w:val="20"/>
          <w:highlight w:val="none"/>
          <w:vertAlign w:val="superscript"/>
          <w:lang w:val="en-US" w:eastAsia="zh-CN"/>
        </w:rPr>
        <w:t>2</w:t>
      </w:r>
      <w:r>
        <w:rPr>
          <w:rFonts w:hint="default" w:ascii="Times New Roman" w:hAnsi="Times New Roman" w:eastAsia="宋体" w:cs="Times New Roman"/>
          <w:color w:val="auto"/>
          <w:sz w:val="24"/>
          <w:szCs w:val="20"/>
          <w:highlight w:val="none"/>
          <w:lang w:val="en-US" w:eastAsia="zh-CN"/>
        </w:rPr>
        <w:t>。</w:t>
      </w:r>
    </w:p>
    <w:p w14:paraId="22EEDA23">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环评建议：</w:t>
      </w:r>
    </w:p>
    <w:p w14:paraId="7C47839E">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cs="Times New Roman"/>
          <w:bCs/>
          <w:color w:val="auto"/>
          <w:sz w:val="24"/>
          <w:szCs w:val="20"/>
          <w:highlight w:val="none"/>
          <w:lang w:val="en-US" w:eastAsia="zh-CN"/>
        </w:rPr>
        <w:t>①</w:t>
      </w:r>
      <w:r>
        <w:rPr>
          <w:rFonts w:hint="default" w:ascii="Times New Roman" w:hAnsi="Times New Roman" w:cs="Times New Roman"/>
          <w:bCs/>
          <w:color w:val="auto"/>
          <w:sz w:val="24"/>
          <w:szCs w:val="20"/>
          <w:highlight w:val="none"/>
          <w:lang w:val="en-US"/>
        </w:rPr>
        <w:t>规划实施需严格遵守《国家湿地公园管理办法》（林湿规〔2022〕3号）中相关要求，</w:t>
      </w:r>
      <w:r>
        <w:rPr>
          <w:rFonts w:hint="default" w:ascii="Times New Roman" w:hAnsi="Times New Roman" w:cs="Times New Roman"/>
          <w:bCs/>
          <w:color w:val="auto"/>
          <w:sz w:val="24"/>
          <w:szCs w:val="20"/>
          <w:highlight w:val="none"/>
          <w:lang w:val="en-US" w:eastAsia="zh-CN"/>
        </w:rPr>
        <w:t>严禁建设与管理办法不符的项目。②规划项目不得占用湿地保育区、恢复重建区，规划实施的项目均需在合理利用区（社区+旅游，湿地体验区、湿地功能展示区、管理服务区），且与生态旅游、科普宣教、社区共管、民宿与民俗体验相关。③规划项目的实施需依托《波密县古乡巴卡村“多规合一”实用性村庄规划（2023-2035年）》《波密县扎木镇岗巴村“多规合一”实用性村庄规划（2023-2035年）》中相关要求。</w:t>
      </w:r>
    </w:p>
    <w:p w14:paraId="2310DCA3">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lang w:val="en-US" w:eastAsia="zh-CN"/>
        </w:rPr>
        <w:t>3</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lang w:val="en-US" w:eastAsia="zh-CN"/>
        </w:rPr>
        <w:t>生态保护红线</w:t>
      </w:r>
    </w:p>
    <w:p w14:paraId="1D730A57">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规划区涉及生态保护红线面积约365.27hm</w:t>
      </w:r>
      <w:r>
        <w:rPr>
          <w:rFonts w:hint="default" w:ascii="Times New Roman" w:hAnsi="Times New Roman" w:eastAsia="宋体" w:cs="Times New Roman"/>
          <w:color w:val="auto"/>
          <w:sz w:val="24"/>
          <w:szCs w:val="20"/>
          <w:highlight w:val="none"/>
          <w:vertAlign w:val="superscript"/>
          <w:lang w:val="en-US" w:eastAsia="zh-CN"/>
        </w:rPr>
        <w:t>2</w:t>
      </w:r>
      <w:r>
        <w:rPr>
          <w:rFonts w:hint="default" w:ascii="Times New Roman" w:hAnsi="Times New Roman" w:eastAsia="宋体" w:cs="Times New Roman"/>
          <w:color w:val="auto"/>
          <w:sz w:val="24"/>
          <w:szCs w:val="20"/>
          <w:highlight w:val="none"/>
          <w:lang w:val="en-US" w:eastAsia="zh-CN"/>
        </w:rPr>
        <w:t>，均为生态保护红线（一般控制区），不涉及生态保护红线（核心保护区）。</w:t>
      </w:r>
    </w:p>
    <w:p w14:paraId="5BB5DAAD">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rPr>
        <w:t>环评建议：</w:t>
      </w:r>
      <w:r>
        <w:rPr>
          <w:rFonts w:hint="default" w:ascii="Times New Roman" w:hAnsi="Times New Roman" w:cs="Times New Roman"/>
          <w:bCs/>
          <w:color w:val="auto"/>
          <w:sz w:val="24"/>
          <w:szCs w:val="20"/>
          <w:highlight w:val="none"/>
          <w:lang w:val="en-US"/>
        </w:rPr>
        <w:t>规划实施需严格遵守《关于加强生态保护红线管理的通知（试行）》（自然资发〔2022〕142号）中相关要求，</w:t>
      </w:r>
      <w:r>
        <w:rPr>
          <w:rFonts w:hint="default" w:ascii="Times New Roman" w:hAnsi="Times New Roman" w:cs="Times New Roman"/>
          <w:bCs/>
          <w:color w:val="auto"/>
          <w:sz w:val="24"/>
          <w:szCs w:val="20"/>
          <w:highlight w:val="none"/>
          <w:lang w:val="en-US" w:eastAsia="zh-CN"/>
        </w:rPr>
        <w:t>严禁建设与管理办法不符的项目，</w:t>
      </w:r>
      <w:r>
        <w:rPr>
          <w:rFonts w:hint="default" w:ascii="Times New Roman" w:hAnsi="Times New Roman" w:eastAsia="宋体" w:cs="Times New Roman"/>
          <w:color w:val="auto"/>
          <w:sz w:val="24"/>
          <w:szCs w:val="20"/>
          <w:highlight w:val="none"/>
          <w:lang w:val="en-US" w:eastAsia="zh-CN"/>
        </w:rPr>
        <w:t>生态保护红线与雅鲁藏布大峡谷国家级自然保护区、西藏嘎朗国家湿地公园重叠，均需严格满足</w:t>
      </w:r>
      <w:r>
        <w:rPr>
          <w:rFonts w:hint="default" w:ascii="Times New Roman" w:hAnsi="Times New Roman" w:eastAsia="宋体" w:cs="Times New Roman"/>
          <w:color w:val="auto"/>
          <w:sz w:val="24"/>
          <w:szCs w:val="20"/>
          <w:highlight w:val="none"/>
          <w:lang w:eastAsia="zh-CN"/>
        </w:rPr>
        <w:t>雅鲁藏布大峡谷国家级自然保护区</w:t>
      </w:r>
      <w:r>
        <w:rPr>
          <w:rFonts w:hint="default" w:ascii="Times New Roman" w:hAnsi="Times New Roman" w:eastAsia="宋体" w:cs="Times New Roman"/>
          <w:color w:val="auto"/>
          <w:sz w:val="24"/>
          <w:szCs w:val="20"/>
          <w:highlight w:val="none"/>
          <w:lang w:val="en-US" w:eastAsia="zh-CN"/>
        </w:rPr>
        <w:t>与</w:t>
      </w:r>
      <w:r>
        <w:rPr>
          <w:rFonts w:hint="default" w:ascii="Times New Roman" w:hAnsi="Times New Roman" w:eastAsia="宋体" w:cs="Times New Roman"/>
          <w:color w:val="auto"/>
          <w:sz w:val="24"/>
          <w:szCs w:val="20"/>
          <w:highlight w:val="none"/>
        </w:rPr>
        <w:t>西藏嘎朗国家湿地公园</w:t>
      </w:r>
      <w:r>
        <w:rPr>
          <w:rFonts w:hint="default" w:ascii="Times New Roman" w:hAnsi="Times New Roman" w:eastAsia="宋体" w:cs="Times New Roman"/>
          <w:color w:val="auto"/>
          <w:sz w:val="24"/>
          <w:szCs w:val="20"/>
          <w:highlight w:val="none"/>
          <w:lang w:val="en-US" w:eastAsia="zh-CN"/>
        </w:rPr>
        <w:t>的相关管控要求。</w:t>
      </w:r>
    </w:p>
    <w:p w14:paraId="1C093527">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3、环境管理优化建议</w:t>
      </w:r>
    </w:p>
    <w:p w14:paraId="2848CBE5">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环境管理工作必须统筹兼顾、坚持不懈，环境保护措施必须做到真落地、见实效。环保工作永远在路上，只有进行时，没有完成时，要把环保工作一如既往地抓在手上、落实在行动上、牢记在心上。</w:t>
      </w:r>
    </w:p>
    <w:p w14:paraId="0BC2E8E9">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建议进一步加强对规划区企业的安全环保水平提升培训，以适应环境保护工作机制常态化、长效化的要求。进一步完善规划区环境管理能力、环境风险防控体系、预警体系、信息管理平台等，鼓励结合“大数据”、“云计算”创新环境管理工作，努力建设国内一流智慧化景区。</w:t>
      </w:r>
    </w:p>
    <w:p w14:paraId="40C14EA5">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4、调整环境保护目标</w:t>
      </w:r>
    </w:p>
    <w:p w14:paraId="012CBFDF">
      <w:pPr>
        <w:pStyle w:val="704"/>
        <w:spacing w:line="360" w:lineRule="auto"/>
        <w:ind w:firstLine="480"/>
        <w:rPr>
          <w:rFonts w:hint="eastAsia"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波密县岗云杉林生态旅游景区总体规划暨控制性详细规划》（2025-2035年）建议生活污水执行《农村生活污水处理设施水污染物排放标准》（DB54/T0182-2019）与《污水综合排放标准》（GB8978-1996）一级标准，尾水不用于农田灌溉，处理达标后排入河流。</w:t>
      </w:r>
    </w:p>
    <w:p w14:paraId="3D9EC5A7">
      <w:pPr>
        <w:pStyle w:val="704"/>
        <w:spacing w:line="360" w:lineRule="auto"/>
        <w:ind w:firstLine="480"/>
        <w:rPr>
          <w:rFonts w:hint="default" w:ascii="Times New Roman" w:hAnsi="Times New Roman" w:cs="Times New Roman"/>
          <w:color w:val="auto"/>
          <w:kern w:val="0"/>
          <w:sz w:val="24"/>
          <w:highlight w:val="none"/>
          <w:lang w:val="en-US" w:eastAsia="zh-CN"/>
        </w:rPr>
      </w:pPr>
      <w:r>
        <w:rPr>
          <w:rFonts w:hint="eastAsia" w:ascii="Times New Roman" w:hAnsi="Times New Roman" w:eastAsia="宋体" w:cs="Times New Roman"/>
          <w:color w:val="auto"/>
          <w:sz w:val="24"/>
          <w:szCs w:val="20"/>
          <w:highlight w:val="none"/>
          <w:lang w:val="en-US" w:eastAsia="zh-CN"/>
        </w:rPr>
        <w:t>《农村生活污水处理设施水污染物排放标准》（DB54/T0182-2019）中4.3：农村生活污水处理设施出水禁止直接排入GB3838中地表水II类及以上功能水域和封闭水体。且排放标准对应的排放水域均为</w:t>
      </w:r>
      <w:r>
        <w:rPr>
          <w:rFonts w:hint="eastAsia" w:ascii="宋体" w:hAnsi="宋体" w:eastAsia="宋体" w:cs="宋体"/>
          <w:color w:val="auto"/>
          <w:kern w:val="0"/>
          <w:sz w:val="24"/>
          <w:highlight w:val="none"/>
          <w:lang w:val="en-US" w:eastAsia="zh-CN"/>
        </w:rPr>
        <w:t>Ш</w:t>
      </w:r>
      <w:r>
        <w:rPr>
          <w:rFonts w:hint="eastAsia" w:ascii="Times New Roman" w:hAnsi="Times New Roman" w:cs="Times New Roman"/>
          <w:color w:val="auto"/>
          <w:kern w:val="0"/>
          <w:sz w:val="24"/>
          <w:highlight w:val="none"/>
          <w:lang w:val="en-US" w:eastAsia="zh-CN"/>
        </w:rPr>
        <w:t>类及以上的水域</w:t>
      </w:r>
      <w:r>
        <w:rPr>
          <w:rFonts w:hint="eastAsia" w:ascii="Times New Roman" w:hAnsi="Times New Roman" w:eastAsia="宋体" w:cs="Times New Roman"/>
          <w:color w:val="auto"/>
          <w:sz w:val="24"/>
          <w:szCs w:val="20"/>
          <w:highlight w:val="none"/>
          <w:lang w:val="en-US" w:eastAsia="zh-CN"/>
        </w:rPr>
        <w:t>。规划区附近的帕隆藏布为II类水域，不符合其排放水域要求。</w:t>
      </w:r>
    </w:p>
    <w:p w14:paraId="58FA220C">
      <w:pPr>
        <w:pStyle w:val="704"/>
        <w:spacing w:line="360" w:lineRule="auto"/>
        <w:ind w:firstLine="480"/>
        <w:rPr>
          <w:rFonts w:hint="eastAsia" w:ascii="Times New Roman" w:hAnsi="Times New Roman" w:cs="Times New Roman"/>
          <w:color w:val="auto"/>
          <w:kern w:val="0"/>
          <w:sz w:val="24"/>
          <w:highlight w:val="none"/>
          <w:lang w:val="en-US" w:eastAsia="zh-CN"/>
        </w:rPr>
      </w:pPr>
      <w:r>
        <w:rPr>
          <w:rFonts w:hint="eastAsia" w:ascii="Times New Roman" w:hAnsi="Times New Roman" w:eastAsia="宋体" w:cs="Times New Roman"/>
          <w:color w:val="auto"/>
          <w:sz w:val="24"/>
          <w:szCs w:val="20"/>
          <w:highlight w:val="none"/>
          <w:lang w:val="en-US" w:eastAsia="zh-CN"/>
        </w:rPr>
        <w:t>《波密县岗云杉林生态旅游景区总体规划暨控制性详细规划》（2025-2035年）设置的4个污水排放口有2个位于</w:t>
      </w:r>
      <w:r>
        <w:rPr>
          <w:rFonts w:hint="default" w:ascii="Times New Roman" w:hAnsi="Times New Roman" w:cs="Times New Roman"/>
          <w:color w:val="auto"/>
          <w:kern w:val="0"/>
          <w:sz w:val="24"/>
          <w:highlight w:val="none"/>
        </w:rPr>
        <w:t>西藏雅鲁藏布大峡谷国家级自然保护区</w:t>
      </w:r>
      <w:r>
        <w:rPr>
          <w:rFonts w:hint="eastAsia" w:ascii="Times New Roman" w:hAnsi="Times New Roman" w:cs="Times New Roman"/>
          <w:color w:val="auto"/>
          <w:kern w:val="0"/>
          <w:sz w:val="24"/>
          <w:highlight w:val="none"/>
          <w:lang w:val="en-US" w:eastAsia="zh-CN"/>
        </w:rPr>
        <w:t>的帕隆藏布内，其他排放口临近</w:t>
      </w:r>
      <w:r>
        <w:rPr>
          <w:rFonts w:hint="default" w:ascii="Times New Roman" w:hAnsi="Times New Roman" w:cs="Times New Roman"/>
          <w:color w:val="auto"/>
          <w:kern w:val="0"/>
          <w:sz w:val="24"/>
          <w:highlight w:val="none"/>
        </w:rPr>
        <w:t>自然保护区</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该区域的帕隆藏布为</w:t>
      </w:r>
      <w:r>
        <w:rPr>
          <w:rFonts w:hint="eastAsia" w:ascii="宋体" w:hAnsi="宋体" w:eastAsia="宋体" w:cs="宋体"/>
          <w:color w:val="auto"/>
          <w:kern w:val="0"/>
          <w:sz w:val="24"/>
          <w:highlight w:val="none"/>
          <w:lang w:val="en-US" w:eastAsia="zh-CN"/>
        </w:rPr>
        <w:t>Ⅱ</w:t>
      </w:r>
      <w:r>
        <w:rPr>
          <w:rFonts w:hint="eastAsia" w:ascii="Times New Roman" w:hAnsi="Times New Roman" w:cs="Times New Roman"/>
          <w:color w:val="auto"/>
          <w:kern w:val="0"/>
          <w:sz w:val="24"/>
          <w:highlight w:val="none"/>
          <w:lang w:val="en-US" w:eastAsia="zh-CN"/>
        </w:rPr>
        <w:t>类水域</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根据</w:t>
      </w:r>
      <w:r>
        <w:rPr>
          <w:rFonts w:hint="eastAsia" w:ascii="Times New Roman" w:hAnsi="Times New Roman" w:eastAsia="宋体" w:cs="Times New Roman"/>
          <w:color w:val="auto"/>
          <w:sz w:val="24"/>
          <w:szCs w:val="20"/>
          <w:highlight w:val="none"/>
          <w:lang w:val="en-US" w:eastAsia="zh-CN"/>
        </w:rPr>
        <w:t>《污水综合排放标准》（GB8978-1996）中4.1.5</w:t>
      </w:r>
      <w:r>
        <w:rPr>
          <w:rFonts w:hint="eastAsia" w:ascii="Times New Roman" w:hAnsi="Times New Roman" w:cs="Times New Roman"/>
          <w:color w:val="auto"/>
          <w:kern w:val="0"/>
          <w:sz w:val="24"/>
          <w:highlight w:val="none"/>
          <w:lang w:val="en-US" w:eastAsia="zh-CN"/>
        </w:rPr>
        <w:t>：GB3838中I、</w:t>
      </w:r>
      <w:r>
        <w:rPr>
          <w:rFonts w:hint="eastAsia" w:ascii="宋体" w:hAnsi="宋体" w:eastAsia="宋体" w:cs="宋体"/>
          <w:color w:val="auto"/>
          <w:kern w:val="0"/>
          <w:sz w:val="24"/>
          <w:highlight w:val="none"/>
          <w:lang w:val="en-US" w:eastAsia="zh-CN"/>
        </w:rPr>
        <w:t>Ⅱ</w:t>
      </w:r>
      <w:r>
        <w:rPr>
          <w:rFonts w:hint="eastAsia" w:ascii="Times New Roman" w:hAnsi="Times New Roman" w:cs="Times New Roman"/>
          <w:color w:val="auto"/>
          <w:kern w:val="0"/>
          <w:sz w:val="24"/>
          <w:highlight w:val="none"/>
          <w:lang w:val="en-US" w:eastAsia="zh-CN"/>
        </w:rPr>
        <w:t>类水域和</w:t>
      </w:r>
      <w:r>
        <w:rPr>
          <w:rFonts w:hint="eastAsia" w:ascii="宋体" w:hAnsi="宋体" w:eastAsia="宋体" w:cs="宋体"/>
          <w:color w:val="auto"/>
          <w:kern w:val="0"/>
          <w:sz w:val="24"/>
          <w:highlight w:val="none"/>
          <w:lang w:val="en-US" w:eastAsia="zh-CN"/>
        </w:rPr>
        <w:t>Ш</w:t>
      </w:r>
      <w:r>
        <w:rPr>
          <w:rFonts w:hint="eastAsia" w:ascii="Times New Roman" w:hAnsi="Times New Roman" w:cs="Times New Roman"/>
          <w:color w:val="auto"/>
          <w:kern w:val="0"/>
          <w:sz w:val="24"/>
          <w:highlight w:val="none"/>
          <w:lang w:val="en-US" w:eastAsia="zh-CN"/>
        </w:rPr>
        <w:t>类水域中划定的保护区，GB3097中一类海域，禁止新建排污口，现有排污口应按水体功能要求，实行污染物总量控制，以保证受纳水体水质符合规定用途的水质标准。</w:t>
      </w:r>
    </w:p>
    <w:p w14:paraId="0BD677F1">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eastAsia" w:ascii="Times New Roman" w:hAnsi="Times New Roman" w:cs="Times New Roman"/>
          <w:color w:val="auto"/>
          <w:kern w:val="0"/>
          <w:sz w:val="24"/>
          <w:highlight w:val="none"/>
          <w:lang w:val="en-US" w:eastAsia="zh-CN"/>
        </w:rPr>
        <w:t>因此本次评价建议生活污水从严执行</w:t>
      </w:r>
      <w:r>
        <w:rPr>
          <w:rFonts w:hint="eastAsia" w:ascii="Times New Roman" w:hAnsi="Times New Roman" w:eastAsia="宋体" w:cs="Times New Roman"/>
          <w:color w:val="auto"/>
          <w:sz w:val="24"/>
          <w:szCs w:val="20"/>
          <w:highlight w:val="none"/>
          <w:lang w:val="en-US" w:eastAsia="zh-CN"/>
        </w:rPr>
        <w:t>《污水综合排放标准》（GB8978-1996）一级标准，但尾水处理达标后用作周边林草地、耕地施肥，不得排放进入周边地表水体。</w:t>
      </w:r>
    </w:p>
    <w:p w14:paraId="4F6DE884">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5、其他建议</w:t>
      </w:r>
    </w:p>
    <w:p w14:paraId="467E00CC">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（1）规划区应大规模使用太阳能，如道路照明灯等设施多使用太阳能能源。规划实施后，在规划区应采用电、灌装石油液化气作为生活及餐饮企业能源，不得采用原煤做燃料，尽量减少大气污染物的排放量。</w:t>
      </w:r>
    </w:p>
    <w:p w14:paraId="4831F8B2">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（2）规划区引入的主要是和旅游业相关产业相关的企业，禁止高能耗、高水耗、高污染项目入驻，要求入驻企业污染物总量控制，达标排放。</w:t>
      </w:r>
    </w:p>
    <w:p w14:paraId="1643A579">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（3）评价建议规划区内的旅游产业应根据科学合理的预测和发展实际，规划规模与实际发展需求相配套，避免过度开发造成资源的浪费。</w:t>
      </w:r>
    </w:p>
    <w:p w14:paraId="34640E1E">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（4）规划下一层次建设项目，应严格遵守</w:t>
      </w:r>
      <w:r>
        <w:rPr>
          <w:rFonts w:hint="default" w:ascii="Times New Roman" w:hAnsi="Times New Roman" w:eastAsia="宋体" w:cs="Times New Roman"/>
          <w:color w:val="auto"/>
          <w:sz w:val="24"/>
          <w:szCs w:val="20"/>
          <w:highlight w:val="none"/>
          <w:lang w:eastAsia="zh-CN"/>
        </w:rPr>
        <w:t>国家自然保护区、国家湿地公园、</w:t>
      </w:r>
      <w:r>
        <w:rPr>
          <w:rFonts w:hint="default" w:ascii="Times New Roman" w:hAnsi="Times New Roman" w:eastAsia="宋体" w:cs="Times New Roman"/>
          <w:color w:val="auto"/>
          <w:sz w:val="24"/>
          <w:szCs w:val="20"/>
          <w:highlight w:val="none"/>
        </w:rPr>
        <w:t>生态保护红线的要求。</w:t>
      </w:r>
    </w:p>
    <w:p w14:paraId="7D7E7687">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（5）对于建设活动造成重大生态破坏的，要暂停审批项目所在区域内建设项目环境影响评价文件，并依法追究相关单位和人员的责任。</w:t>
      </w:r>
    </w:p>
    <w:p w14:paraId="07626A87">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（6）原则上未列入本规划的建设项目，不得建设实施。</w:t>
      </w:r>
    </w:p>
    <w:p w14:paraId="7D00F228">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（7）若《</w:t>
      </w:r>
      <w:r>
        <w:rPr>
          <w:rFonts w:hint="default" w:ascii="Times New Roman" w:hAnsi="Times New Roman" w:eastAsia="宋体" w:cs="Times New Roman"/>
          <w:color w:val="auto"/>
          <w:sz w:val="24"/>
          <w:szCs w:val="20"/>
          <w:highlight w:val="none"/>
          <w:lang w:eastAsia="zh-CN"/>
        </w:rPr>
        <w:t>雅鲁藏布大峡谷国家级自然保护区</w:t>
      </w:r>
      <w:r>
        <w:rPr>
          <w:rFonts w:hint="default" w:ascii="Times New Roman" w:hAnsi="Times New Roman" w:eastAsia="宋体" w:cs="Times New Roman"/>
          <w:color w:val="auto"/>
          <w:sz w:val="24"/>
          <w:szCs w:val="20"/>
          <w:highlight w:val="none"/>
        </w:rPr>
        <w:t>总体规划》</w:t>
      </w:r>
      <w:r>
        <w:rPr>
          <w:rFonts w:hint="default" w:ascii="Times New Roman" w:hAnsi="Times New Roman" w:eastAsia="宋体" w:cs="Times New Roman"/>
          <w:color w:val="auto"/>
          <w:sz w:val="24"/>
          <w:szCs w:val="20"/>
          <w:highlight w:val="none"/>
          <w:lang w:eastAsia="zh-CN"/>
        </w:rPr>
        <w:t>《西藏嘎朗国家湿地公园》</w:t>
      </w:r>
      <w:r>
        <w:rPr>
          <w:rFonts w:hint="default" w:ascii="Times New Roman" w:hAnsi="Times New Roman" w:eastAsia="宋体" w:cs="Times New Roman"/>
          <w:color w:val="auto"/>
          <w:sz w:val="24"/>
          <w:szCs w:val="20"/>
          <w:highlight w:val="none"/>
        </w:rPr>
        <w:t>有最新版审批通过，规划区应进行自查调整，确保项目后期实施与该总体规划相符。</w:t>
      </w:r>
    </w:p>
    <w:p w14:paraId="3DF7A127">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（8）规划</w:t>
      </w:r>
      <w:r>
        <w:rPr>
          <w:rFonts w:hint="default" w:ascii="Times New Roman" w:hAnsi="Times New Roman" w:eastAsia="宋体" w:cs="Times New Roman"/>
          <w:color w:val="auto"/>
          <w:sz w:val="24"/>
          <w:szCs w:val="20"/>
          <w:highlight w:val="none"/>
          <w:lang w:val="en-US" w:eastAsia="zh-CN"/>
        </w:rPr>
        <w:t>区内的观光车、越野车等均需采用电驱</w:t>
      </w:r>
      <w:r>
        <w:rPr>
          <w:rFonts w:hint="default" w:ascii="Times New Roman" w:hAnsi="Times New Roman" w:eastAsia="宋体" w:cs="Times New Roman"/>
          <w:color w:val="auto"/>
          <w:sz w:val="24"/>
          <w:szCs w:val="20"/>
          <w:highlight w:val="none"/>
        </w:rPr>
        <w:t>。</w:t>
      </w:r>
    </w:p>
    <w:p w14:paraId="3C2FDE69">
      <w:pPr>
        <w:pStyle w:val="2"/>
        <w:spacing w:before="312" w:after="312"/>
        <w:rPr>
          <w:rFonts w:hint="default" w:ascii="Times New Roman" w:hAnsi="Times New Roman" w:cs="Times New Roman"/>
          <w:color w:val="auto"/>
          <w:highlight w:val="none"/>
        </w:rPr>
      </w:pPr>
      <w:bookmarkStart w:id="178" w:name="_Toc18116"/>
      <w:r>
        <w:rPr>
          <w:rFonts w:hint="default" w:ascii="Times New Roman" w:hAnsi="Times New Roman" w:cs="Times New Roman"/>
          <w:color w:val="auto"/>
          <w:highlight w:val="none"/>
        </w:rPr>
        <w:t>环境影响减缓对策和措施</w:t>
      </w:r>
      <w:bookmarkEnd w:id="178"/>
    </w:p>
    <w:p w14:paraId="0E78EAE7">
      <w:pPr>
        <w:pStyle w:val="3"/>
        <w:spacing w:before="156" w:after="156"/>
        <w:rPr>
          <w:rFonts w:hint="default" w:ascii="Times New Roman" w:hAnsi="Times New Roman" w:cs="Times New Roman"/>
          <w:color w:val="auto"/>
          <w:highlight w:val="none"/>
        </w:rPr>
      </w:pPr>
      <w:bookmarkStart w:id="179" w:name="_Toc8341"/>
      <w:r>
        <w:rPr>
          <w:rFonts w:hint="default" w:ascii="Times New Roman" w:hAnsi="Times New Roman" w:cs="Times New Roman"/>
          <w:color w:val="auto"/>
          <w:highlight w:val="none"/>
        </w:rPr>
        <w:t>环境影响预防保护措施</w:t>
      </w:r>
      <w:bookmarkEnd w:id="179"/>
    </w:p>
    <w:p w14:paraId="0602335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p w14:paraId="53915CFC">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2ADC19CE">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建设工程施工方案中必须有防止泄漏遗撒污染环境的具体措施，编制防止扬尘的操作规范，其中应包括施工现场合理布局，建筑材料堆存，对易起尘物料实行库存或加盖苫布，运输车辆要完好、装载不宜过满、要求加盖蓬布、控制车速、减少卸料落差等内容。</w:t>
      </w:r>
    </w:p>
    <w:p w14:paraId="24235145">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22A9C596">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（1）改善能源结构，景区内推广使用太阳能、液化石油气、电能等清洁能源；禁止使用煤、木材做燃料，减少废气排放量。</w:t>
      </w:r>
    </w:p>
    <w:p w14:paraId="4FD86394">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（2）景区内旅游观光</w:t>
      </w:r>
      <w:r>
        <w:rPr>
          <w:rFonts w:hint="default" w:ascii="Times New Roman" w:hAnsi="Times New Roman" w:cs="Times New Roman"/>
          <w:color w:val="auto"/>
          <w:highlight w:val="none"/>
        </w:rPr>
        <w:t>规划区以</w:t>
      </w:r>
      <w:r>
        <w:rPr>
          <w:rFonts w:hint="default" w:ascii="Times New Roman" w:hAnsi="Times New Roman" w:cs="Times New Roman"/>
          <w:color w:val="auto"/>
          <w:highlight w:val="none"/>
          <w:lang w:val="en-US" w:eastAsia="zh-CN"/>
        </w:rPr>
        <w:t>观光车、徒步</w:t>
      </w:r>
      <w:r>
        <w:rPr>
          <w:rFonts w:hint="default" w:ascii="Times New Roman" w:hAnsi="Times New Roman" w:cs="Times New Roman"/>
          <w:color w:val="auto"/>
          <w:highlight w:val="none"/>
        </w:rPr>
        <w:t>游览为主</w:t>
      </w:r>
      <w:r>
        <w:rPr>
          <w:rFonts w:hint="default" w:ascii="Times New Roman" w:hAnsi="Times New Roman" w:cs="Times New Roman"/>
          <w:color w:val="auto"/>
          <w:spacing w:val="0"/>
          <w:kern w:val="24"/>
          <w:highlight w:val="none"/>
        </w:rPr>
        <w:t>，禁止燃油汽车在景区观光道路行驶</w:t>
      </w:r>
      <w:r>
        <w:rPr>
          <w:rFonts w:hint="default" w:ascii="Times New Roman" w:hAnsi="Times New Roman" w:cs="Times New Roman"/>
          <w:color w:val="auto"/>
          <w:spacing w:val="0"/>
          <w:kern w:val="24"/>
          <w:highlight w:val="none"/>
          <w:lang w:eastAsia="zh-CN"/>
        </w:rPr>
        <w:t>，</w:t>
      </w:r>
      <w:r>
        <w:rPr>
          <w:rFonts w:hint="default" w:ascii="Times New Roman" w:hAnsi="Times New Roman" w:eastAsia="宋体" w:cs="Times New Roman"/>
          <w:color w:val="auto"/>
          <w:sz w:val="24"/>
          <w:szCs w:val="20"/>
          <w:highlight w:val="none"/>
          <w:lang w:val="en-US" w:eastAsia="zh-CN"/>
        </w:rPr>
        <w:t>观光车、越野车</w:t>
      </w:r>
      <w:r>
        <w:rPr>
          <w:rFonts w:hint="default" w:ascii="Times New Roman" w:hAnsi="Times New Roman" w:cs="Times New Roman"/>
          <w:color w:val="auto"/>
          <w:spacing w:val="0"/>
          <w:kern w:val="24"/>
          <w:highlight w:val="none"/>
          <w:lang w:val="en-US" w:eastAsia="zh-CN"/>
        </w:rPr>
        <w:t>优先使用电驱</w:t>
      </w:r>
      <w:r>
        <w:rPr>
          <w:rFonts w:hint="default" w:ascii="Times New Roman" w:hAnsi="Times New Roman" w:cs="Times New Roman"/>
          <w:color w:val="auto"/>
          <w:spacing w:val="0"/>
          <w:kern w:val="24"/>
          <w:highlight w:val="none"/>
        </w:rPr>
        <w:t>。</w:t>
      </w:r>
    </w:p>
    <w:p w14:paraId="0E417D2F">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w:t>
      </w:r>
    </w:p>
    <w:p w14:paraId="016C3B8F">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30AD0C62">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（1）景区施工人员多为当地村民，施工期不设施工营地，施工人员生活污水产生量较小，</w:t>
      </w:r>
      <w:r>
        <w:rPr>
          <w:rFonts w:hint="default" w:ascii="Times New Roman" w:hAnsi="Times New Roman" w:cs="Times New Roman"/>
          <w:color w:val="auto"/>
          <w:kern w:val="24"/>
          <w:highlight w:val="none"/>
        </w:rPr>
        <w:t>依托规划范围内公共卫生间收集后经</w:t>
      </w:r>
      <w:r>
        <w:rPr>
          <w:rFonts w:hint="default" w:ascii="Times New Roman" w:hAnsi="Times New Roman" w:cs="Times New Roman"/>
          <w:color w:val="auto"/>
          <w:kern w:val="24"/>
          <w:highlight w:val="none"/>
          <w:lang w:val="en-US" w:eastAsia="zh-CN"/>
        </w:rPr>
        <w:t>一体化污水处理设施处理后用作周边林草地、耕地施肥</w:t>
      </w:r>
      <w:r>
        <w:rPr>
          <w:rFonts w:hint="default" w:ascii="Times New Roman" w:hAnsi="Times New Roman" w:cs="Times New Roman"/>
          <w:color w:val="auto"/>
          <w:kern w:val="24"/>
          <w:highlight w:val="none"/>
        </w:rPr>
        <w:t>，不得排入地表水体</w:t>
      </w:r>
      <w:r>
        <w:rPr>
          <w:rFonts w:hint="default" w:ascii="Times New Roman" w:hAnsi="Times New Roman" w:cs="Times New Roman"/>
          <w:color w:val="auto"/>
          <w:highlight w:val="none"/>
        </w:rPr>
        <w:t>。</w:t>
      </w:r>
    </w:p>
    <w:p w14:paraId="3B70FF6E">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（2）合理安排工期，避免在雨天进行土方作业。</w:t>
      </w:r>
    </w:p>
    <w:p w14:paraId="6A5EBA6E">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7903F08E">
      <w:pPr>
        <w:pStyle w:val="545"/>
        <w:spacing w:line="360" w:lineRule="auto"/>
        <w:ind w:firstLine="512"/>
        <w:rPr>
          <w:rFonts w:hint="default" w:ascii="Times New Roman" w:hAnsi="Times New Roman" w:cs="Times New Roman"/>
          <w:color w:val="auto"/>
          <w:spacing w:val="0"/>
          <w:kern w:val="24"/>
          <w:highlight w:val="none"/>
        </w:rPr>
      </w:pPr>
      <w:r>
        <w:rPr>
          <w:rFonts w:hint="default" w:ascii="Times New Roman" w:hAnsi="Times New Roman" w:cs="Times New Roman"/>
          <w:color w:val="auto"/>
          <w:highlight w:val="none"/>
        </w:rPr>
        <w:t>生活污水（含餐饮废水）经预处理后由管道收集后</w:t>
      </w:r>
      <w:r>
        <w:rPr>
          <w:rFonts w:hint="default" w:ascii="Times New Roman" w:hAnsi="Times New Roman" w:cs="Times New Roman"/>
          <w:color w:val="auto"/>
          <w:kern w:val="24"/>
          <w:highlight w:val="none"/>
        </w:rPr>
        <w:t>经</w:t>
      </w:r>
      <w:r>
        <w:rPr>
          <w:rFonts w:hint="default" w:ascii="Times New Roman" w:hAnsi="Times New Roman" w:cs="Times New Roman"/>
          <w:color w:val="auto"/>
          <w:kern w:val="24"/>
          <w:highlight w:val="none"/>
          <w:lang w:val="en-US" w:eastAsia="zh-CN"/>
        </w:rPr>
        <w:t>一体化污水处理设施处理后用作周边林草地、耕地施肥</w:t>
      </w:r>
      <w:r>
        <w:rPr>
          <w:rFonts w:hint="default" w:ascii="Times New Roman" w:hAnsi="Times New Roman" w:cs="Times New Roman"/>
          <w:color w:val="auto"/>
          <w:highlight w:val="none"/>
        </w:rPr>
        <w:t>，不得散排。</w:t>
      </w:r>
    </w:p>
    <w:p w14:paraId="64057300">
      <w:pPr>
        <w:pStyle w:val="4"/>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地下水环境</w:t>
      </w:r>
    </w:p>
    <w:p w14:paraId="30100507">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源头控制措施：</w:t>
      </w:r>
    </w:p>
    <w:p w14:paraId="719DA81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（1）景区内污水管网等均要严格按照国家相关规范要求，对工艺、管道等采取相应的措施，以防止和减小污染物的跑、冒、滴、漏，将废水泄漏的事故风险降低至最低程度。</w:t>
      </w:r>
    </w:p>
    <w:p w14:paraId="484696A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（2）应严格按照国家相关规范要求，对工艺、管道、设备等采取相应的措施，以防止和降低污染物的跑、冒、滴、漏，将废水泄漏的环境风险事故降低至最低程度。污水管网施工中对管道经过线路</w:t>
      </w:r>
      <w:r>
        <w:rPr>
          <w:rFonts w:hint="default" w:ascii="Times New Roman" w:hAnsi="Times New Roman" w:cs="Times New Roman"/>
          <w:color w:val="auto"/>
          <w:spacing w:val="0"/>
          <w:kern w:val="24"/>
          <w:highlight w:val="none"/>
          <w:lang w:val="en-US" w:eastAsia="zh-CN"/>
        </w:rPr>
        <w:t>必须</w:t>
      </w:r>
      <w:r>
        <w:rPr>
          <w:rFonts w:hint="default" w:ascii="Times New Roman" w:hAnsi="Times New Roman" w:cs="Times New Roman"/>
          <w:color w:val="auto"/>
          <w:spacing w:val="0"/>
          <w:kern w:val="24"/>
          <w:highlight w:val="none"/>
        </w:rPr>
        <w:t>设置管道保护沟（即管道走廊），</w:t>
      </w:r>
      <w:r>
        <w:rPr>
          <w:rFonts w:hint="default" w:ascii="Times New Roman" w:hAnsi="Times New Roman" w:cs="Times New Roman"/>
          <w:color w:val="auto"/>
          <w:spacing w:val="0"/>
          <w:kern w:val="24"/>
          <w:highlight w:val="none"/>
          <w:lang w:val="en-US" w:eastAsia="zh-CN"/>
        </w:rPr>
        <w:t>可</w:t>
      </w:r>
      <w:r>
        <w:rPr>
          <w:rFonts w:hint="default" w:ascii="Times New Roman" w:hAnsi="Times New Roman" w:cs="Times New Roman"/>
          <w:color w:val="auto"/>
          <w:spacing w:val="0"/>
          <w:kern w:val="24"/>
          <w:highlight w:val="none"/>
        </w:rPr>
        <w:t>有效的降低车辆压爆污水管的风险，保护沟全部采取硬化处理保证污水无组织泄漏排放量小，突发性管道爆裂事故排放的污水能够收集暂存于保护沟内而不是直接通过包气带下渗进入地下水。规划区应配备专业人员负责污水输送管线等的检查和维护，避免泄漏事故的发生。采取上述措施后，可大大降低污水管网污水泄露污染地下水的风险。</w:t>
      </w:r>
    </w:p>
    <w:p w14:paraId="570E814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进行质量体系认证，实现“质量、安全、环境”三位一体的全面质量管理目标，建立有关规章制度和岗位责任制。制定风险预警方案，设立应急设施减少环境污染影响，要求景区配备专业人员负责污水输送管线等的检查和维护，避免泄漏事故的发生。</w:t>
      </w:r>
    </w:p>
    <w:p w14:paraId="38220AA3">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p w14:paraId="0CFEEA08">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7D0E3F7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从声源上控制：景区运营管理单位在与施工单位签订合同时，应要求其使用的主要机械设备为低噪声机械设备，同时设专人对设备进行定期保养和维护，并负责对现场工作人员进行培训，严格按操作规范使用各类机械。</w:t>
      </w:r>
    </w:p>
    <w:p w14:paraId="78AD5682">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05B25AD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（1）景区内部采用</w:t>
      </w:r>
      <w:r>
        <w:rPr>
          <w:rFonts w:hint="default" w:ascii="Times New Roman" w:hAnsi="Times New Roman" w:cs="Times New Roman"/>
          <w:color w:val="auto"/>
          <w:highlight w:val="none"/>
          <w:lang w:val="en-US" w:eastAsia="zh-CN"/>
        </w:rPr>
        <w:t>观光车、徒步</w:t>
      </w:r>
      <w:r>
        <w:rPr>
          <w:rFonts w:hint="default" w:ascii="Times New Roman" w:hAnsi="Times New Roman" w:cs="Times New Roman"/>
          <w:color w:val="auto"/>
          <w:highlight w:val="none"/>
        </w:rPr>
        <w:t>游览为主</w:t>
      </w:r>
      <w:r>
        <w:rPr>
          <w:rFonts w:hint="default" w:ascii="Times New Roman" w:hAnsi="Times New Roman" w:cs="Times New Roman"/>
          <w:color w:val="auto"/>
          <w:spacing w:val="0"/>
          <w:kern w:val="24"/>
          <w:highlight w:val="none"/>
        </w:rPr>
        <w:t>的交通方式。</w:t>
      </w:r>
    </w:p>
    <w:p w14:paraId="2653482A">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（2）做好道路两侧的绿化，利用绿化带对噪声的散射和吸收作用，达到阻隔削减噪声的目的。</w:t>
      </w:r>
    </w:p>
    <w:p w14:paraId="6404423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（3）合理规划布局规划区住户房屋，保证住户房屋与交通干道之间合理的距离，预留一定距离的缓冲带。</w:t>
      </w:r>
    </w:p>
    <w:p w14:paraId="6A63D543">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p w14:paraId="12F968D9">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51DDB7F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制定合理的施工方案，挖方尽量进行场地回填、平整，最大限度减少弃方量。如有多余的弃方，需外运至市政部门制定的弃土场。同时，拟通过合理安排施工工序，分段、逐片开挖，避开雨季施工，加强临时堆场，减少水土流失的影响；其次控制废弃土石和回填土临时堆放场的面积和堆放量，并在土石堆上覆盖塑料薄膜，以及在临时堆放场地周围设置导流明渠，避免雨水冲刷造成水土流失。</w:t>
      </w:r>
    </w:p>
    <w:p w14:paraId="3C02D1D8">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5339187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1、生活垃圾</w:t>
      </w:r>
    </w:p>
    <w:p w14:paraId="506D8F7C">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（1）本次规划</w:t>
      </w:r>
      <w:r>
        <w:rPr>
          <w:rFonts w:hint="default" w:ascii="Times New Roman" w:hAnsi="Times New Roman" w:cs="Times New Roman"/>
          <w:color w:val="auto"/>
          <w:spacing w:val="0"/>
          <w:kern w:val="24"/>
          <w:highlight w:val="none"/>
          <w:lang w:val="en-US" w:eastAsia="zh-CN"/>
        </w:rPr>
        <w:t>曾</w:t>
      </w:r>
      <w:r>
        <w:rPr>
          <w:rFonts w:hint="default" w:ascii="Times New Roman" w:hAnsi="Times New Roman" w:cs="Times New Roman"/>
          <w:color w:val="auto"/>
          <w:spacing w:val="0"/>
          <w:kern w:val="24"/>
          <w:highlight w:val="none"/>
        </w:rPr>
        <w:t>设</w:t>
      </w:r>
      <w:r>
        <w:rPr>
          <w:rFonts w:hint="default" w:ascii="Times New Roman" w:hAnsi="Times New Roman" w:cs="Times New Roman"/>
          <w:color w:val="auto"/>
          <w:spacing w:val="0"/>
          <w:kern w:val="24"/>
          <w:highlight w:val="none"/>
          <w:lang w:eastAsia="zh-CN"/>
        </w:rPr>
        <w:t>垃圾桶</w:t>
      </w:r>
      <w:r>
        <w:rPr>
          <w:rFonts w:hint="default" w:ascii="Times New Roman" w:hAnsi="Times New Roman" w:cs="Times New Roman"/>
          <w:color w:val="auto"/>
          <w:spacing w:val="0"/>
          <w:kern w:val="24"/>
          <w:highlight w:val="none"/>
        </w:rPr>
        <w:t>，各类公共设施、广场、停车场等的出入口附近应设置</w:t>
      </w:r>
      <w:r>
        <w:rPr>
          <w:rFonts w:hint="default" w:ascii="Times New Roman" w:hAnsi="Times New Roman" w:cs="Times New Roman"/>
          <w:color w:val="auto"/>
          <w:spacing w:val="0"/>
          <w:kern w:val="24"/>
          <w:highlight w:val="none"/>
          <w:lang w:eastAsia="zh-CN"/>
        </w:rPr>
        <w:t>垃圾桶</w:t>
      </w:r>
      <w:r>
        <w:rPr>
          <w:rFonts w:hint="default" w:ascii="Times New Roman" w:hAnsi="Times New Roman" w:cs="Times New Roman"/>
          <w:color w:val="auto"/>
          <w:spacing w:val="0"/>
          <w:kern w:val="24"/>
          <w:highlight w:val="none"/>
        </w:rPr>
        <w:t>，方便游客投放垃圾。</w:t>
      </w:r>
    </w:p>
    <w:p w14:paraId="16266F9A">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（2）制定景区环境管理制度，加强对居民和游客的宣传教育，用传单、标语、解说等形式引导游客文明游览，不得随地吐痰、乱扔垃圾。</w:t>
      </w:r>
    </w:p>
    <w:p w14:paraId="59E6828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2、餐厨垃圾及废油</w:t>
      </w:r>
    </w:p>
    <w:p w14:paraId="7B2B1C2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食品监管部门对景区内餐饮经营服务单位负责人进行《食品安全法》、《食品生产经营单位废弃食用油脂管理的规定》等法律法规的教育培训，提高餐饮经营服务单位对废弃食用油脂管理的认识和自律经营意识。</w:t>
      </w:r>
    </w:p>
    <w:p w14:paraId="28C42FC0">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w:t>
      </w:r>
    </w:p>
    <w:p w14:paraId="0E30F835">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1、禁止在农用地排放、倾倒、使用污泥、清淤底泥等可能对土壤造成污染的固体废物；农田灌溉用水应当符合相应的水质标准，防止污染土壤、地下水和农产品。</w:t>
      </w:r>
    </w:p>
    <w:p w14:paraId="07AEBBD6">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2、景区运营管理部门需加强区内文明旅游的宣传工作，引导游客文明出行旅游，禁止踩踏地表植被，禁止随意丢弃不易降解的塑料袋、易拉罐、塑料瓶等。</w:t>
      </w:r>
    </w:p>
    <w:p w14:paraId="2A94D40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3、加强区域绿化，合理配置指示性植物。在区域绿化过程中，应多选择可以对污染物具有指示性的植物，在对区域进行绿化的同时，也可起到生物监测作用。</w:t>
      </w:r>
    </w:p>
    <w:p w14:paraId="2A9640D2">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w:t>
      </w:r>
    </w:p>
    <w:p w14:paraId="464CA62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严格控制规划范围和施工范围，不得破坏施工区域外的植被，在施工过程中尽量保护原生植被。</w:t>
      </w:r>
    </w:p>
    <w:p w14:paraId="1374389D">
      <w:pPr>
        <w:pStyle w:val="3"/>
        <w:spacing w:before="156" w:after="156"/>
        <w:rPr>
          <w:rFonts w:hint="default" w:ascii="Times New Roman" w:hAnsi="Times New Roman" w:cs="Times New Roman"/>
          <w:color w:val="auto"/>
          <w:highlight w:val="none"/>
        </w:rPr>
      </w:pPr>
      <w:bookmarkStart w:id="180" w:name="_Toc3414"/>
      <w:r>
        <w:rPr>
          <w:rFonts w:hint="default" w:ascii="Times New Roman" w:hAnsi="Times New Roman" w:cs="Times New Roman"/>
          <w:color w:val="auto"/>
          <w:highlight w:val="none"/>
        </w:rPr>
        <w:t>环境影响减缓措施</w:t>
      </w:r>
      <w:bookmarkEnd w:id="180"/>
    </w:p>
    <w:p w14:paraId="6CACAA09">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p w14:paraId="370414A7">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32992E66">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施工活动具有一定的周期性，它带来的影响是有限的。施工过程中，无论是主体建筑还是施工用地，应严格限制在所划定的范围内进行建设，减少对外环境造成影响或破坏。旅游及基础设施施工建设期应加强对大气环境的保护，主要采取以下几个方面措施：</w:t>
      </w:r>
    </w:p>
    <w:p w14:paraId="3995CFD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（1）施工期扬尘主要减缓措施</w:t>
      </w:r>
    </w:p>
    <w:p w14:paraId="5A2FDCE7">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①重污染天气的Ⅲ级应急响应措施：施工单位严格落实围挡、覆盖等各项防尘措施，各类施工现场堆放的易产生扬尘物料应100%覆盖，裸露场地要增加洒水降尘频次（至少2次/日）。重污染</w:t>
      </w:r>
      <w:r>
        <w:rPr>
          <w:rFonts w:hint="default" w:ascii="Times New Roman" w:hAnsi="Times New Roman" w:cs="Times New Roman"/>
          <w:color w:val="auto"/>
          <w:spacing w:val="0"/>
          <w:kern w:val="24"/>
          <w:szCs w:val="24"/>
          <w:highlight w:val="none"/>
        </w:rPr>
        <w:t>天气的Ⅱ级及I级应</w:t>
      </w:r>
      <w:r>
        <w:rPr>
          <w:rFonts w:hint="default" w:ascii="Times New Roman" w:hAnsi="Times New Roman" w:cs="Times New Roman"/>
          <w:color w:val="auto"/>
          <w:spacing w:val="0"/>
          <w:kern w:val="24"/>
          <w:highlight w:val="none"/>
        </w:rPr>
        <w:t>急响应措施：施工单位立即停止建筑工地室外作业，工地采取围挡措施，各类施工现场堆放的扬尘物料应100%覆盖，裸露场地要增加洒水降尘频次（至少3次/日）。</w:t>
      </w:r>
    </w:p>
    <w:p w14:paraId="793A7789">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②在建工程施工现场必须封闭围挡施工，严禁围挡不严或敞开式施工；施工现场出入口必须配备车辆冲洗设施，严禁车辆带泥出场。</w:t>
      </w:r>
    </w:p>
    <w:p w14:paraId="5308B901">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③挖方、拆除等易产生扬尘的工程作业时，采取洒水抑尘措施；施工现场集中堆放的土方必须覆盖，严禁裸露；及时清理堆放在场地和道路上的弃渣及抛撒料，适时洒水抑尘，对不能及时清运的，必须采取覆盖等措施，防止二次扬尘。</w:t>
      </w:r>
    </w:p>
    <w:p w14:paraId="10AE4D7B">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④施工单位运输工程渣土、泥浆、建筑垃圾及砂、石等散体建筑材料，应全部采用密闭运输车辆，并按指定路线行驶；运输建筑材料车辆不得超载。</w:t>
      </w:r>
    </w:p>
    <w:p w14:paraId="09DF33AA">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⑤施工现场尽量实施建材料统一堆放管理，水泥等尽量利用附近的现有库房堆放，并尽量减少搬运环节，搬运时防止包装袋破裂。</w:t>
      </w:r>
    </w:p>
    <w:p w14:paraId="52CDBB47">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⑥严禁从正在建设的建筑物上向外抛散、倾倒各类废弃物。</w:t>
      </w:r>
    </w:p>
    <w:p w14:paraId="39966750">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⑦避免沿河道运输如要沿河道运输，则要做好运输时防护措施和事故情景下的应急处置方案。</w:t>
      </w:r>
    </w:p>
    <w:p w14:paraId="5A063DB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⑧施工结束后，应尽早对施工场地内的裸露区域进行绿化、硬化工作，减少扬尘的产生和预防水土流失，可选取栽种易存活、好管理的本地品种，尽可能增大场地内、外的绿化而积，做到草、灌、木相结合。</w:t>
      </w:r>
    </w:p>
    <w:p w14:paraId="3C7A13D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（2）机械废气影响减缓措施</w:t>
      </w:r>
    </w:p>
    <w:p w14:paraId="3257AC5E">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在加强施工机械、运输车辆运行管理与维护保养情况下，运输车辆和施工机械应保持良好的运行状态，合理降低同时使用次数，提高机械使用效率，并选用优质的燃油，同时加装尾气净化装置，可有效地减少尾气污染物排放量。经上述措施后可减少尾气排放对环境的污染。</w:t>
      </w:r>
    </w:p>
    <w:p w14:paraId="687C71C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（3）建筑装修油漆废气影响减缓措施</w:t>
      </w:r>
    </w:p>
    <w:p w14:paraId="0924F0A1">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建筑装修时使用水性涂料等绿色装修材料，环保油漆、涂料。特别是油漆、涂料等装修材料的选取应按照国家质检总局颁布的《室内装修材料10项有害物质限量》规定进行，严格控制室内甲醛、苯系物等挥发性有机物，使各项污染指标达到《室内空气质量标准》（GB/T18883-2022）及《民用建筑工程室内环境污染控制规范》限值要求，避免对室内环境造成污染。</w:t>
      </w:r>
    </w:p>
    <w:p w14:paraId="692FF919">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70741F27">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该规划以旅游业为主导产业，没有工业项目。规划投入运营后，对环境空气的影响主要为液化石油气燃烧废气、餐饮油烟、汽车尾气及恶臭等。环境空气污染防治措施主要有以下几个方面：</w:t>
      </w:r>
    </w:p>
    <w:p w14:paraId="6191DA06">
      <w:pPr>
        <w:pStyle w:val="545"/>
        <w:adjustRightInd/>
        <w:spacing w:line="360" w:lineRule="auto"/>
        <w:jc w:val="both"/>
        <w:rPr>
          <w:rFonts w:hint="default" w:ascii="Times New Roman" w:hAnsi="Times New Roman" w:cs="Times New Roman"/>
          <w:color w:val="auto"/>
          <w:spacing w:val="0"/>
          <w:kern w:val="24"/>
          <w:highlight w:val="none"/>
        </w:rPr>
      </w:pPr>
      <w:bookmarkStart w:id="181" w:name="_Hlk85094253"/>
      <w:r>
        <w:rPr>
          <w:rFonts w:hint="default" w:ascii="Times New Roman" w:hAnsi="Times New Roman" w:cs="Times New Roman"/>
          <w:color w:val="auto"/>
          <w:spacing w:val="0"/>
          <w:kern w:val="24"/>
          <w:highlight w:val="none"/>
        </w:rPr>
        <w:t>（1）餐饮服务业按照环保要求安装油烟净化设施，油烟废气经油烟净化设施处理后由专用烟道高于屋顶排放，并避开周围敏感建筑物。油烟净化设施净化效率大于85%，油烟排放浓度低于《饮食业油烟排放标准》（GB18483-2001）中油烟的最高允许排放浓度的标准限值要求，实现达标排放。</w:t>
      </w:r>
    </w:p>
    <w:p w14:paraId="3365EFD9">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（2）严格控制进入景区的汽车数量，并限制车速，以减少汽车尾气污染；景区道路定期打扫、洒水抑尘，减缓道路扬尘，减轻区域大气污染。</w:t>
      </w:r>
    </w:p>
    <w:p w14:paraId="68AF1F3D">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景区采用密闭专用垃圾桶收集，定期消毒、垃圾每日及时清运，通过合理安排作业时段，尽量避开人们出行时间，而且每天工作结束后，对作业区的场地和部分设备进行冲洗。在夏季蚊蝇高繁殖季节，需定时喷洒药水进行消毒处理，控制大量蚊蝇滋生。</w:t>
      </w:r>
      <w:r>
        <w:rPr>
          <w:rFonts w:hint="default" w:ascii="Times New Roman" w:hAnsi="Times New Roman" w:cs="Times New Roman"/>
          <w:color w:val="auto"/>
          <w:spacing w:val="0"/>
          <w:kern w:val="24"/>
          <w:highlight w:val="none"/>
        </w:rPr>
        <w:t>垃圾运输车均采用密闭式车辆，并安装垃圾渗滤液收集装置，运输过程中垃圾不外露，也不会遗洒垃圾和渗滤液</w:t>
      </w:r>
      <w:r>
        <w:rPr>
          <w:rFonts w:hint="default" w:ascii="Times New Roman" w:hAnsi="Times New Roman" w:cs="Times New Roman"/>
          <w:color w:val="auto"/>
          <w:spacing w:val="0"/>
          <w:kern w:val="24"/>
          <w:highlight w:val="none"/>
        </w:rPr>
        <w:t>。</w:t>
      </w:r>
    </w:p>
    <w:bookmarkEnd w:id="181"/>
    <w:p w14:paraId="15D68215">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w:t>
      </w:r>
    </w:p>
    <w:p w14:paraId="61491B58">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4CAAF64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（1）施工区修建临时隔油沉淀池，地面冲洗、施工机械和车辆清洗所产生的含油废水全部收集至沉淀池中，经处理后综合利用，不外排。</w:t>
      </w:r>
    </w:p>
    <w:p w14:paraId="4193296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（2）雨天对粉状物料堆放场所和临时堆渣场进行必要的遮蔽，减少雨水冲刷；施工场地周边应设置排水沟，并在排水沟末端设置沉淀池对地表径流进行沉淀处理。</w:t>
      </w:r>
    </w:p>
    <w:p w14:paraId="45A94F55">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0B5538B6">
      <w:pPr>
        <w:pStyle w:val="545"/>
        <w:adjustRightInd/>
        <w:spacing w:line="360" w:lineRule="auto"/>
        <w:jc w:val="both"/>
        <w:rPr>
          <w:rFonts w:hint="default" w:ascii="Times New Roman" w:hAnsi="Times New Roman" w:cs="Times New Roman"/>
          <w:color w:val="auto"/>
          <w:spacing w:val="0"/>
          <w:kern w:val="24"/>
          <w:highlight w:val="none"/>
        </w:rPr>
      </w:pPr>
      <w:bookmarkStart w:id="182" w:name="_Hlk72225173"/>
      <w:r>
        <w:rPr>
          <w:rFonts w:hint="default" w:ascii="Times New Roman" w:hAnsi="Times New Roman" w:cs="Times New Roman"/>
          <w:color w:val="auto"/>
          <w:spacing w:val="0"/>
          <w:kern w:val="24"/>
          <w:highlight w:val="none"/>
        </w:rPr>
        <w:t>1、废水治理措施</w:t>
      </w:r>
    </w:p>
    <w:p w14:paraId="5F6D66DF">
      <w:pPr>
        <w:pStyle w:val="545"/>
        <w:adjustRightInd/>
        <w:spacing w:line="360" w:lineRule="auto"/>
        <w:ind w:firstLine="482"/>
        <w:jc w:val="both"/>
        <w:rPr>
          <w:rFonts w:hint="default" w:ascii="Times New Roman" w:hAnsi="Times New Roman" w:cs="Times New Roman"/>
          <w:b/>
          <w:bCs/>
          <w:color w:val="auto"/>
          <w:spacing w:val="0"/>
          <w:kern w:val="24"/>
          <w:highlight w:val="none"/>
        </w:rPr>
      </w:pPr>
      <w:r>
        <w:rPr>
          <w:rFonts w:hint="default" w:ascii="Times New Roman" w:hAnsi="Times New Roman" w:cs="Times New Roman"/>
          <w:b/>
          <w:bCs/>
          <w:color w:val="auto"/>
          <w:spacing w:val="0"/>
          <w:kern w:val="24"/>
          <w:highlight w:val="none"/>
        </w:rPr>
        <w:t>（1）废水产生情况</w:t>
      </w:r>
    </w:p>
    <w:p w14:paraId="729B9B1E">
      <w:pPr>
        <w:pStyle w:val="545"/>
        <w:adjustRightInd/>
        <w:spacing w:line="360" w:lineRule="auto"/>
        <w:jc w:val="both"/>
        <w:rPr>
          <w:rFonts w:hint="default" w:ascii="Times New Roman" w:hAnsi="Times New Roman" w:cs="Times New Roman"/>
          <w:color w:val="auto"/>
          <w:spacing w:val="0"/>
          <w:kern w:val="24"/>
          <w:highlight w:val="none"/>
        </w:rPr>
      </w:pPr>
      <w:bookmarkStart w:id="183" w:name="_Hlk85094425"/>
      <w:r>
        <w:rPr>
          <w:rFonts w:hint="default" w:ascii="Times New Roman" w:hAnsi="Times New Roman" w:cs="Times New Roman"/>
          <w:color w:val="auto"/>
          <w:spacing w:val="0"/>
          <w:kern w:val="24"/>
          <w:highlight w:val="none"/>
        </w:rPr>
        <w:t>景区运营产生的废水主要为景区内常住居民、游客和服务人员产生的生活污水</w:t>
      </w:r>
      <w:bookmarkEnd w:id="183"/>
      <w:r>
        <w:rPr>
          <w:rFonts w:hint="default" w:ascii="Times New Roman" w:hAnsi="Times New Roman" w:cs="Times New Roman"/>
          <w:color w:val="auto"/>
          <w:spacing w:val="0"/>
          <w:kern w:val="24"/>
          <w:highlight w:val="none"/>
        </w:rPr>
        <w:t>（含餐饮废水）。根据废水产生量预测，情景一：一般情况下20</w:t>
      </w:r>
      <w:r>
        <w:rPr>
          <w:rFonts w:hint="default" w:ascii="Times New Roman" w:hAnsi="Times New Roman" w:cs="Times New Roman"/>
          <w:color w:val="auto"/>
          <w:spacing w:val="0"/>
          <w:kern w:val="24"/>
          <w:highlight w:val="none"/>
          <w:lang w:val="en-US" w:eastAsia="zh-CN"/>
        </w:rPr>
        <w:t>30</w:t>
      </w:r>
      <w:r>
        <w:rPr>
          <w:rFonts w:hint="default" w:ascii="Times New Roman" w:hAnsi="Times New Roman" w:cs="Times New Roman"/>
          <w:color w:val="auto"/>
          <w:spacing w:val="0"/>
          <w:kern w:val="24"/>
          <w:highlight w:val="none"/>
        </w:rPr>
        <w:t>年废水产生量为</w:t>
      </w:r>
      <w:r>
        <w:rPr>
          <w:rFonts w:hint="default" w:ascii="Times New Roman" w:hAnsi="Times New Roman" w:cs="Times New Roman"/>
          <w:color w:val="auto"/>
          <w:spacing w:val="0"/>
          <w:kern w:val="24"/>
          <w:highlight w:val="none"/>
          <w:lang w:val="en-US" w:eastAsia="zh-CN"/>
        </w:rPr>
        <w:t>55.51</w:t>
      </w:r>
      <w:r>
        <w:rPr>
          <w:rFonts w:hint="default" w:ascii="Times New Roman" w:hAnsi="Times New Roman" w:cs="Times New Roman"/>
          <w:color w:val="auto"/>
          <w:spacing w:val="0"/>
          <w:kern w:val="24"/>
          <w:highlight w:val="none"/>
        </w:rPr>
        <w:t>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/d，20</w:t>
      </w:r>
      <w:r>
        <w:rPr>
          <w:rFonts w:hint="default" w:ascii="Times New Roman" w:hAnsi="Times New Roman" w:cs="Times New Roman"/>
          <w:color w:val="auto"/>
          <w:spacing w:val="0"/>
          <w:kern w:val="24"/>
          <w:highlight w:val="none"/>
          <w:lang w:val="en-US" w:eastAsia="zh-CN"/>
        </w:rPr>
        <w:t>35</w:t>
      </w:r>
      <w:r>
        <w:rPr>
          <w:rFonts w:hint="default" w:ascii="Times New Roman" w:hAnsi="Times New Roman" w:cs="Times New Roman"/>
          <w:color w:val="auto"/>
          <w:spacing w:val="0"/>
          <w:kern w:val="24"/>
          <w:highlight w:val="none"/>
        </w:rPr>
        <w:t>年废水产生量为</w:t>
      </w:r>
      <w:r>
        <w:rPr>
          <w:rFonts w:hint="default" w:ascii="Times New Roman" w:hAnsi="Times New Roman" w:cs="Times New Roman"/>
          <w:color w:val="auto"/>
          <w:spacing w:val="0"/>
          <w:kern w:val="24"/>
          <w:highlight w:val="none"/>
          <w:lang w:val="en-US" w:eastAsia="zh-CN"/>
        </w:rPr>
        <w:t>100.60</w:t>
      </w:r>
      <w:r>
        <w:rPr>
          <w:rFonts w:hint="default" w:ascii="Times New Roman" w:hAnsi="Times New Roman" w:cs="Times New Roman"/>
          <w:color w:val="auto"/>
          <w:spacing w:val="0"/>
          <w:kern w:val="24"/>
          <w:highlight w:val="none"/>
        </w:rPr>
        <w:t>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/d；情景二：特殊情况下20</w:t>
      </w:r>
      <w:r>
        <w:rPr>
          <w:rFonts w:hint="default" w:ascii="Times New Roman" w:hAnsi="Times New Roman" w:cs="Times New Roman"/>
          <w:color w:val="auto"/>
          <w:spacing w:val="0"/>
          <w:kern w:val="24"/>
          <w:highlight w:val="none"/>
          <w:lang w:val="en-US" w:eastAsia="zh-CN"/>
        </w:rPr>
        <w:t>30</w:t>
      </w:r>
      <w:r>
        <w:rPr>
          <w:rFonts w:hint="default" w:ascii="Times New Roman" w:hAnsi="Times New Roman" w:cs="Times New Roman"/>
          <w:color w:val="auto"/>
          <w:spacing w:val="0"/>
          <w:kern w:val="24"/>
          <w:highlight w:val="none"/>
        </w:rPr>
        <w:t>年旺季废水产生量为</w:t>
      </w:r>
      <w:r>
        <w:rPr>
          <w:rFonts w:hint="default" w:ascii="Times New Roman" w:hAnsi="Times New Roman" w:cs="Times New Roman"/>
          <w:color w:val="auto"/>
          <w:spacing w:val="0"/>
          <w:kern w:val="24"/>
          <w:highlight w:val="none"/>
          <w:lang w:val="en-US" w:eastAsia="zh-CN"/>
        </w:rPr>
        <w:t>65.64</w:t>
      </w:r>
      <w:r>
        <w:rPr>
          <w:rFonts w:hint="default" w:ascii="Times New Roman" w:hAnsi="Times New Roman" w:cs="Times New Roman"/>
          <w:color w:val="auto"/>
          <w:spacing w:val="0"/>
          <w:kern w:val="24"/>
          <w:highlight w:val="none"/>
        </w:rPr>
        <w:t>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/d，20</w:t>
      </w:r>
      <w:r>
        <w:rPr>
          <w:rFonts w:hint="default" w:ascii="Times New Roman" w:hAnsi="Times New Roman" w:cs="Times New Roman"/>
          <w:color w:val="auto"/>
          <w:spacing w:val="0"/>
          <w:kern w:val="24"/>
          <w:highlight w:val="none"/>
          <w:lang w:val="en-US" w:eastAsia="zh-CN"/>
        </w:rPr>
        <w:t>35</w:t>
      </w:r>
      <w:r>
        <w:rPr>
          <w:rFonts w:hint="default" w:ascii="Times New Roman" w:hAnsi="Times New Roman" w:cs="Times New Roman"/>
          <w:color w:val="auto"/>
          <w:spacing w:val="0"/>
          <w:kern w:val="24"/>
          <w:highlight w:val="none"/>
        </w:rPr>
        <w:t>年旺季废水产生量为12</w:t>
      </w:r>
      <w:r>
        <w:rPr>
          <w:rFonts w:hint="default" w:ascii="Times New Roman" w:hAnsi="Times New Roman" w:cs="Times New Roman"/>
          <w:color w:val="auto"/>
          <w:spacing w:val="0"/>
          <w:kern w:val="24"/>
          <w:highlight w:val="none"/>
          <w:lang w:val="en-US" w:eastAsia="zh-CN"/>
        </w:rPr>
        <w:t>5.85</w:t>
      </w:r>
      <w:r>
        <w:rPr>
          <w:rFonts w:hint="default" w:ascii="Times New Roman" w:hAnsi="Times New Roman" w:cs="Times New Roman"/>
          <w:color w:val="auto"/>
          <w:spacing w:val="0"/>
          <w:kern w:val="24"/>
          <w:highlight w:val="none"/>
        </w:rPr>
        <w:t>m</w:t>
      </w:r>
      <w:r>
        <w:rPr>
          <w:rFonts w:hint="default" w:ascii="Times New Roman" w:hAnsi="Times New Roman" w:cs="Times New Roman"/>
          <w:color w:val="auto"/>
          <w:spacing w:val="0"/>
          <w:kern w:val="24"/>
          <w:highlight w:val="none"/>
          <w:vertAlign w:val="superscript"/>
        </w:rPr>
        <w:t>3</w:t>
      </w:r>
      <w:r>
        <w:rPr>
          <w:rFonts w:hint="default" w:ascii="Times New Roman" w:hAnsi="Times New Roman" w:cs="Times New Roman"/>
          <w:color w:val="auto"/>
          <w:spacing w:val="0"/>
          <w:kern w:val="24"/>
          <w:highlight w:val="none"/>
        </w:rPr>
        <w:t>/d。</w:t>
      </w:r>
    </w:p>
    <w:p w14:paraId="266C4E2B">
      <w:pPr>
        <w:pStyle w:val="545"/>
        <w:adjustRightInd/>
        <w:spacing w:line="360" w:lineRule="auto"/>
        <w:ind w:firstLine="482"/>
        <w:jc w:val="both"/>
        <w:rPr>
          <w:rFonts w:hint="default" w:ascii="Times New Roman" w:hAnsi="Times New Roman" w:cs="Times New Roman"/>
          <w:b/>
          <w:bCs/>
          <w:color w:val="auto"/>
          <w:spacing w:val="0"/>
          <w:kern w:val="24"/>
          <w:highlight w:val="none"/>
        </w:rPr>
      </w:pPr>
      <w:r>
        <w:rPr>
          <w:rFonts w:hint="default" w:ascii="Times New Roman" w:hAnsi="Times New Roman" w:cs="Times New Roman"/>
          <w:b/>
          <w:bCs/>
          <w:color w:val="auto"/>
          <w:spacing w:val="0"/>
          <w:kern w:val="24"/>
          <w:highlight w:val="none"/>
        </w:rPr>
        <w:t>（2）</w:t>
      </w:r>
      <w:r>
        <w:rPr>
          <w:rFonts w:hint="default" w:ascii="Times New Roman" w:hAnsi="Times New Roman" w:cs="Times New Roman"/>
          <w:b/>
          <w:bCs/>
          <w:color w:val="auto"/>
          <w:spacing w:val="0"/>
          <w:kern w:val="24"/>
          <w:highlight w:val="none"/>
          <w:lang w:val="en-US" w:eastAsia="zh-CN"/>
        </w:rPr>
        <w:t>一体化污水处理设施</w:t>
      </w:r>
      <w:r>
        <w:rPr>
          <w:rFonts w:hint="default" w:ascii="Times New Roman" w:hAnsi="Times New Roman" w:cs="Times New Roman"/>
          <w:b/>
          <w:bCs/>
          <w:color w:val="auto"/>
          <w:spacing w:val="0"/>
          <w:kern w:val="24"/>
          <w:highlight w:val="none"/>
        </w:rPr>
        <w:t>情况</w:t>
      </w:r>
    </w:p>
    <w:p w14:paraId="0175B643">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rPr>
        <w:t>规划区内</w:t>
      </w:r>
      <w:r>
        <w:rPr>
          <w:rFonts w:hint="default" w:ascii="Times New Roman" w:hAnsi="Times New Roman" w:eastAsia="宋体" w:cs="Times New Roman"/>
          <w:color w:val="auto"/>
          <w:sz w:val="24"/>
          <w:szCs w:val="20"/>
          <w:highlight w:val="none"/>
          <w:lang w:val="en-US" w:eastAsia="zh-CN"/>
        </w:rPr>
        <w:t>民宿等部分区域已自行建设一体化污水处理设施，所产生的生活污水经一体化污水处理设施处理达标后用作周边草地、耕地施肥。</w:t>
      </w:r>
    </w:p>
    <w:p w14:paraId="0860C449">
      <w:pPr>
        <w:pStyle w:val="704"/>
        <w:spacing w:line="360" w:lineRule="auto"/>
        <w:ind w:firstLine="480"/>
        <w:rPr>
          <w:rFonts w:hint="default" w:ascii="Times New Roman" w:hAnsi="Times New Roman" w:cs="Times New Roman"/>
          <w:color w:val="auto"/>
          <w:spacing w:val="0"/>
          <w:kern w:val="24"/>
          <w:highlight w:val="none"/>
        </w:rPr>
      </w:pPr>
      <w:r>
        <w:rPr>
          <w:rFonts w:hint="default" w:ascii="Times New Roman" w:hAnsi="Times New Roman" w:eastAsia="宋体" w:cs="Times New Roman"/>
          <w:color w:val="auto"/>
          <w:sz w:val="24"/>
          <w:szCs w:val="20"/>
          <w:highlight w:val="none"/>
          <w:lang w:val="en-US" w:eastAsia="zh-CN"/>
        </w:rPr>
        <w:t>规划实施后将新增4处一体化小型污水处理设施，不独立占地，其中巴卡村1处、岗巴村2处、扎木村1处，建议采用</w:t>
      </w:r>
      <w:r>
        <w:rPr>
          <w:rFonts w:hint="default" w:ascii="Times New Roman" w:hAnsi="Times New Roman" w:eastAsia="宋体" w:cs="Times New Roman"/>
          <w:color w:val="auto"/>
          <w:sz w:val="24"/>
          <w:szCs w:val="20"/>
          <w:highlight w:val="none"/>
        </w:rPr>
        <w:t>A</w:t>
      </w:r>
      <w:r>
        <w:rPr>
          <w:rFonts w:hint="default" w:ascii="Times New Roman" w:hAnsi="Times New Roman" w:eastAsia="宋体" w:cs="Times New Roman"/>
          <w:color w:val="auto"/>
          <w:sz w:val="24"/>
          <w:szCs w:val="20"/>
          <w:highlight w:val="none"/>
          <w:vertAlign w:val="superscript"/>
        </w:rPr>
        <w:t>2</w:t>
      </w:r>
      <w:r>
        <w:rPr>
          <w:rFonts w:hint="default" w:ascii="Times New Roman" w:hAnsi="Times New Roman" w:eastAsia="宋体" w:cs="Times New Roman"/>
          <w:color w:val="auto"/>
          <w:sz w:val="24"/>
          <w:szCs w:val="20"/>
          <w:highlight w:val="none"/>
        </w:rPr>
        <w:t>O</w:t>
      </w:r>
      <w:r>
        <w:rPr>
          <w:rFonts w:hint="default" w:ascii="Times New Roman" w:hAnsi="Times New Roman" w:eastAsia="宋体" w:cs="Times New Roman"/>
          <w:color w:val="auto"/>
          <w:sz w:val="24"/>
          <w:szCs w:val="20"/>
          <w:highlight w:val="none"/>
          <w:lang w:val="en-US" w:eastAsia="zh-CN"/>
        </w:rPr>
        <w:t>处理工艺，确保出水水质满足《污水综合排放标准》（GB8978-1996）一级标准限值限值要求，单座一体化污水处理设施处理规模不小于40m</w:t>
      </w:r>
      <w:r>
        <w:rPr>
          <w:rFonts w:hint="default" w:ascii="Times New Roman" w:hAnsi="Times New Roman" w:eastAsia="宋体" w:cs="Times New Roman"/>
          <w:color w:val="auto"/>
          <w:sz w:val="24"/>
          <w:szCs w:val="20"/>
          <w:highlight w:val="none"/>
          <w:vertAlign w:val="superscript"/>
          <w:lang w:val="en-US" w:eastAsia="zh-CN"/>
        </w:rPr>
        <w:t>3</w:t>
      </w:r>
      <w:r>
        <w:rPr>
          <w:rFonts w:hint="default" w:ascii="Times New Roman" w:hAnsi="Times New Roman" w:eastAsia="宋体" w:cs="Times New Roman"/>
          <w:color w:val="auto"/>
          <w:sz w:val="24"/>
          <w:szCs w:val="20"/>
          <w:highlight w:val="none"/>
          <w:lang w:val="en-US" w:eastAsia="zh-CN"/>
        </w:rPr>
        <w:t>/d，确保规划远期2035年旺季废水量均可得到全部妥善处置。因此本项目生活污水处置措施有效可行。</w:t>
      </w:r>
    </w:p>
    <w:bookmarkEnd w:id="182"/>
    <w:p w14:paraId="21AAB42B">
      <w:pPr>
        <w:pStyle w:val="4"/>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地下水环境</w:t>
      </w:r>
    </w:p>
    <w:p w14:paraId="7E1517D1">
      <w:pPr>
        <w:pStyle w:val="545"/>
        <w:adjustRightInd/>
        <w:spacing w:line="360" w:lineRule="auto"/>
        <w:jc w:val="both"/>
        <w:rPr>
          <w:rFonts w:hint="default" w:ascii="Times New Roman" w:hAnsi="Times New Roman" w:cs="Times New Roman"/>
          <w:color w:val="auto"/>
          <w:spacing w:val="0"/>
          <w:kern w:val="24"/>
          <w:highlight w:val="none"/>
        </w:rPr>
      </w:pPr>
      <w:bookmarkStart w:id="184" w:name="_Hlk85094493"/>
      <w:r>
        <w:rPr>
          <w:rFonts w:hint="default" w:ascii="Times New Roman" w:hAnsi="Times New Roman" w:cs="Times New Roman"/>
          <w:color w:val="auto"/>
          <w:spacing w:val="0"/>
          <w:kern w:val="24"/>
          <w:highlight w:val="none"/>
        </w:rPr>
        <w:t>分区防渗措施：</w:t>
      </w:r>
    </w:p>
    <w:p w14:paraId="0A3F9920">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根据可能进入地下水环境的各类污染物的性质、产生量和排放量和生产单元的构筑方式以及不同段位地下水防污性能强弱，将景区内各区域划分为分级制防污区，分别为简单防渗区、一般污染防治区、重点污染防治区三类，针对不同级别的防治区，采取相应级别的防渗措施，并建立防渗设施的检漏系统。</w:t>
      </w:r>
    </w:p>
    <w:p w14:paraId="44E21F3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防渗的一般要求有以下几个方面：</w:t>
      </w:r>
    </w:p>
    <w:p w14:paraId="31D367F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（1）污染防治区要求设置防渗层，简单防渗区要求设置地面硬化防渗层；一般污染防治区要求防渗层性能等效于1.5m厚黏土防渗层（渗透系数1.0×10</w:t>
      </w:r>
      <w:r>
        <w:rPr>
          <w:rFonts w:hint="default" w:ascii="Times New Roman" w:hAnsi="Times New Roman" w:cs="Times New Roman"/>
          <w:color w:val="auto"/>
          <w:spacing w:val="0"/>
          <w:kern w:val="24"/>
          <w:highlight w:val="none"/>
          <w:vertAlign w:val="superscript"/>
        </w:rPr>
        <w:t>-7</w:t>
      </w:r>
      <w:r>
        <w:rPr>
          <w:rFonts w:hint="default" w:ascii="Times New Roman" w:hAnsi="Times New Roman" w:cs="Times New Roman"/>
          <w:color w:val="auto"/>
          <w:spacing w:val="0"/>
          <w:kern w:val="24"/>
          <w:highlight w:val="none"/>
        </w:rPr>
        <w:t>cm/s）；重点污染防治区要求防渗层性能等效于6.0m厚黏土防渗层（渗透系数1.0×10</w:t>
      </w:r>
      <w:r>
        <w:rPr>
          <w:rFonts w:hint="default" w:ascii="Times New Roman" w:hAnsi="Times New Roman" w:cs="Times New Roman"/>
          <w:color w:val="auto"/>
          <w:spacing w:val="0"/>
          <w:kern w:val="24"/>
          <w:highlight w:val="none"/>
          <w:vertAlign w:val="superscript"/>
        </w:rPr>
        <w:t>-7</w:t>
      </w:r>
      <w:r>
        <w:rPr>
          <w:rFonts w:hint="default" w:ascii="Times New Roman" w:hAnsi="Times New Roman" w:cs="Times New Roman"/>
          <w:color w:val="auto"/>
          <w:spacing w:val="0"/>
          <w:kern w:val="24"/>
          <w:highlight w:val="none"/>
        </w:rPr>
        <w:t>cm/s）。</w:t>
      </w:r>
    </w:p>
    <w:p w14:paraId="1648BF1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（2）防渗层由单一或多种防渗材料组成。</w:t>
      </w:r>
    </w:p>
    <w:p w14:paraId="7FD84E1D">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（3）地下水污染设防的单元或者设施的地面重点注意排水口、排水沟以及污水管接口处。当污水中含有腐蚀性污染物时，要求防渗材料具有耐化学腐蚀性能或采取防腐处理。</w:t>
      </w:r>
    </w:p>
    <w:bookmarkEnd w:id="184"/>
    <w:p w14:paraId="2839B08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p w14:paraId="4836574E">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67C0158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现阶段尚不能确定景区内拟建工程的施工场地布置情况，仅提出以下控制性措施：</w:t>
      </w:r>
    </w:p>
    <w:p w14:paraId="3D3A830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（1）对强噪声设备进行一定的隔声及减振处理，在不影响施工情况下将噪声设备尽量不集中使用，固定的机械设备尽量入棚操作。</w:t>
      </w:r>
    </w:p>
    <w:p w14:paraId="08C2A31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（2）建设管理部门应加强对施工场地的噪声管理，施工单位也应对施工噪声进行自律，合理安排工期，减短施工时间；加强对施工人员的管理，做到文明施工。</w:t>
      </w:r>
    </w:p>
    <w:p w14:paraId="2DF7EF5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建设期无特殊的工艺要求严禁夜间施工，如确须夜间施工的，必须提前10天向当地生态环境部门提出申请，办理夜间施工许可证未经批准不得从事夜间施工作业，并提前2天告知周边公众。为防止昼间施工噪声对周边环境造成影响，必要时在项目四周设置临时声屏障。</w:t>
      </w:r>
    </w:p>
    <w:p w14:paraId="1BA4CC39">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1C3B595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1、交通噪声控制措施</w:t>
      </w:r>
    </w:p>
    <w:p w14:paraId="2BDFF02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随着旅游区的发展，交通量越来越大，交通噪声也越来越大，交通噪声得主要控制措施有：</w:t>
      </w:r>
    </w:p>
    <w:p w14:paraId="490D81FB">
      <w:pPr>
        <w:pStyle w:val="545"/>
        <w:adjustRightInd/>
        <w:spacing w:line="360" w:lineRule="auto"/>
        <w:ind w:firstLineChars="0"/>
        <w:jc w:val="both"/>
        <w:rPr>
          <w:rFonts w:hint="default" w:ascii="Times New Roman" w:hAnsi="Times New Roman" w:cs="Times New Roman"/>
          <w:color w:val="auto"/>
          <w:spacing w:val="0"/>
          <w:kern w:val="24"/>
          <w:highlight w:val="none"/>
        </w:rPr>
      </w:pPr>
      <w:bookmarkStart w:id="185" w:name="_Hlk85094553"/>
      <w:r>
        <w:rPr>
          <w:rFonts w:hint="default" w:ascii="Times New Roman" w:hAnsi="Times New Roman" w:cs="Times New Roman"/>
          <w:color w:val="auto"/>
          <w:spacing w:val="0"/>
          <w:kern w:val="24"/>
          <w:highlight w:val="none"/>
        </w:rPr>
        <w:t>（1）对进入景区内部的车辆，实行统一管理，在各路段按不同标准限速，并在主要路口和停车场安装监控设备，设立禁鸣标志，禁止车辆鸣笛。</w:t>
      </w:r>
    </w:p>
    <w:p w14:paraId="2640444A">
      <w:pPr>
        <w:pStyle w:val="545"/>
        <w:adjustRightInd/>
        <w:spacing w:line="360" w:lineRule="auto"/>
        <w:ind w:firstLineChars="0"/>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（2）加强路面保养，减少车辆颠簸振动噪声。控制车流量，做好交通规划，合理分配车流量。</w:t>
      </w:r>
    </w:p>
    <w:p w14:paraId="6076A61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2、旅游活动噪声控制措施</w:t>
      </w:r>
    </w:p>
    <w:p w14:paraId="42CF443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（1）入驻商户，禁止使用高音喇叭；</w:t>
      </w:r>
    </w:p>
    <w:p w14:paraId="24787C6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（2）宣传公共区域保持安静，树立提示标牌，宣传文明旅游；</w:t>
      </w:r>
    </w:p>
    <w:p w14:paraId="37462AA8">
      <w:pPr>
        <w:pStyle w:val="545"/>
        <w:adjustRightInd/>
        <w:spacing w:line="360" w:lineRule="auto"/>
        <w:jc w:val="both"/>
        <w:rPr>
          <w:rFonts w:hint="default" w:ascii="Times New Roman" w:hAnsi="Times New Roman" w:cs="Times New Roman"/>
          <w:color w:val="auto"/>
          <w:highlight w:val="none"/>
        </w:rPr>
      </w:pPr>
      <w:r>
        <w:rPr>
          <w:rFonts w:hint="default" w:ascii="Times New Roman" w:hAnsi="Times New Roman" w:cs="Times New Roman"/>
          <w:color w:val="auto"/>
          <w:spacing w:val="0"/>
          <w:kern w:val="24"/>
          <w:highlight w:val="none"/>
        </w:rPr>
        <w:t>（3）管理服务设施及接待服务设施、游客中心大型风机、泵等设备应购置低噪、高效设备，并在噪声设备上加减震装置和修建隔声间等。</w:t>
      </w:r>
      <w:bookmarkEnd w:id="185"/>
    </w:p>
    <w:p w14:paraId="19DF2FC6">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p w14:paraId="22387003">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6A2DD597">
      <w:pPr>
        <w:pStyle w:val="545"/>
        <w:adjustRightInd/>
        <w:spacing w:line="360" w:lineRule="auto"/>
        <w:jc w:val="both"/>
        <w:rPr>
          <w:rFonts w:hint="default" w:ascii="Times New Roman" w:hAnsi="Times New Roman" w:cs="Times New Roman"/>
          <w:color w:val="auto"/>
          <w:spacing w:val="0"/>
          <w:kern w:val="24"/>
          <w:highlight w:val="none"/>
        </w:rPr>
      </w:pPr>
      <w:bookmarkStart w:id="186" w:name="_Hlk85094642"/>
      <w:r>
        <w:rPr>
          <w:rFonts w:hint="default" w:ascii="Times New Roman" w:hAnsi="Times New Roman" w:cs="Times New Roman"/>
          <w:color w:val="auto"/>
          <w:spacing w:val="0"/>
          <w:kern w:val="24"/>
          <w:highlight w:val="none"/>
        </w:rPr>
        <w:t>（1）各施工场地须设置生活垃圾收集设施，施工人员产生的生活垃圾经垃圾桶收集后，由市政环卫部门统一运送到垃圾填埋场集中处理，不可就地填埋，避免对周围居民环境空气和水环境造成潜在的影响。</w:t>
      </w:r>
    </w:p>
    <w:p w14:paraId="5CD6B12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废弃建筑材料包括废弃砖、石、混凝土、木制（铁制）材料、装修材料等，项目应进行分类收集，能回收利用的部分，例如木制（铁制）材料等，外售收购商，重复利用，不能回收利用的部分运至指定的建筑垃圾堆放点，禁止与生活垃圾混合处置，禁止随意丢弃。</w:t>
      </w:r>
    </w:p>
    <w:bookmarkEnd w:id="186"/>
    <w:p w14:paraId="3356A1CC">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1D89E248">
      <w:pPr>
        <w:pStyle w:val="545"/>
        <w:adjustRightInd/>
        <w:spacing w:line="360" w:lineRule="auto"/>
        <w:jc w:val="both"/>
        <w:rPr>
          <w:rFonts w:hint="default" w:ascii="Times New Roman" w:hAnsi="Times New Roman" w:cs="Times New Roman"/>
          <w:color w:val="auto"/>
          <w:spacing w:val="0"/>
          <w:kern w:val="24"/>
          <w:highlight w:val="none"/>
        </w:rPr>
      </w:pPr>
      <w:bookmarkStart w:id="187" w:name="_Hlk85094664"/>
      <w:r>
        <w:rPr>
          <w:rFonts w:hint="default" w:ascii="Times New Roman" w:hAnsi="Times New Roman" w:cs="Times New Roman"/>
          <w:color w:val="auto"/>
          <w:spacing w:val="0"/>
          <w:kern w:val="24"/>
          <w:highlight w:val="none"/>
        </w:rPr>
        <w:t>1、生活垃圾</w:t>
      </w:r>
    </w:p>
    <w:p w14:paraId="669DBE4C">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（1）安排专人随时清理景区内的垃圾，以确保环境整洁。</w:t>
      </w:r>
    </w:p>
    <w:p w14:paraId="4C9A623E">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（2）设专职卫生管理机构，做好各功能区、景点和游览路途的卫生。</w:t>
      </w:r>
    </w:p>
    <w:p w14:paraId="59B7CF4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（3）景区管理人员对景区产生的垃圾及时清理，及时送往生活垃圾填埋场填埋处置。</w:t>
      </w:r>
    </w:p>
    <w:p w14:paraId="7B986A3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2、餐厨垃圾及废油</w:t>
      </w:r>
    </w:p>
    <w:p w14:paraId="4F826951">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餐厨垃圾收集后运送至专门处理餐厨垃圾的地方进行统一处置，餐厨垃圾管理及运输根据地方政府相关规定执行。</w:t>
      </w:r>
    </w:p>
    <w:bookmarkEnd w:id="187"/>
    <w:p w14:paraId="675F2270">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w:t>
      </w:r>
    </w:p>
    <w:p w14:paraId="7B4EE64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为进一步减少景区建设和运营对区域土壤环境的影响，本次评价提出以下减缓措施：</w:t>
      </w:r>
      <w:bookmarkStart w:id="188" w:name="_Hlk85094781"/>
      <w:r>
        <w:rPr>
          <w:rFonts w:hint="default" w:ascii="Times New Roman" w:hAnsi="Times New Roman" w:cs="Times New Roman"/>
          <w:color w:val="auto"/>
          <w:spacing w:val="0"/>
          <w:kern w:val="24"/>
          <w:highlight w:val="none"/>
        </w:rPr>
        <w:t>健全景区环境管理制度，加强景区内部环保治理设施正常运转，防止污水管网破裂等事故状况下，未经处理的污水对土壤造成污染。</w:t>
      </w:r>
    </w:p>
    <w:bookmarkEnd w:id="188"/>
    <w:p w14:paraId="5DD64463">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w:t>
      </w:r>
    </w:p>
    <w:p w14:paraId="7F603F31">
      <w:pPr>
        <w:pStyle w:val="5"/>
        <w:spacing w:before="156" w:after="156"/>
        <w:rPr>
          <w:rFonts w:hint="default" w:ascii="Times New Roman" w:hAnsi="Times New Roman" w:cs="Times New Roman"/>
          <w:color w:val="auto"/>
          <w:highlight w:val="none"/>
        </w:rPr>
      </w:pPr>
      <w:bookmarkStart w:id="189" w:name="_Hlk85094870"/>
      <w:r>
        <w:rPr>
          <w:rFonts w:hint="default" w:ascii="Times New Roman" w:hAnsi="Times New Roman" w:cs="Times New Roman"/>
          <w:color w:val="auto"/>
          <w:highlight w:val="none"/>
          <w:lang w:val="en-US" w:eastAsia="zh-CN"/>
        </w:rPr>
        <w:t>绿地系统规划</w:t>
      </w:r>
    </w:p>
    <w:p w14:paraId="5AADD4D2">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1、山体绿地</w:t>
      </w:r>
    </w:p>
    <w:p w14:paraId="65521D2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充分利用景区现状山体所形成的森林和绿地，构成岗云杉林生态旅游景区的绿环。在保持现状景观环境的基础上，通过景观节点、生态步道、防火栈道等建设，将山林景观引入景区，与景区内人文景观相结合，提供丰富的视觉景观观赏空间和郊野游憩空间。</w:t>
      </w:r>
    </w:p>
    <w:p w14:paraId="505CC950">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2、村落绿地</w:t>
      </w:r>
    </w:p>
    <w:p w14:paraId="64DE3886">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从“村外亮化、村落绿化、庭院美化”三个层面对巴卡村、岗巴村村落景观进行绿化营造。对于村落外部，建议以高大乔木为主，适当配置中高乔木和灌木，形成村落与周边自然环境的生态过渡带；对于村落内部，结合高原优势种植产业，在房前屋后、公共场所等位置开展以当地经济林木果蔬为主，彩色植物为辅的绿化景观营造；对于庭院内部，建议村民种植部分经济果蔬，打造具有农家气息的果园、菜园、花园。</w:t>
      </w:r>
    </w:p>
    <w:p w14:paraId="5711C44C">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3、河流岸线绿地</w:t>
      </w:r>
    </w:p>
    <w:p w14:paraId="4997A4B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以“生态保护”为前提，对帕隆藏布、草湖等水域河岸绿地进行规划。结合河流水系功能特点、周边地形和区域气候，提升优化原有植被景观，改善水土流失的同时增加观赏效果；根据现场条件，结合景区游赏线路和观景节点，配合各类高原植被，打造自然野趣的河岸景观，丰富观光游赏视觉内容。</w:t>
      </w:r>
    </w:p>
    <w:p w14:paraId="6BD7720E">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eastAsia="zh-CN"/>
        </w:rPr>
        <w:t>4、道路绿地</w:t>
      </w:r>
    </w:p>
    <w:p w14:paraId="69B9EF9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根据路两侧的绿地性质和周边用地的现状特点，依托原有的自然植被基础，对景区入口、村落入口、休憩景点等不同地段进行差异性的打造，以纵向分段、横向延伸、立体错落等手法，构建各具主题的绿化景观系统。按适地适树原则，通过种植、补植的办法，培育多层次的植物群落。在强化现有绿色生态资源的基础上，引入观赏性强、景观效果明显的本土植物品种进行景观打造，充分考虑色彩的变换和景观季相特征，提升场地景观系统的丰富性，并强化道路的带状轴线特征。</w:t>
      </w:r>
    </w:p>
    <w:p w14:paraId="3C145377">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景观系统规划</w:t>
      </w:r>
    </w:p>
    <w:p w14:paraId="136E180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规划形成“一轴三区一核多节点”的景观结构；</w:t>
      </w:r>
    </w:p>
    <w:p w14:paraId="7057E43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一轴：依托景区内部主路形成的徒步研学景观轴。</w:t>
      </w:r>
    </w:p>
    <w:p w14:paraId="47431F6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三区：巴卡民俗景观绿化区、云杉生态景观绿化区、岗巴康旅景观绿化区。</w:t>
      </w:r>
    </w:p>
    <w:p w14:paraId="30495AC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一核：自然景观绿化核。</w:t>
      </w:r>
    </w:p>
    <w:p w14:paraId="508C78F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多节点：岗云杉林、草湖、非物质文化遗产（波卓、曲艺说白、波央、竹编制作技艺等）、岗巴村、巴卡村、巴卡村民宿群、帕隆藏布、云杉王、山神石像、青冈林、喜德林卡、天象景观（草湖云雾、彩虹、星辰等）、岗云杉林徒步道、非遗体验馆、云杉秘境酒店、灵溪山居、云杉居。</w:t>
      </w:r>
    </w:p>
    <w:p w14:paraId="51C5672F">
      <w:pPr>
        <w:pStyle w:val="5"/>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绿化植物配置</w:t>
      </w:r>
    </w:p>
    <w:p w14:paraId="16AEA2B1">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1、巴卡民宿景观绿化区</w:t>
      </w:r>
    </w:p>
    <w:p w14:paraId="2BF2A62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以常绿乔木搭配地被种植为主，点缀花叶树种，丰富整体色彩。</w:t>
      </w:r>
    </w:p>
    <w:p w14:paraId="3D307AB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乔木：桃花、红豆杉、旱柳、桦木。</w:t>
      </w:r>
    </w:p>
    <w:p w14:paraId="03962390">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地被：格桑花、油菜花、西藏草药。</w:t>
      </w:r>
    </w:p>
    <w:p w14:paraId="5C86CA60">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2、岗巴康旅景观绿化区</w:t>
      </w:r>
    </w:p>
    <w:p w14:paraId="5E35D0C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以常绿乔木、灌木搭配地被种植为主，点缀花叶树种，丰富整体色彩。</w:t>
      </w:r>
    </w:p>
    <w:p w14:paraId="593D37A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乔木：桃花、西藏长叶松、冷杉、巨柏。</w:t>
      </w:r>
    </w:p>
    <w:p w14:paraId="3CF2282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灌木：樱花、高山杜鹃、山核桃。</w:t>
      </w:r>
    </w:p>
    <w:p w14:paraId="2A9AF83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地被：油菜花、西藏草药。</w:t>
      </w:r>
    </w:p>
    <w:p w14:paraId="575F962C">
      <w:pPr>
        <w:pStyle w:val="28"/>
        <w:tabs>
          <w:tab w:val="left" w:pos="840"/>
        </w:tabs>
        <w:spacing w:line="360" w:lineRule="auto"/>
        <w:ind w:firstLine="482" w:firstLineChars="200"/>
        <w:rPr>
          <w:rFonts w:hint="default" w:ascii="Times New Roman" w:hAnsi="Times New Roman" w:cs="Times New Roman"/>
          <w:b/>
          <w:bCs w:val="0"/>
          <w:color w:val="auto"/>
          <w:kern w:val="0"/>
          <w:sz w:val="24"/>
          <w:highlight w:val="none"/>
          <w:lang w:val="en-US" w:eastAsia="zh-CN"/>
        </w:rPr>
      </w:pPr>
      <w:r>
        <w:rPr>
          <w:rFonts w:hint="default" w:ascii="Times New Roman" w:hAnsi="Times New Roman" w:cs="Times New Roman"/>
          <w:b/>
          <w:bCs w:val="0"/>
          <w:color w:val="auto"/>
          <w:kern w:val="0"/>
          <w:sz w:val="24"/>
          <w:highlight w:val="none"/>
          <w:lang w:val="en-US" w:eastAsia="zh-CN"/>
        </w:rPr>
        <w:t>3、云杉生态景观绿化区</w:t>
      </w:r>
    </w:p>
    <w:p w14:paraId="0ACC097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eastAsia="zh-CN"/>
        </w:rPr>
      </w:pPr>
      <w:r>
        <w:rPr>
          <w:rFonts w:hint="default" w:ascii="Times New Roman" w:hAnsi="Times New Roman" w:cs="Times New Roman"/>
          <w:bCs/>
          <w:color w:val="auto"/>
          <w:kern w:val="0"/>
          <w:sz w:val="24"/>
          <w:highlight w:val="none"/>
          <w:lang w:eastAsia="zh-CN"/>
        </w:rPr>
        <w:t>将养木、灌木、地被等进行合理搭配，首先达到一个缓慢过渡的效果，具次相互间形成一定的对比，有利体闲观贵，创造复层绿化。</w:t>
      </w:r>
    </w:p>
    <w:p w14:paraId="46F608B7">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乔木：冷杉、云杉、高山栎、圆柏。</w:t>
      </w:r>
    </w:p>
    <w:p w14:paraId="6999716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灌木：沙棘、蔷薇、高山杜鹃。</w:t>
      </w:r>
    </w:p>
    <w:p w14:paraId="31E1B22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地被：格桑花、西藏鸢尾。</w:t>
      </w:r>
    </w:p>
    <w:p w14:paraId="460C406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植被绿化时严禁引入外来入侵物种。</w:t>
      </w:r>
    </w:p>
    <w:p w14:paraId="5A5C42EF">
      <w:pPr>
        <w:pStyle w:val="3"/>
        <w:spacing w:before="156" w:after="156"/>
        <w:rPr>
          <w:rFonts w:hint="default" w:ascii="Times New Roman" w:hAnsi="Times New Roman" w:cs="Times New Roman"/>
          <w:color w:val="auto"/>
          <w:highlight w:val="none"/>
        </w:rPr>
      </w:pPr>
      <w:bookmarkStart w:id="190" w:name="_Toc18404"/>
      <w:r>
        <w:rPr>
          <w:rFonts w:hint="default" w:ascii="Times New Roman" w:hAnsi="Times New Roman" w:cs="Times New Roman"/>
          <w:color w:val="auto"/>
          <w:highlight w:val="none"/>
        </w:rPr>
        <w:t>环境影响恢复补偿措施</w:t>
      </w:r>
      <w:bookmarkEnd w:id="190"/>
    </w:p>
    <w:p w14:paraId="2080A0FE">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p w14:paraId="01AD05C5">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5C74C1EF">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随着建设期的结束，对大气环境的影响随之消失。</w:t>
      </w:r>
    </w:p>
    <w:p w14:paraId="0640C51F">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6A332C75">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禁止在景区内建设排放大气污染物的工业企业，进一步降低规划实施对区域大气环境的影响。</w:t>
      </w:r>
    </w:p>
    <w:p w14:paraId="483D72CC">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w:t>
      </w:r>
    </w:p>
    <w:p w14:paraId="7869E455">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17FE5AD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随着建设期的结束，对地表水环境的影响随之消失。</w:t>
      </w:r>
    </w:p>
    <w:p w14:paraId="13EF2806">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49173DCA">
      <w:pPr>
        <w:pStyle w:val="545"/>
        <w:adjustRightInd/>
        <w:spacing w:line="360" w:lineRule="auto"/>
        <w:ind w:firstLine="512"/>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highlight w:val="none"/>
        </w:rPr>
        <w:t>规划区内所有的污水均处置达标后</w:t>
      </w:r>
      <w:r>
        <w:rPr>
          <w:rFonts w:hint="default" w:ascii="Times New Roman" w:hAnsi="Times New Roman" w:cs="Times New Roman"/>
          <w:color w:val="auto"/>
          <w:highlight w:val="none"/>
          <w:lang w:val="en-US" w:eastAsia="zh-CN"/>
        </w:rPr>
        <w:t>用作周边林草地、耕地施肥，不得外排</w:t>
      </w:r>
      <w:r>
        <w:rPr>
          <w:rFonts w:hint="default" w:ascii="Times New Roman" w:hAnsi="Times New Roman" w:cs="Times New Roman"/>
          <w:color w:val="auto"/>
          <w:highlight w:val="none"/>
        </w:rPr>
        <w:t>，不会对规划区地表水环境造成污染影响。</w:t>
      </w:r>
    </w:p>
    <w:p w14:paraId="1BAA3C76">
      <w:pPr>
        <w:pStyle w:val="4"/>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地下水环境</w:t>
      </w:r>
    </w:p>
    <w:p w14:paraId="652AB948">
      <w:pPr>
        <w:pStyle w:val="545"/>
        <w:spacing w:line="360" w:lineRule="auto"/>
        <w:rPr>
          <w:rFonts w:hint="default" w:ascii="Times New Roman" w:hAnsi="Times New Roman" w:cs="Times New Roman"/>
          <w:color w:val="auto"/>
          <w:spacing w:val="0"/>
          <w:kern w:val="24"/>
          <w:highlight w:val="none"/>
          <w:lang w:val="en-US" w:eastAsia="zh-CN"/>
        </w:rPr>
      </w:pPr>
      <w:r>
        <w:rPr>
          <w:rFonts w:hint="default" w:ascii="Times New Roman" w:hAnsi="Times New Roman" w:cs="Times New Roman"/>
          <w:color w:val="auto"/>
          <w:spacing w:val="0"/>
          <w:kern w:val="24"/>
          <w:highlight w:val="none"/>
          <w:lang w:val="en-US" w:eastAsia="zh-CN"/>
        </w:rPr>
        <w:t>规划区用水为山泉水，不涉及地下水的开采使用</w:t>
      </w:r>
      <w:r>
        <w:rPr>
          <w:rFonts w:hint="default" w:ascii="Times New Roman" w:hAnsi="Times New Roman" w:cs="Times New Roman"/>
          <w:color w:val="auto"/>
          <w:spacing w:val="0"/>
          <w:kern w:val="24"/>
          <w:highlight w:val="none"/>
          <w:lang w:eastAsia="zh-CN"/>
        </w:rPr>
        <w:t>。</w:t>
      </w:r>
      <w:r>
        <w:rPr>
          <w:rFonts w:hint="default" w:ascii="Times New Roman" w:hAnsi="Times New Roman" w:cs="Times New Roman"/>
          <w:color w:val="auto"/>
          <w:spacing w:val="0"/>
          <w:kern w:val="24"/>
          <w:highlight w:val="none"/>
          <w:lang w:val="en-US" w:eastAsia="zh-CN"/>
        </w:rPr>
        <w:t>严格落实分区防渗措施后，不会对区域地下水环境造成污染影响。</w:t>
      </w:r>
    </w:p>
    <w:p w14:paraId="6014A427">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p w14:paraId="12EA5A04">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2EC2E3E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随着建设期的结束，对声环境的影响随之消失。</w:t>
      </w:r>
    </w:p>
    <w:p w14:paraId="05AEE4D3">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49077C80">
      <w:pPr>
        <w:pStyle w:val="545"/>
        <w:adjustRightInd/>
        <w:spacing w:line="360" w:lineRule="auto"/>
        <w:jc w:val="both"/>
        <w:rPr>
          <w:rFonts w:hint="default" w:ascii="Times New Roman" w:hAnsi="Times New Roman" w:cs="Times New Roman"/>
          <w:color w:val="auto"/>
          <w:highlight w:val="none"/>
        </w:rPr>
      </w:pPr>
      <w:r>
        <w:rPr>
          <w:rFonts w:hint="default" w:ascii="Times New Roman" w:hAnsi="Times New Roman" w:cs="Times New Roman"/>
          <w:color w:val="auto"/>
          <w:spacing w:val="0"/>
          <w:kern w:val="24"/>
          <w:highlight w:val="none"/>
        </w:rPr>
        <w:t>在加强规划区的绿化措施后，可一定程度的减缓噪声的传播。</w:t>
      </w:r>
    </w:p>
    <w:p w14:paraId="3F4022A7">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p w14:paraId="1A7E2694">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规划建设期</w:t>
      </w:r>
    </w:p>
    <w:p w14:paraId="6FF6700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随着建设期的结束，将无新增固体废物产生。</w:t>
      </w:r>
    </w:p>
    <w:p w14:paraId="5C349A47">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规划实施后</w:t>
      </w:r>
    </w:p>
    <w:p w14:paraId="68ACA2C0">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所有垃圾均清运至规划区外妥善处置。</w:t>
      </w:r>
    </w:p>
    <w:p w14:paraId="5FCE610C">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w:t>
      </w:r>
    </w:p>
    <w:p w14:paraId="5E3B76B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对岗云杉林进行生态修复，核心是针对原始云杉林因旅游开发、人为干扰出现的生态破坏，开展拆除违建设施、自然恢复、人工辅助修复、管护提升的系统性工程，以恢复其原始森林生态系统结构与功能。</w:t>
      </w:r>
    </w:p>
    <w:p w14:paraId="417E10A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（1）主要受损因素</w:t>
      </w:r>
    </w:p>
    <w:p w14:paraId="32AA3A1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1）旅游开发违规：核心区/缓冲区违建（停车场、栈道、商铺、厕所等），破坏地表、土壤、植被与动物栖息地。</w:t>
      </w:r>
    </w:p>
    <w:p w14:paraId="18A634A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2）人为干扰：游客踩踏、垃圾污染、栈道切割生境、盗采林下资源（菌类、药材）。</w:t>
      </w:r>
    </w:p>
    <w:p w14:paraId="524A108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3）次生影响：局部水土流失、林窗退化、外来物种入侵风险、野生动物活动范围被压缩。</w:t>
      </w:r>
    </w:p>
    <w:p w14:paraId="55B29AB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（2）生态修复措施</w:t>
      </w:r>
    </w:p>
    <w:p w14:paraId="37617EF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1）违规设施拆除与清场（核心修复）</w:t>
      </w:r>
    </w:p>
    <w:p w14:paraId="7B2D6B7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①全面拆除核心区违建设施：销售长廊、片石停车场、11处标识标牌等。</w:t>
      </w:r>
    </w:p>
    <w:p w14:paraId="48B2084A">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②清理建筑垃圾、硬化路面、人工铺装，恢复地表自然形态。</w:t>
      </w:r>
    </w:p>
    <w:p w14:paraId="2C58381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③调整实验区合规设施（厕所、栈道、防洪堤）转为管护、生态宣教用途，不再用于商业旅游。</w:t>
      </w:r>
    </w:p>
    <w:p w14:paraId="72426D0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2）自然恢复和人工辅助修复</w:t>
      </w:r>
    </w:p>
    <w:p w14:paraId="4BB7180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①自然封育：核心区、缓冲区全面禁入、禁游、禁采，依靠森林自我修复能力恢复植被与群落。</w:t>
      </w:r>
    </w:p>
    <w:p w14:paraId="58D43F04">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②人工补植：</w:t>
      </w:r>
    </w:p>
    <w:p w14:paraId="7B62286B">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A、选用本土云杉（西藏云杉、林芝云杉）、冷杉、高山松等原生树种。</w:t>
      </w:r>
    </w:p>
    <w:p w14:paraId="67FD3DF8">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B、采用原生境育苗、带土球移栽，避免外来种，模拟自然林结构。</w:t>
      </w:r>
    </w:p>
    <w:p w14:paraId="1583FFC9">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③土壤与微生境修复：</w:t>
      </w:r>
    </w:p>
    <w:p w14:paraId="708EA81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A、回填腐殖土、保护苔藓层、减少地表压实。</w:t>
      </w:r>
    </w:p>
    <w:p w14:paraId="51966EB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B、修复林下枯落层，促进养分循环与保水。</w:t>
      </w:r>
    </w:p>
    <w:p w14:paraId="1A05EB6F">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④水土流失治理：</w:t>
      </w:r>
    </w:p>
    <w:p w14:paraId="65BED0B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A、坡地设置生态拦挡、原生草皮覆盖、自然排水沟恢复。</w:t>
      </w:r>
    </w:p>
    <w:p w14:paraId="1816C2B1">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B、沿帕隆藏布江岸修复护岸植被，减少冲刷。</w:t>
      </w:r>
    </w:p>
    <w:p w14:paraId="0F8CD4A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3）生物多样性保护与监测</w:t>
      </w:r>
    </w:p>
    <w:p w14:paraId="0385A01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①栖息地连通：拆除隔离栈道围栏，打通野生动物迁徙廊道。</w:t>
      </w:r>
    </w:p>
    <w:p w14:paraId="3351C47C">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②禁猎禁采：强化巡护，打击盗采、盗猎、非法采集林下资源。</w:t>
      </w:r>
    </w:p>
    <w:p w14:paraId="7927B172">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③科研监测：建立森林健康、水文、物种、土壤长期监测体系，评估修复成效。</w:t>
      </w:r>
    </w:p>
    <w:p w14:paraId="5CBC7F03">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4）管理与管护机制升级</w:t>
      </w:r>
    </w:p>
    <w:p w14:paraId="6FC045BD">
      <w:pPr>
        <w:pStyle w:val="28"/>
        <w:tabs>
          <w:tab w:val="left" w:pos="840"/>
        </w:tabs>
        <w:spacing w:line="360" w:lineRule="auto"/>
        <w:ind w:firstLine="480" w:firstLineChars="200"/>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①功能分区严格执行：核心区封闭保护、缓冲区限制活动、实验区生态旅游严控。</w:t>
      </w:r>
    </w:p>
    <w:p w14:paraId="5931BCB9">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bCs/>
          <w:color w:val="auto"/>
          <w:kern w:val="0"/>
          <w:sz w:val="24"/>
          <w:highlight w:val="none"/>
          <w:lang w:val="en-US" w:eastAsia="zh-CN"/>
        </w:rPr>
        <w:t>②智慧管护：监控、红外相机、无人机巡护、护林员网格化值守。</w:t>
      </w:r>
    </w:p>
    <w:p w14:paraId="1D6549B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随着规划区规划的绿化措施的落地，在加强养护后区域的生态环境能得到有效的改善。</w:t>
      </w:r>
    </w:p>
    <w:bookmarkEnd w:id="189"/>
    <w:p w14:paraId="267A2AD4">
      <w:pPr>
        <w:pStyle w:val="3"/>
        <w:spacing w:before="156" w:after="156"/>
        <w:rPr>
          <w:rFonts w:hint="default" w:ascii="Times New Roman" w:hAnsi="Times New Roman" w:cs="Times New Roman"/>
          <w:color w:val="auto"/>
          <w:highlight w:val="none"/>
        </w:rPr>
      </w:pPr>
      <w:bookmarkStart w:id="191" w:name="_Toc1911"/>
      <w:r>
        <w:rPr>
          <w:rFonts w:hint="default" w:ascii="Times New Roman" w:hAnsi="Times New Roman" w:cs="Times New Roman"/>
          <w:color w:val="auto"/>
          <w:highlight w:val="none"/>
        </w:rPr>
        <w:t>管控要求</w:t>
      </w:r>
      <w:bookmarkEnd w:id="191"/>
    </w:p>
    <w:p w14:paraId="37C9C150">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生态环境管理建议</w:t>
      </w:r>
    </w:p>
    <w:p w14:paraId="5209D9AD">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生态环境管理是生态环境主管部门依据国家和地方制定的有关自然资源与生态保护的法律、法规、条例、技术规范、行业标准等所进行的技术含量很高的行政管理工作。对旅游区的管理是为了在生态环境保护的前提下发展区域经济，以发展促进保护。如果生态管理不善，开发造成严重的生态破坏，从而使经济难以持续发展，旅游区建设不能成功。根据生态环境特点和旅游区定位，旅游区的生态管理提出以下建议：</w:t>
      </w:r>
    </w:p>
    <w:p w14:paraId="5EF0A3D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制定明确的管理目标：以保护自然资源和生物多样性、生态系统健康为出发点，以旅游发展和生态环境保护协调发展为根本目标。</w:t>
      </w:r>
    </w:p>
    <w:p w14:paraId="50CAD28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制定具体的管理指标：包括建设期不良生态影响的控制、生态恢复的措施、土地绿化的指标等。</w:t>
      </w:r>
    </w:p>
    <w:p w14:paraId="0FFAD02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编制旅游区生态管理办法：对于在建设期和运营期对生态环境造成破坏的依法进行处罚，并采取生态补偿措施。</w:t>
      </w:r>
    </w:p>
    <w:p w14:paraId="240FEC2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建立有效的管理机制：通过资源调查，确定重点保护的生物物种资源，建立资源环境数据库，建立监测系统和有利的管理机构、管理队伍。</w:t>
      </w:r>
    </w:p>
    <w:p w14:paraId="11E2EC9C">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空间管控要求</w:t>
      </w:r>
    </w:p>
    <w:p w14:paraId="499BD3B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1、空间管控原则</w:t>
      </w:r>
    </w:p>
    <w:p w14:paraId="7A170D4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（1）可持续发展原则。空间管制要满足可持续发展要求，要实现对资源的有效保护与合现利用，实现景区生态环境和旅游产业的协调、持续、稳定发展。</w:t>
      </w:r>
    </w:p>
    <w:p w14:paraId="6164E37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（2）保护优先原则。空间管制要以生态环境保护为总目标，要实现保护优先原则，即保护范围的尽量扩大和保护强度的尽量加深。</w:t>
      </w:r>
    </w:p>
    <w:p w14:paraId="7677062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（3）分类指导原则。即在总的空间管制要求下，要进一步的细化、深化，根据不同的管制目标采取不同的管制对策，从而实现有的放矢。</w:t>
      </w:r>
    </w:p>
    <w:p w14:paraId="4F33C94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（4）合理规模原则。生态环境保护占首位，但不能因为生态环境保护而限制旅游产业的发展；同时也不能一味地追求区域发展，而忽视对区域环境的保护。因此需要对不同类型区域的规模进行合理划分。</w:t>
      </w:r>
    </w:p>
    <w:p w14:paraId="47A68389">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lang w:val="en-US" w:eastAsia="zh-CN"/>
        </w:rPr>
        <w:t>2</w:t>
      </w:r>
      <w:r>
        <w:rPr>
          <w:rFonts w:hint="default" w:ascii="Times New Roman" w:hAnsi="Times New Roman" w:cs="Times New Roman"/>
          <w:color w:val="auto"/>
          <w:spacing w:val="0"/>
          <w:kern w:val="24"/>
          <w:highlight w:val="none"/>
        </w:rPr>
        <w:t>、建设控制和引导措施</w:t>
      </w:r>
    </w:p>
    <w:p w14:paraId="5A10E71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（1）景区内配套设施的建设用地选址要和最新的土地利用总体规划相衔接。</w:t>
      </w:r>
    </w:p>
    <w:p w14:paraId="557DA89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（2）景区内以旅游活动为主，可选择坡度在10%以下的用地建设与环境景观风貌相协调的旅游配套设施，禁止以开发为目的的建设行为。</w:t>
      </w:r>
    </w:p>
    <w:p w14:paraId="50BA20F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（3）集聚性、规模性的旅游服务设施用地可结合农村集体经营性建设用地进行集中建设。</w:t>
      </w:r>
    </w:p>
    <w:p w14:paraId="796818FE">
      <w:pPr>
        <w:pStyle w:val="545"/>
        <w:adjustRightInd/>
        <w:spacing w:line="360" w:lineRule="auto"/>
        <w:jc w:val="both"/>
        <w:rPr>
          <w:rFonts w:hint="default" w:ascii="Times New Roman" w:hAnsi="Times New Roman" w:eastAsia="宋体" w:cs="Times New Roman"/>
          <w:color w:val="auto"/>
          <w:spacing w:val="0"/>
          <w:kern w:val="24"/>
          <w:highlight w:val="none"/>
          <w:lang w:val="en-US" w:eastAsia="zh-CN"/>
        </w:rPr>
      </w:pPr>
      <w:r>
        <w:rPr>
          <w:rFonts w:hint="default" w:ascii="Times New Roman" w:hAnsi="Times New Roman" w:cs="Times New Roman"/>
          <w:color w:val="auto"/>
          <w:spacing w:val="0"/>
          <w:kern w:val="24"/>
          <w:highlight w:val="none"/>
          <w:lang w:eastAsia="zh-CN"/>
        </w:rPr>
        <w:t>（</w:t>
      </w:r>
      <w:r>
        <w:rPr>
          <w:rFonts w:hint="default" w:ascii="Times New Roman" w:hAnsi="Times New Roman" w:cs="Times New Roman"/>
          <w:color w:val="auto"/>
          <w:spacing w:val="0"/>
          <w:kern w:val="24"/>
          <w:highlight w:val="none"/>
          <w:lang w:val="en-US" w:eastAsia="zh-CN"/>
        </w:rPr>
        <w:t>4</w:t>
      </w:r>
      <w:r>
        <w:rPr>
          <w:rFonts w:hint="default" w:ascii="Times New Roman" w:hAnsi="Times New Roman" w:cs="Times New Roman"/>
          <w:color w:val="auto"/>
          <w:spacing w:val="0"/>
          <w:kern w:val="24"/>
          <w:highlight w:val="none"/>
          <w:lang w:eastAsia="zh-CN"/>
        </w:rPr>
        <w:t>）</w:t>
      </w:r>
      <w:r>
        <w:rPr>
          <w:rFonts w:hint="default" w:ascii="Times New Roman" w:hAnsi="Times New Roman" w:cs="Times New Roman"/>
          <w:color w:val="auto"/>
          <w:spacing w:val="0"/>
          <w:kern w:val="24"/>
          <w:highlight w:val="none"/>
          <w:lang w:val="en-US" w:eastAsia="zh-CN"/>
        </w:rPr>
        <w:t>在</w:t>
      </w:r>
      <w:r>
        <w:rPr>
          <w:rFonts w:hint="default" w:ascii="Times New Roman" w:hAnsi="Times New Roman" w:cs="Times New Roman"/>
          <w:color w:val="auto"/>
          <w:sz w:val="24"/>
          <w:highlight w:val="none"/>
          <w:lang w:eastAsia="zh-CN"/>
        </w:rPr>
        <w:t>雅鲁藏布大峡谷国家级自然保护区、西藏嘎朗国家湿地公园、生态保护红线</w:t>
      </w:r>
      <w:r>
        <w:rPr>
          <w:rFonts w:hint="default" w:ascii="Times New Roman" w:hAnsi="Times New Roman" w:cs="Times New Roman"/>
          <w:color w:val="auto"/>
          <w:sz w:val="24"/>
          <w:highlight w:val="none"/>
          <w:lang w:val="en-US" w:eastAsia="zh-CN"/>
        </w:rPr>
        <w:t>内</w:t>
      </w:r>
      <w:r>
        <w:rPr>
          <w:rFonts w:hint="default" w:ascii="Times New Roman" w:hAnsi="Times New Roman" w:cs="Times New Roman"/>
          <w:color w:val="auto"/>
          <w:spacing w:val="0"/>
          <w:kern w:val="24"/>
          <w:highlight w:val="none"/>
          <w:lang w:val="en-US" w:eastAsia="zh-CN"/>
        </w:rPr>
        <w:t>不得建设与</w:t>
      </w:r>
      <w:r>
        <w:rPr>
          <w:rFonts w:hint="default" w:ascii="Times New Roman" w:hAnsi="Times New Roman" w:cs="Times New Roman"/>
          <w:color w:val="auto"/>
          <w:sz w:val="24"/>
          <w:highlight w:val="none"/>
          <w:lang w:eastAsia="zh-CN"/>
        </w:rPr>
        <w:t>国家级自然保护区、国家湿地公园、生态保护红线</w:t>
      </w:r>
      <w:r>
        <w:rPr>
          <w:rFonts w:hint="default" w:ascii="Times New Roman" w:hAnsi="Times New Roman" w:cs="Times New Roman"/>
          <w:color w:val="auto"/>
          <w:sz w:val="24"/>
          <w:highlight w:val="none"/>
          <w:lang w:val="en-US" w:eastAsia="zh-CN"/>
        </w:rPr>
        <w:t>相关法律法规不符的项目。</w:t>
      </w:r>
    </w:p>
    <w:p w14:paraId="0F8EA734">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环境质量底线</w:t>
      </w:r>
    </w:p>
    <w:p w14:paraId="6EB12DB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（1）环境空气</w:t>
      </w:r>
    </w:p>
    <w:p w14:paraId="1E33855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严格控制景区大气污染物排放，区域大气环境质量稳定达到环境空气质量功能区划对应的《环境空气质量标准》（GB3095-20</w:t>
      </w:r>
      <w:r>
        <w:rPr>
          <w:rFonts w:hint="default" w:ascii="Times New Roman" w:hAnsi="Times New Roman" w:cs="Times New Roman"/>
          <w:color w:val="auto"/>
          <w:spacing w:val="0"/>
          <w:kern w:val="24"/>
          <w:highlight w:val="none"/>
          <w:lang w:val="en-US" w:eastAsia="zh-CN"/>
        </w:rPr>
        <w:t>26</w:t>
      </w:r>
      <w:r>
        <w:rPr>
          <w:rFonts w:hint="default" w:ascii="Times New Roman" w:hAnsi="Times New Roman" w:cs="Times New Roman"/>
          <w:color w:val="auto"/>
          <w:spacing w:val="0"/>
          <w:kern w:val="24"/>
          <w:highlight w:val="none"/>
        </w:rPr>
        <w:t>）一级标准要求。规划实施后，景区内的大气环境质量不因规划实施下降。</w:t>
      </w:r>
    </w:p>
    <w:p w14:paraId="398E6B5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（2）地表水环境</w:t>
      </w:r>
    </w:p>
    <w:p w14:paraId="27B8A63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严格控制景区污水收集，保护好区内水体水质，河流环境质量稳定达到《地表水环境质量标准》（GB3838-2002）</w:t>
      </w:r>
      <w:r>
        <w:rPr>
          <w:rFonts w:hint="default" w:ascii="Times New Roman" w:hAnsi="Times New Roman" w:eastAsia="宋体" w:cs="Times New Roman"/>
          <w:color w:val="auto"/>
          <w:spacing w:val="0"/>
          <w:kern w:val="24"/>
          <w:highlight w:val="none"/>
        </w:rPr>
        <w:t>Ⅱ</w:t>
      </w:r>
      <w:r>
        <w:rPr>
          <w:rFonts w:hint="default" w:ascii="Times New Roman" w:hAnsi="Times New Roman" w:cs="Times New Roman"/>
          <w:color w:val="auto"/>
          <w:spacing w:val="0"/>
          <w:kern w:val="24"/>
          <w:highlight w:val="none"/>
        </w:rPr>
        <w:t>类水质标准要求。规划实施后，景区内的地表水环境质量不因规划实施下降。</w:t>
      </w:r>
    </w:p>
    <w:p w14:paraId="71CCB1D7">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（3）地下水</w:t>
      </w:r>
    </w:p>
    <w:p w14:paraId="54CF719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严格防范景区污水的渗漏，污水收集设施按要求做好防渗，确保区内地下水水质稳定达到地下水功能区划对应的《地下水质量标准》（GB/T14848-2017）Ⅲ类标准。</w:t>
      </w:r>
    </w:p>
    <w:p w14:paraId="3545FB6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（4）声环境</w:t>
      </w:r>
    </w:p>
    <w:p w14:paraId="58C9C1A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加强景区的管理，控制游客旅游的社会噪声以及旅游设施的噪声，保证规划区内不同的功能区达到相应的声环境质量标准。</w:t>
      </w:r>
    </w:p>
    <w:p w14:paraId="4F1728D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（5）土壤环境</w:t>
      </w:r>
    </w:p>
    <w:p w14:paraId="4685AB2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严格控制景区内的项目建设，禁止工、矿业企业建设，防止废水、废气排放对土壤的污染，确保景区的土壤环境质量符合《土壤环境质量农用地土壤污染风险管控标准》（试行）（GB15618-2018）和《土壤环境质量建设用地土壤污染风险管控标准（试行）》（GB36600-2018）标准要求。</w:t>
      </w:r>
    </w:p>
    <w:p w14:paraId="1103A6C0">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（6）固体废物</w:t>
      </w:r>
    </w:p>
    <w:p w14:paraId="5420D45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保证景区内生活垃圾有效收集，定时清理；餐饮废油脂集中收集，交有资质单位处理；景区内居民、服务人员及游客生活垃圾执行《生活垃圾填埋场污染控制标准》（GB16889-2008）的相关要求。</w:t>
      </w:r>
    </w:p>
    <w:p w14:paraId="0A7ED71D">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资源利用上线</w:t>
      </w:r>
    </w:p>
    <w:p w14:paraId="3F0F2E4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（1）土地资源</w:t>
      </w:r>
    </w:p>
    <w:p w14:paraId="446F433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规划实施过程需控制各类旅游设施用地、交通工程用地等，对现有空闲地和建设过程破坏的区域进行植被恢复，工程建设尽量较少土地资源的占用。景区项目建设用地须符合相关土地利用规划。</w:t>
      </w:r>
    </w:p>
    <w:p w14:paraId="7B72849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（2）水资源</w:t>
      </w:r>
    </w:p>
    <w:p w14:paraId="7356BA5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鼓励和推广区域内居民和其他用水单位采取先进、有效的节水器具节约用水，如感应型节水龙头、节水型水嘴、节水型便器系统、节水型便器冲洗阀、节水型淋浴器等。民宿可在各个用水点，根据用水的要求和特点，使用相适应的节水设备。在景区公共卫生间安装感应型节水龙头，冲洗用的水管应在出水口加装水嘴，适当控制水流量，以减少水资源的浪费。</w:t>
      </w:r>
    </w:p>
    <w:p w14:paraId="6136F803">
      <w:pPr>
        <w:pStyle w:val="3"/>
        <w:spacing w:before="156" w:after="156"/>
        <w:rPr>
          <w:rFonts w:hint="default" w:ascii="Times New Roman" w:hAnsi="Times New Roman" w:cs="Times New Roman"/>
          <w:color w:val="auto"/>
          <w:highlight w:val="none"/>
        </w:rPr>
      </w:pPr>
      <w:bookmarkStart w:id="192" w:name="_Toc26101"/>
      <w:r>
        <w:rPr>
          <w:rFonts w:hint="default" w:ascii="Times New Roman" w:hAnsi="Times New Roman" w:cs="Times New Roman"/>
          <w:color w:val="auto"/>
          <w:highlight w:val="none"/>
        </w:rPr>
        <w:t>生态环境准入要求</w:t>
      </w:r>
      <w:bookmarkEnd w:id="192"/>
    </w:p>
    <w:p w14:paraId="14D580A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1、产业准入条件</w:t>
      </w:r>
    </w:p>
    <w:p w14:paraId="5DB56048">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建立严格的产业准入制度，规划区将明确禁止和限制建设的产业门类和空间区域，严格污染物排放总量控制、污染物排放标准和清洁生产等要求，形成产业结构、生态空间和总量控制“三位一体”的环境准入模式。明确禁止准入的产业、行业。凡列入负面清单的项目，规划主管部门不予批准，不予办理相关手续。</w:t>
      </w:r>
    </w:p>
    <w:p w14:paraId="123B8D4A">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对于进入景区的建设项目必须执行国家《产业结构调整指导目录（2024年本）》、《外商投资产业指导目录》、国土资源部及国家发展和改革委员会联合颁布的《自然资源要素支撑产业高质量发展指导目录（2024年本）》和西藏有关产业导向目录，符合景区确定的目标产业和配套产业，符合环境保护及生态旅游的有关要求。</w:t>
      </w:r>
    </w:p>
    <w:p w14:paraId="11A80F46">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（2）遵循低碳经济发展规律，引进节能产业，引入行业耗能应利用清洁能源。</w:t>
      </w:r>
    </w:p>
    <w:p w14:paraId="775EBD87">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执行规划环评与建设项目环评联动管理机制，不符合规划环评主导产业的建设项目严禁入驻，符合条件的建设项目须进行建设项目环境影响评价，满足相应环保要求，结论可行的条件下方可入驻。加强环境管理，杜绝生态破坏和污染严重的项目入内。</w:t>
      </w:r>
    </w:p>
    <w:p w14:paraId="0899E0B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2、生态环境准入清单</w:t>
      </w:r>
    </w:p>
    <w:p w14:paraId="124EFCA4">
      <w:pPr>
        <w:pStyle w:val="545"/>
        <w:adjustRightInd/>
        <w:spacing w:line="360" w:lineRule="auto"/>
        <w:jc w:val="both"/>
        <w:rPr>
          <w:rFonts w:hint="default" w:ascii="Times New Roman" w:hAnsi="Times New Roman" w:cs="Times New Roman"/>
          <w:color w:val="auto"/>
          <w:spacing w:val="0"/>
          <w:kern w:val="24"/>
          <w:highlight w:val="none"/>
        </w:rPr>
      </w:pPr>
      <w:bookmarkStart w:id="193" w:name="_Hlk85094917"/>
      <w:r>
        <w:rPr>
          <w:rFonts w:hint="default" w:ascii="Times New Roman" w:hAnsi="Times New Roman" w:cs="Times New Roman"/>
          <w:color w:val="auto"/>
          <w:spacing w:val="0"/>
          <w:kern w:val="24"/>
          <w:highlight w:val="none"/>
        </w:rPr>
        <w:t>本规划为景区旅游发展规划，为保障</w:t>
      </w:r>
      <w:bookmarkStart w:id="194" w:name="_Hlk140238850"/>
      <w:r>
        <w:rPr>
          <w:rFonts w:hint="default" w:ascii="Times New Roman" w:hAnsi="Times New Roman" w:cs="Times New Roman"/>
          <w:color w:val="auto"/>
          <w:spacing w:val="0"/>
          <w:kern w:val="24"/>
          <w:highlight w:val="none"/>
        </w:rPr>
        <w:t>规划区</w:t>
      </w:r>
      <w:bookmarkEnd w:id="194"/>
      <w:r>
        <w:rPr>
          <w:rFonts w:hint="default" w:ascii="Times New Roman" w:hAnsi="Times New Roman" w:cs="Times New Roman"/>
          <w:color w:val="auto"/>
          <w:spacing w:val="0"/>
          <w:kern w:val="24"/>
          <w:highlight w:val="none"/>
        </w:rPr>
        <w:t>旅游有序发展，本次评价结合规划区环境敏感区特征、区域资源环境承载能力以及环境保护目标及环境保护相关要求，提出景区生态环境准入清单见表7.3-1。</w:t>
      </w:r>
    </w:p>
    <w:p w14:paraId="7B3ED479">
      <w:pPr>
        <w:pStyle w:val="28"/>
        <w:tabs>
          <w:tab w:val="left" w:pos="840"/>
        </w:tabs>
        <w:spacing w:line="360" w:lineRule="auto"/>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Cs w:val="21"/>
          <w:highlight w:val="none"/>
        </w:rPr>
        <w:t>表7.3-1 规划区生态环境准入清单</w:t>
      </w:r>
    </w:p>
    <w:tbl>
      <w:tblPr>
        <w:tblStyle w:val="59"/>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75"/>
        <w:gridCol w:w="7088"/>
      </w:tblGrid>
      <w:tr w14:paraId="2E81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Align w:val="center"/>
          </w:tcPr>
          <w:p w14:paraId="346A2F4D">
            <w:pPr>
              <w:pStyle w:val="722"/>
              <w:rPr>
                <w:rFonts w:hint="default" w:ascii="Times New Roman" w:hAnsi="Times New Roman" w:cs="Times New Roman"/>
                <w:color w:val="auto"/>
                <w:highlight w:val="none"/>
              </w:rPr>
            </w:pPr>
            <w:bookmarkStart w:id="195" w:name="_Hlk140238925"/>
            <w:r>
              <w:rPr>
                <w:rFonts w:hint="default" w:ascii="Times New Roman" w:hAnsi="Times New Roman" w:cs="Times New Roman"/>
                <w:color w:val="auto"/>
                <w:highlight w:val="none"/>
              </w:rPr>
              <w:t>清单类型</w:t>
            </w:r>
          </w:p>
        </w:tc>
        <w:tc>
          <w:tcPr>
            <w:tcW w:w="8363" w:type="dxa"/>
            <w:gridSpan w:val="2"/>
            <w:vAlign w:val="center"/>
          </w:tcPr>
          <w:p w14:paraId="68A574DD">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准入内容</w:t>
            </w:r>
          </w:p>
        </w:tc>
      </w:tr>
      <w:tr w14:paraId="4E7B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Merge w:val="restart"/>
            <w:vAlign w:val="center"/>
          </w:tcPr>
          <w:p w14:paraId="2A7FA508">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空间布局约束</w:t>
            </w:r>
          </w:p>
        </w:tc>
        <w:tc>
          <w:tcPr>
            <w:tcW w:w="1275" w:type="dxa"/>
            <w:vAlign w:val="center"/>
          </w:tcPr>
          <w:p w14:paraId="37E21EEB">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雅鲁藏布大峡谷国家级自然保护区</w:t>
            </w:r>
          </w:p>
        </w:tc>
        <w:tc>
          <w:tcPr>
            <w:tcW w:w="7088" w:type="dxa"/>
            <w:vAlign w:val="center"/>
          </w:tcPr>
          <w:p w14:paraId="78C8E812">
            <w:pPr>
              <w:pStyle w:val="72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严格执行《中华人民共和国自然保护区条例》（2026年）等</w:t>
            </w:r>
          </w:p>
        </w:tc>
      </w:tr>
      <w:tr w14:paraId="4BDA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Merge w:val="continue"/>
            <w:vAlign w:val="center"/>
          </w:tcPr>
          <w:p w14:paraId="0DAFEAE5">
            <w:pPr>
              <w:pStyle w:val="722"/>
              <w:rPr>
                <w:rFonts w:hint="default" w:ascii="Times New Roman" w:hAnsi="Times New Roman" w:cs="Times New Roman"/>
                <w:color w:val="auto"/>
                <w:highlight w:val="none"/>
              </w:rPr>
            </w:pPr>
          </w:p>
        </w:tc>
        <w:tc>
          <w:tcPr>
            <w:tcW w:w="1275" w:type="dxa"/>
            <w:vAlign w:val="center"/>
          </w:tcPr>
          <w:p w14:paraId="41429CA6">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西藏嘎朗国家湿地公园</w:t>
            </w:r>
          </w:p>
        </w:tc>
        <w:tc>
          <w:tcPr>
            <w:tcW w:w="7088" w:type="dxa"/>
            <w:vAlign w:val="center"/>
          </w:tcPr>
          <w:p w14:paraId="72F6A806">
            <w:pPr>
              <w:pStyle w:val="72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严格执行</w:t>
            </w:r>
            <w:r>
              <w:rPr>
                <w:rFonts w:hint="default" w:ascii="Times New Roman" w:hAnsi="Times New Roman" w:cs="Times New Roman"/>
                <w:color w:val="auto"/>
                <w:szCs w:val="21"/>
                <w:highlight w:val="none"/>
              </w:rPr>
              <w:t>《国家湿地公园管理办法》</w:t>
            </w:r>
            <w:r>
              <w:rPr>
                <w:rFonts w:hint="default" w:ascii="Times New Roman" w:hAnsi="Times New Roman" w:cs="Times New Roman"/>
                <w:color w:val="auto"/>
                <w:szCs w:val="21"/>
                <w:highlight w:val="none"/>
                <w:lang w:eastAsia="zh-CN"/>
              </w:rPr>
              <w:t>（林湿规〔2022〕3号）</w:t>
            </w:r>
            <w:r>
              <w:rPr>
                <w:rFonts w:hint="default" w:ascii="Times New Roman" w:hAnsi="Times New Roman" w:cs="Times New Roman"/>
                <w:color w:val="auto"/>
                <w:highlight w:val="none"/>
              </w:rPr>
              <w:t>等</w:t>
            </w:r>
          </w:p>
        </w:tc>
      </w:tr>
      <w:tr w14:paraId="7CFB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Merge w:val="continue"/>
            <w:vAlign w:val="center"/>
          </w:tcPr>
          <w:p w14:paraId="22464FAE">
            <w:pPr>
              <w:pStyle w:val="722"/>
              <w:rPr>
                <w:rFonts w:hint="default" w:ascii="Times New Roman" w:hAnsi="Times New Roman" w:cs="Times New Roman"/>
                <w:color w:val="auto"/>
                <w:highlight w:val="none"/>
              </w:rPr>
            </w:pPr>
          </w:p>
        </w:tc>
        <w:tc>
          <w:tcPr>
            <w:tcW w:w="1275" w:type="dxa"/>
            <w:vAlign w:val="center"/>
          </w:tcPr>
          <w:p w14:paraId="5A1941B6">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生态保护红线</w:t>
            </w:r>
          </w:p>
        </w:tc>
        <w:tc>
          <w:tcPr>
            <w:tcW w:w="7088" w:type="dxa"/>
            <w:vAlign w:val="center"/>
          </w:tcPr>
          <w:p w14:paraId="6D9DFBCD">
            <w:pPr>
              <w:pStyle w:val="72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严格执行《自然资源部 生态环境部 国家林业和草原局关于加强生态保护红线管理的通知》（自然资发〔2022〕142号）、《生态保护红线生态环境监督办法（试行）》（国环规生态〔2022〕2号）等</w:t>
            </w:r>
          </w:p>
        </w:tc>
      </w:tr>
      <w:tr w14:paraId="60F7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Merge w:val="continue"/>
            <w:vAlign w:val="center"/>
          </w:tcPr>
          <w:p w14:paraId="3C03A007">
            <w:pPr>
              <w:pStyle w:val="722"/>
              <w:rPr>
                <w:rFonts w:hint="default" w:ascii="Times New Roman" w:hAnsi="Times New Roman" w:cs="Times New Roman"/>
                <w:color w:val="auto"/>
                <w:highlight w:val="none"/>
              </w:rPr>
            </w:pPr>
          </w:p>
        </w:tc>
        <w:tc>
          <w:tcPr>
            <w:tcW w:w="1275" w:type="dxa"/>
            <w:vAlign w:val="center"/>
          </w:tcPr>
          <w:p w14:paraId="6286F6B2">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水环境重点管控单元</w:t>
            </w:r>
          </w:p>
        </w:tc>
        <w:tc>
          <w:tcPr>
            <w:tcW w:w="7088" w:type="dxa"/>
            <w:vAlign w:val="center"/>
          </w:tcPr>
          <w:p w14:paraId="6EB2EB3E">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规划区禁止引入废水排放量大、组分复杂、废水处理后难回用的旅游项目</w:t>
            </w:r>
          </w:p>
        </w:tc>
      </w:tr>
      <w:tr w14:paraId="1D44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Merge w:val="continue"/>
            <w:vAlign w:val="center"/>
          </w:tcPr>
          <w:p w14:paraId="18FD6D52">
            <w:pPr>
              <w:pStyle w:val="722"/>
              <w:rPr>
                <w:rFonts w:hint="default" w:ascii="Times New Roman" w:hAnsi="Times New Roman" w:cs="Times New Roman"/>
                <w:color w:val="auto"/>
                <w:highlight w:val="none"/>
              </w:rPr>
            </w:pPr>
          </w:p>
        </w:tc>
        <w:tc>
          <w:tcPr>
            <w:tcW w:w="8363" w:type="dxa"/>
            <w:gridSpan w:val="2"/>
            <w:vAlign w:val="center"/>
          </w:tcPr>
          <w:p w14:paraId="4D57AC5E">
            <w:pPr>
              <w:pStyle w:val="72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1、禁止引入工业项目，项目用地性质应符合本次规划；</w:t>
            </w:r>
          </w:p>
          <w:p w14:paraId="377C7A3A">
            <w:pPr>
              <w:pStyle w:val="72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2、禁止建设国家《产业结构调整指导目录（2024年本）》等涵盖的淘汰类、限制类项目；</w:t>
            </w:r>
          </w:p>
          <w:p w14:paraId="3D69C203">
            <w:pPr>
              <w:pStyle w:val="72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3、除了符合规划与景观协调的项目外，其余项目应严格控制</w:t>
            </w:r>
          </w:p>
        </w:tc>
      </w:tr>
      <w:tr w14:paraId="3E91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Merge w:val="restart"/>
            <w:vAlign w:val="center"/>
          </w:tcPr>
          <w:p w14:paraId="70238611">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污染物排放管控</w:t>
            </w:r>
          </w:p>
        </w:tc>
        <w:tc>
          <w:tcPr>
            <w:tcW w:w="1275" w:type="dxa"/>
            <w:vAlign w:val="center"/>
          </w:tcPr>
          <w:p w14:paraId="1DDB1B5C">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tc>
        <w:tc>
          <w:tcPr>
            <w:tcW w:w="7088" w:type="dxa"/>
            <w:vAlign w:val="center"/>
          </w:tcPr>
          <w:p w14:paraId="79B56286">
            <w:pPr>
              <w:pStyle w:val="72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大气为达标区，规划实施过程中景区内采用清洁能源电能、太阳能或液化石油气；景区内采用步行或</w:t>
            </w:r>
            <w:r>
              <w:rPr>
                <w:rFonts w:hint="default" w:ascii="Times New Roman" w:hAnsi="Times New Roman" w:cs="Times New Roman"/>
                <w:color w:val="auto"/>
                <w:highlight w:val="none"/>
                <w:lang w:val="en-US" w:eastAsia="zh-CN"/>
              </w:rPr>
              <w:t>观光车</w:t>
            </w:r>
            <w:r>
              <w:rPr>
                <w:rFonts w:hint="default" w:ascii="Times New Roman" w:hAnsi="Times New Roman" w:cs="Times New Roman"/>
                <w:color w:val="auto"/>
                <w:highlight w:val="none"/>
              </w:rPr>
              <w:t>的交通方式降低汽车尾气的排放；景区内餐饮服务区应安装油烟净化装置确保油烟达标排放</w:t>
            </w:r>
          </w:p>
        </w:tc>
      </w:tr>
      <w:tr w14:paraId="12EC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Merge w:val="continue"/>
            <w:vAlign w:val="center"/>
          </w:tcPr>
          <w:p w14:paraId="73E0DD70">
            <w:pPr>
              <w:pStyle w:val="722"/>
              <w:rPr>
                <w:rFonts w:hint="default" w:ascii="Times New Roman" w:hAnsi="Times New Roman" w:cs="Times New Roman"/>
                <w:color w:val="auto"/>
                <w:highlight w:val="none"/>
              </w:rPr>
            </w:pPr>
          </w:p>
        </w:tc>
        <w:tc>
          <w:tcPr>
            <w:tcW w:w="1275" w:type="dxa"/>
            <w:vAlign w:val="center"/>
          </w:tcPr>
          <w:p w14:paraId="149C0455">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w:t>
            </w:r>
          </w:p>
        </w:tc>
        <w:tc>
          <w:tcPr>
            <w:tcW w:w="7088" w:type="dxa"/>
            <w:vAlign w:val="center"/>
          </w:tcPr>
          <w:p w14:paraId="405EE10F">
            <w:pPr>
              <w:pStyle w:val="722"/>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水环境达标，严格限制景区内建设影响水域功能的项目；生活污水全部进入</w:t>
            </w:r>
            <w:r>
              <w:rPr>
                <w:rFonts w:hint="default" w:ascii="Times New Roman" w:hAnsi="Times New Roman" w:cs="Times New Roman"/>
                <w:color w:val="auto"/>
                <w:highlight w:val="none"/>
                <w:lang w:val="en-US" w:eastAsia="zh-CN"/>
              </w:rPr>
              <w:t>一体化污水处理设施处理达标后用作周边林草地、耕地施肥，不得外排</w:t>
            </w:r>
          </w:p>
        </w:tc>
      </w:tr>
      <w:tr w14:paraId="78E8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Merge w:val="continue"/>
            <w:vAlign w:val="center"/>
          </w:tcPr>
          <w:p w14:paraId="21B7D423">
            <w:pPr>
              <w:pStyle w:val="722"/>
              <w:rPr>
                <w:rFonts w:hint="default" w:ascii="Times New Roman" w:hAnsi="Times New Roman" w:cs="Times New Roman"/>
                <w:color w:val="auto"/>
                <w:highlight w:val="none"/>
              </w:rPr>
            </w:pPr>
          </w:p>
        </w:tc>
        <w:tc>
          <w:tcPr>
            <w:tcW w:w="8363" w:type="dxa"/>
            <w:gridSpan w:val="2"/>
            <w:vAlign w:val="center"/>
          </w:tcPr>
          <w:p w14:paraId="24520075">
            <w:pPr>
              <w:pStyle w:val="72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污染物排放满足对应的环境功能区划要求</w:t>
            </w:r>
          </w:p>
        </w:tc>
      </w:tr>
      <w:tr w14:paraId="4405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Merge w:val="restart"/>
            <w:vAlign w:val="center"/>
          </w:tcPr>
          <w:p w14:paraId="042EB15F">
            <w:pPr>
              <w:pStyle w:val="722"/>
              <w:rPr>
                <w:rFonts w:hint="default" w:ascii="Times New Roman" w:hAnsi="Times New Roman" w:cs="Times New Roman"/>
                <w:color w:val="auto"/>
                <w:highlight w:val="none"/>
              </w:rPr>
            </w:pPr>
            <w:r>
              <w:rPr>
                <w:rFonts w:hint="default" w:ascii="Times New Roman" w:hAnsi="Times New Roman" w:cs="Times New Roman"/>
                <w:color w:val="auto"/>
                <w:highlight w:val="none"/>
              </w:rPr>
              <w:t>资源开发要求</w:t>
            </w:r>
          </w:p>
        </w:tc>
        <w:tc>
          <w:tcPr>
            <w:tcW w:w="8363" w:type="dxa"/>
            <w:gridSpan w:val="2"/>
            <w:vAlign w:val="center"/>
          </w:tcPr>
          <w:p w14:paraId="0E573E7D">
            <w:pPr>
              <w:pStyle w:val="72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单位投资强度的用地指标必须达到国家相关政策、标准的要求</w:t>
            </w:r>
          </w:p>
        </w:tc>
      </w:tr>
      <w:tr w14:paraId="49C7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Merge w:val="continue"/>
            <w:vAlign w:val="center"/>
          </w:tcPr>
          <w:p w14:paraId="0F9D7E56">
            <w:pPr>
              <w:pStyle w:val="722"/>
              <w:rPr>
                <w:rFonts w:hint="default" w:ascii="Times New Roman" w:hAnsi="Times New Roman" w:cs="Times New Roman"/>
                <w:color w:val="auto"/>
                <w:highlight w:val="none"/>
              </w:rPr>
            </w:pPr>
          </w:p>
        </w:tc>
        <w:tc>
          <w:tcPr>
            <w:tcW w:w="8363" w:type="dxa"/>
            <w:gridSpan w:val="2"/>
            <w:vAlign w:val="center"/>
          </w:tcPr>
          <w:p w14:paraId="28045899">
            <w:pPr>
              <w:pStyle w:val="722"/>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严格控制规划区内民宿、餐饮等用水标准和用水总量；推进水资源节约利用和循环利用，推广中水回用；推行长效节水管理机制，民宿、商业等设施和场所采用节水器具</w:t>
            </w:r>
          </w:p>
        </w:tc>
      </w:tr>
      <w:bookmarkEnd w:id="193"/>
      <w:bookmarkEnd w:id="195"/>
    </w:tbl>
    <w:p w14:paraId="0DDC715C">
      <w:pPr>
        <w:rPr>
          <w:rFonts w:hint="default" w:ascii="Times New Roman" w:hAnsi="Times New Roman" w:cs="Times New Roman"/>
          <w:color w:val="auto"/>
          <w:highlight w:val="none"/>
        </w:rPr>
      </w:pPr>
    </w:p>
    <w:p w14:paraId="5CF5900A">
      <w:pPr>
        <w:rPr>
          <w:rFonts w:hint="default" w:ascii="Times New Roman" w:hAnsi="Times New Roman" w:cs="Times New Roman"/>
          <w:color w:val="auto"/>
          <w:highlight w:val="none"/>
          <w:lang w:val="zh-CN"/>
        </w:rPr>
      </w:pPr>
    </w:p>
    <w:p w14:paraId="53A3C39F">
      <w:pPr>
        <w:pStyle w:val="2"/>
        <w:spacing w:before="312" w:after="312"/>
        <w:rPr>
          <w:rFonts w:hint="default" w:ascii="Times New Roman" w:hAnsi="Times New Roman" w:cs="Times New Roman"/>
          <w:color w:val="auto"/>
          <w:highlight w:val="none"/>
        </w:rPr>
      </w:pPr>
      <w:bookmarkStart w:id="196" w:name="_Toc29194"/>
      <w:r>
        <w:rPr>
          <w:rFonts w:hint="default" w:ascii="Times New Roman" w:hAnsi="Times New Roman" w:cs="Times New Roman"/>
          <w:color w:val="auto"/>
          <w:highlight w:val="none"/>
        </w:rPr>
        <w:t>规划所包含建设项目环评要求</w:t>
      </w:r>
      <w:bookmarkEnd w:id="196"/>
    </w:p>
    <w:p w14:paraId="4C948B7E">
      <w:pPr>
        <w:pStyle w:val="3"/>
        <w:spacing w:before="156" w:after="156"/>
        <w:rPr>
          <w:rFonts w:hint="default" w:ascii="Times New Roman" w:hAnsi="Times New Roman" w:cs="Times New Roman"/>
          <w:color w:val="auto"/>
          <w:highlight w:val="none"/>
        </w:rPr>
      </w:pPr>
      <w:bookmarkStart w:id="197" w:name="_Toc71388175"/>
      <w:bookmarkStart w:id="198" w:name="_Toc6544"/>
      <w:r>
        <w:rPr>
          <w:rFonts w:hint="default" w:ascii="Times New Roman" w:hAnsi="Times New Roman" w:cs="Times New Roman"/>
          <w:color w:val="auto"/>
          <w:highlight w:val="none"/>
        </w:rPr>
        <w:t>建设项目环评基本要求</w:t>
      </w:r>
      <w:bookmarkEnd w:id="197"/>
      <w:bookmarkEnd w:id="198"/>
    </w:p>
    <w:p w14:paraId="79B84DB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环境影响报告书经审查通过并取得批复后，依据《中华人民共和国环境影响评价法》、《规划环境影响评价条例》、《建设项目环境影响评价分类管理名录》等有关规定，对规划下一层次的建设项目应依法办理环保手续，进行环境影响评价，在项目施工和运行过程中应加强对生态环境和自然资源的保护，加强规划景区内环保基础设施建设和污染防治工作，控制和治理景区内环境污染。</w:t>
      </w:r>
    </w:p>
    <w:p w14:paraId="2E8A69B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（1）规划下一层次建设项目，应严格遵守</w:t>
      </w:r>
      <w:r>
        <w:rPr>
          <w:rFonts w:hint="default" w:ascii="Times New Roman" w:hAnsi="Times New Roman" w:cs="Times New Roman"/>
          <w:color w:val="auto"/>
          <w:sz w:val="24"/>
          <w:highlight w:val="none"/>
          <w:lang w:val="en-US" w:eastAsia="zh-CN"/>
        </w:rPr>
        <w:t>自然保护区、国家湿地公园</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生态保护红线的要求。</w:t>
      </w:r>
    </w:p>
    <w:p w14:paraId="0F06F55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（2）对于建设活动造成重大生态破坏的，要暂停审批项目所在区域内建设项目环境影响评价文件，并依法追究相关单位和人员的责任。</w:t>
      </w:r>
    </w:p>
    <w:p w14:paraId="18FECC3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（3）原则上未列入本规划的建设项目，不得建设实施。</w:t>
      </w:r>
    </w:p>
    <w:p w14:paraId="01EE44D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项目环评应以本规划环评报告提出的资源承载力、环境目标影响减缓与防治污染的对策等内容为基础，根据专家评审意见及环境保护管理部门审批意见，结合环境状况与项目设计情况，重点分析预测项目建设对生态环境、大气环境、地表水环境、地下水环境等的影响，落实污染防治和生态环境保护的各项措施等。</w:t>
      </w:r>
    </w:p>
    <w:p w14:paraId="2CD479B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（5）对于具体建设项目，如果项目的布设与规划所提出的方案一致或严格参考了规划环评提出的建议，在项目环评中可简要分析与其他规划或法律法规的相容性。</w:t>
      </w:r>
    </w:p>
    <w:p w14:paraId="6E4D905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（6）规划环评只是针对</w:t>
      </w:r>
      <w:r>
        <w:rPr>
          <w:rFonts w:hint="default" w:ascii="Times New Roman" w:hAnsi="Times New Roman" w:cs="Times New Roman"/>
          <w:color w:val="auto"/>
          <w:sz w:val="24"/>
          <w:highlight w:val="none"/>
          <w:lang w:eastAsia="zh-CN"/>
        </w:rPr>
        <w:t>岗云杉林景区</w:t>
      </w:r>
      <w:r>
        <w:rPr>
          <w:rFonts w:hint="default" w:ascii="Times New Roman" w:hAnsi="Times New Roman" w:cs="Times New Roman"/>
          <w:color w:val="auto"/>
          <w:sz w:val="24"/>
          <w:highlight w:val="none"/>
        </w:rPr>
        <w:t>旅游控制性详细规划，预测评价其实施所产生的环境影响，对具体敏感点产生的影响没有进行量化分析。项目环评时要加强对项目评价范围内生态环境敏感点的预测评价，提出细化的避让和环保措施，并进行经济技术评价和环境效应分析。</w:t>
      </w:r>
    </w:p>
    <w:p w14:paraId="30A7089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（7）对于本次规划环评识别出的可能影响到环境敏感区的项目，其环境影响评价工作应及早介入，加强与规划环评联动，据实提出可行的减缓措施和建议。</w:t>
      </w:r>
    </w:p>
    <w:p w14:paraId="13013823">
      <w:pPr>
        <w:pStyle w:val="3"/>
        <w:spacing w:before="156" w:after="156"/>
        <w:rPr>
          <w:rFonts w:hint="default" w:ascii="Times New Roman" w:hAnsi="Times New Roman" w:cs="Times New Roman"/>
          <w:color w:val="auto"/>
          <w:highlight w:val="none"/>
        </w:rPr>
      </w:pPr>
      <w:bookmarkStart w:id="199" w:name="_Toc71388176"/>
      <w:bookmarkStart w:id="200" w:name="_Toc36557488"/>
      <w:bookmarkStart w:id="201" w:name="_Toc14427"/>
      <w:r>
        <w:rPr>
          <w:rFonts w:hint="default" w:ascii="Times New Roman" w:hAnsi="Times New Roman" w:cs="Times New Roman"/>
          <w:color w:val="auto"/>
          <w:highlight w:val="none"/>
        </w:rPr>
        <w:t>建设项目环评重点内容</w:t>
      </w:r>
      <w:bookmarkEnd w:id="199"/>
      <w:bookmarkEnd w:id="200"/>
      <w:bookmarkEnd w:id="201"/>
    </w:p>
    <w:p w14:paraId="30D361C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对照《建设项目环境影响评价分类管理名录》，</w:t>
      </w:r>
      <w:r>
        <w:rPr>
          <w:rFonts w:hint="default" w:ascii="Times New Roman" w:hAnsi="Times New Roman" w:cs="Times New Roman"/>
          <w:color w:val="auto"/>
          <w:sz w:val="24"/>
          <w:highlight w:val="none"/>
          <w:lang w:eastAsia="zh-CN"/>
        </w:rPr>
        <w:t>岗云杉林景区</w:t>
      </w:r>
      <w:r>
        <w:rPr>
          <w:rFonts w:hint="default" w:ascii="Times New Roman" w:hAnsi="Times New Roman" w:cs="Times New Roman"/>
          <w:color w:val="auto"/>
          <w:sz w:val="24"/>
          <w:highlight w:val="none"/>
        </w:rPr>
        <w:t>旅游控制性详细规划中所包含的建设项目中，无需要编制环境影响报告书和报告表项目，住宿、餐饮服务类等项目需填报环境影响登记表。填报环境影响登记表的项目，填报的重点内容为项目位置、规模、水环境影响及污染防治措施、废气环境影响及污染防治措施、固体废物环境影响及处理处置措施等。</w:t>
      </w:r>
    </w:p>
    <w:p w14:paraId="385B82B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鉴于规划包含项目环评等级较低，以登记表居多，对具体项目建设及管理提出以下要求：</w:t>
      </w:r>
    </w:p>
    <w:p w14:paraId="5D8DA66D">
      <w:pPr>
        <w:pStyle w:val="708"/>
        <w:tabs>
          <w:tab w:val="left" w:pos="0"/>
          <w:tab w:val="left" w:pos="426"/>
          <w:tab w:val="left" w:pos="851"/>
          <w:tab w:val="left" w:pos="993"/>
        </w:tabs>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（1）污水管线采用重量轻、排水阻力小、抗压强度高、渗透系数小、使用寿命长的高密度聚乙烯（HDPE）双壁波纹管，并保证排放污水的pH在6~9范围内，减小污水对管道</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一体化污水处理设施</w:t>
      </w:r>
      <w:r>
        <w:rPr>
          <w:rFonts w:hint="default" w:ascii="Times New Roman" w:hAnsi="Times New Roman" w:cs="Times New Roman"/>
          <w:color w:val="auto"/>
          <w:highlight w:val="none"/>
        </w:rPr>
        <w:t>的腐蚀作用，消除管道</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一体化污水处理设施</w:t>
      </w:r>
      <w:r>
        <w:rPr>
          <w:rFonts w:hint="default" w:ascii="Times New Roman" w:hAnsi="Times New Roman" w:cs="Times New Roman"/>
          <w:color w:val="auto"/>
          <w:highlight w:val="none"/>
        </w:rPr>
        <w:t>腐蚀导致的污水渗漏的环境风险。排污管道</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一体化污水处理站</w:t>
      </w:r>
      <w:r>
        <w:rPr>
          <w:rFonts w:hint="default" w:ascii="Times New Roman" w:hAnsi="Times New Roman" w:cs="Times New Roman"/>
          <w:color w:val="auto"/>
          <w:highlight w:val="none"/>
        </w:rPr>
        <w:t>由专人管理，定期检查，最大程度上杜绝跑、冒、滴、漏现象。</w:t>
      </w:r>
    </w:p>
    <w:p w14:paraId="2F95F3E6">
      <w:pPr>
        <w:pStyle w:val="708"/>
        <w:tabs>
          <w:tab w:val="left" w:pos="0"/>
          <w:tab w:val="left" w:pos="426"/>
          <w:tab w:val="left" w:pos="851"/>
          <w:tab w:val="left" w:pos="993"/>
        </w:tabs>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（2）景区产生的生活垃圾采用密封垃圾桶妥善储存，并做到日产日清，垃圾桶底部采用水泥等防渗措施。</w:t>
      </w:r>
    </w:p>
    <w:p w14:paraId="26BA87B0">
      <w:pPr>
        <w:pStyle w:val="3"/>
        <w:spacing w:before="156" w:after="156"/>
        <w:rPr>
          <w:rFonts w:hint="default" w:ascii="Times New Roman" w:hAnsi="Times New Roman" w:cs="Times New Roman"/>
          <w:color w:val="auto"/>
          <w:highlight w:val="none"/>
        </w:rPr>
      </w:pPr>
      <w:bookmarkStart w:id="202" w:name="_Toc29139"/>
      <w:bookmarkStart w:id="203" w:name="_Toc36557489"/>
      <w:bookmarkStart w:id="204" w:name="_Toc71388177"/>
      <w:r>
        <w:rPr>
          <w:rFonts w:hint="default" w:ascii="Times New Roman" w:hAnsi="Times New Roman" w:cs="Times New Roman"/>
          <w:color w:val="auto"/>
          <w:highlight w:val="none"/>
        </w:rPr>
        <w:t>建设项目环评简化建议</w:t>
      </w:r>
      <w:bookmarkEnd w:id="202"/>
      <w:bookmarkEnd w:id="203"/>
      <w:bookmarkEnd w:id="204"/>
    </w:p>
    <w:p w14:paraId="5CF4293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符合本次规划环评环境管控要求和生态环境准入清单的建设项目，应将本次规划环评结论作为重要依据。为避免重复评价，项目环评文件可按照规划环评的意见进行简化。在本规划环境影响报告书审查后，规划实施过程中，列入规划环评中的重点项目，在具体环评工作中可简化的内容主要包括如下几点：</w:t>
      </w:r>
    </w:p>
    <w:p w14:paraId="1DDD878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（1）区域环境现状调查与分析：若建设项目环评时本次规划环评资源、环境现状调查与评价结果仍在时效范围内，规划所包含的建设项目环评文件中现状调查与评价内容可适当简化。</w:t>
      </w:r>
    </w:p>
    <w:p w14:paraId="56A6405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选址选线、规模分析：本次评价从与相关规划的协调性、资源能源承载力、环境可行性等方面充分论述了规划方案的合理性，并提出了优化方案，对于本规划包含的建设项目，选址及规模合理性分析内容可适当简化，侧重分析项目与</w:t>
      </w:r>
      <w:r>
        <w:rPr>
          <w:rFonts w:hint="default" w:ascii="Times New Roman" w:hAnsi="Times New Roman" w:cs="Times New Roman"/>
          <w:color w:val="auto"/>
          <w:sz w:val="24"/>
          <w:highlight w:val="none"/>
          <w:lang w:eastAsia="zh-CN"/>
        </w:rPr>
        <w:t>岗云杉林景区</w:t>
      </w:r>
      <w:r>
        <w:rPr>
          <w:rFonts w:hint="default" w:ascii="Times New Roman" w:hAnsi="Times New Roman" w:cs="Times New Roman"/>
          <w:color w:val="auto"/>
          <w:sz w:val="24"/>
          <w:highlight w:val="none"/>
        </w:rPr>
        <w:t>规划的符合性。</w:t>
      </w:r>
    </w:p>
    <w:p w14:paraId="191E36D7">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（3）依托基础设施分析：入区建设项目依托的污水收集、固体废物处置等基础设施已按</w:t>
      </w:r>
      <w:r>
        <w:rPr>
          <w:rFonts w:hint="default" w:ascii="Times New Roman" w:hAnsi="Times New Roman" w:cs="Times New Roman"/>
          <w:color w:val="auto"/>
          <w:sz w:val="24"/>
          <w:highlight w:val="none"/>
          <w:lang w:eastAsia="zh-CN"/>
        </w:rPr>
        <w:t>岗云杉林</w:t>
      </w:r>
      <w:r>
        <w:rPr>
          <w:rFonts w:hint="default" w:ascii="Times New Roman" w:hAnsi="Times New Roman" w:cs="Times New Roman"/>
          <w:color w:val="auto"/>
          <w:sz w:val="24"/>
          <w:highlight w:val="none"/>
        </w:rPr>
        <w:t>旅游景区控制性详细规划环评要求建设并运行的相关评价内容。</w:t>
      </w:r>
    </w:p>
    <w:p w14:paraId="372AA708">
      <w:pPr>
        <w:pStyle w:val="2"/>
        <w:spacing w:before="312" w:after="312"/>
        <w:rPr>
          <w:rFonts w:hint="default" w:ascii="Times New Roman" w:hAnsi="Times New Roman" w:cs="Times New Roman"/>
          <w:color w:val="auto"/>
          <w:highlight w:val="none"/>
        </w:rPr>
      </w:pPr>
      <w:bookmarkStart w:id="205" w:name="_Toc16909"/>
      <w:r>
        <w:rPr>
          <w:rFonts w:hint="default" w:ascii="Times New Roman" w:hAnsi="Times New Roman" w:cs="Times New Roman"/>
          <w:color w:val="auto"/>
          <w:highlight w:val="none"/>
        </w:rPr>
        <w:t>环境影响跟踪评价计划</w:t>
      </w:r>
      <w:bookmarkEnd w:id="205"/>
    </w:p>
    <w:p w14:paraId="7A56A37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根据《中华人民共和国环境影响评价法》和《规划环境影响评价条例》，在规划实施后可能对生态环境有重大影响的，规划编制机关可及时开展规划环境影响跟踪评价。</w:t>
      </w:r>
    </w:p>
    <w:p w14:paraId="68CA5F14">
      <w:pPr>
        <w:pStyle w:val="3"/>
        <w:spacing w:before="156" w:after="156"/>
        <w:rPr>
          <w:rFonts w:hint="default" w:ascii="Times New Roman" w:hAnsi="Times New Roman" w:cs="Times New Roman"/>
          <w:color w:val="auto"/>
          <w:highlight w:val="none"/>
        </w:rPr>
      </w:pPr>
      <w:bookmarkStart w:id="206" w:name="_Toc24808"/>
      <w:r>
        <w:rPr>
          <w:rFonts w:hint="default" w:ascii="Times New Roman" w:hAnsi="Times New Roman" w:cs="Times New Roman"/>
          <w:color w:val="auto"/>
          <w:highlight w:val="none"/>
        </w:rPr>
        <w:t>跟踪评价方案</w:t>
      </w:r>
      <w:bookmarkEnd w:id="206"/>
    </w:p>
    <w:p w14:paraId="36AE6180">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评价目的</w:t>
      </w:r>
    </w:p>
    <w:p w14:paraId="5ADF402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规划环境影响跟踪评价技术指南（试行）》，跟踪评价主要以改善区域环境质量和保障区域生态安全为目标，结合区域生态环境质量变化情况、国家和地方最新的生态环境管理要求和公众对规划实施产生的生态环境影响的意见，对已经和正在产生的环境影响进行监测、调查和评价，主要包括以下目的：</w:t>
      </w:r>
    </w:p>
    <w:p w14:paraId="41AD953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（1）分析规划实施的实际环境影响，评估规划采取的预防或者减轻不良生态环境影响的对策和措施的有效性；</w:t>
      </w:r>
    </w:p>
    <w:p w14:paraId="3B41AEB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（2）研判规划实施是否对生态环境产生了重大影响；</w:t>
      </w:r>
    </w:p>
    <w:p w14:paraId="61D8F04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（3）对规划已实施部分造成的生态环境问题提出解决方案；</w:t>
      </w:r>
    </w:p>
    <w:p w14:paraId="5A87DF4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（4）对规划后续实施内容提出优化调整建议或减轻不良生态环境影响的对策和措施。</w:t>
      </w:r>
    </w:p>
    <w:p w14:paraId="298D0201">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工作程序</w:t>
      </w:r>
    </w:p>
    <w:p w14:paraId="2192B316">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（1）通过调查规划实施情况、受影响区域的生态环境演变趋势，分析规划实施产生的实际生态环境影响，并与环境影响评价文件预测的影响状况进行比较和评估。</w:t>
      </w:r>
    </w:p>
    <w:p w14:paraId="13ED1AD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规划已实施部分，如规划实施中采取的预防或者减轻不良生态环境影响的对策和措施有效，且符合国家和地方最新的生态环境管理要求，可提出继续实施原规划方案的建议。如对策和措施不能满足国家和地方最新的生态环境管理要求，结合公众意见，对规划已实施部分造成的不良生态环境影响提出整改措施。</w:t>
      </w:r>
    </w:p>
    <w:p w14:paraId="0A2BD81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对规划未实施部分，基于国家和地方最新的生态环境管理要求或必要的影响预测分析，提出规划后续实施的生态环境影响减缓对策和措施。如规划未实施部分与原规划相比在资源能源消耗、主要污染物排放、生态环境影响等方面发生了较大的变化，或规划后续实施不能满足国家和地方最新的生态环境管理要求，应提出规划优化调整或修订的建议。</w:t>
      </w:r>
    </w:p>
    <w:p w14:paraId="4F0DBB5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（4）跟踪评价工作成果应与规划编制机关进行充分衔接和互动。</w:t>
      </w:r>
    </w:p>
    <w:p w14:paraId="5CD95318">
      <w:pPr>
        <w:pStyle w:val="36"/>
        <w:snapToGrid/>
        <w:spacing w:line="360" w:lineRule="auto"/>
        <w:ind w:firstLine="480" w:firstLineChars="200"/>
        <w:jc w:val="both"/>
        <w:rPr>
          <w:rFonts w:hint="default" w:ascii="Times New Roman" w:hAnsi="Times New Roman" w:cs="Times New Roman"/>
          <w:color w:val="auto"/>
          <w:highlight w:val="none"/>
          <w:lang w:val="en-US"/>
        </w:rPr>
      </w:pPr>
      <w:r>
        <w:rPr>
          <w:rFonts w:hint="default" w:ascii="Times New Roman" w:hAnsi="Times New Roman" w:cs="Times New Roman"/>
          <w:color w:val="auto"/>
          <w:sz w:val="24"/>
          <w:szCs w:val="24"/>
          <w:highlight w:val="none"/>
        </w:rPr>
        <w:t>具体规划环境影响跟踪评价技术流程见图9.1-1。</w:t>
      </w:r>
    </w:p>
    <w:p w14:paraId="1855B309">
      <w:pPr>
        <w:pStyle w:val="36"/>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drawing>
          <wp:inline distT="0" distB="0" distL="0" distR="0">
            <wp:extent cx="5688330" cy="5996940"/>
            <wp:effectExtent l="0" t="0" r="762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0" cstate="print"/>
                    <a:stretch>
                      <a:fillRect/>
                    </a:stretch>
                  </pic:blipFill>
                  <pic:spPr>
                    <a:xfrm>
                      <a:off x="0" y="0"/>
                      <a:ext cx="5688330" cy="5996940"/>
                    </a:xfrm>
                    <a:prstGeom prst="rect">
                      <a:avLst/>
                    </a:prstGeom>
                  </pic:spPr>
                </pic:pic>
              </a:graphicData>
            </a:graphic>
          </wp:inline>
        </w:drawing>
      </w:r>
    </w:p>
    <w:p w14:paraId="2AC228A7">
      <w:pPr>
        <w:pStyle w:val="36"/>
        <w:snapToGrid/>
        <w:spacing w:line="360" w:lineRule="auto"/>
        <w:jc w:val="center"/>
        <w:rPr>
          <w:rStyle w:val="103"/>
          <w:rFonts w:hint="default" w:ascii="Times New Roman" w:hAnsi="Times New Roman" w:eastAsia="黑体" w:cs="Times New Roman"/>
          <w:color w:val="auto"/>
          <w:sz w:val="21"/>
          <w:szCs w:val="21"/>
          <w:highlight w:val="none"/>
        </w:rPr>
      </w:pPr>
      <w:r>
        <w:rPr>
          <w:rStyle w:val="103"/>
          <w:rFonts w:hint="default" w:ascii="Times New Roman" w:hAnsi="Times New Roman" w:eastAsia="黑体" w:cs="Times New Roman"/>
          <w:color w:val="auto"/>
          <w:sz w:val="21"/>
          <w:szCs w:val="21"/>
          <w:highlight w:val="none"/>
        </w:rPr>
        <w:t>图9.1-1  规划环境影响跟踪评价技术流程图</w:t>
      </w:r>
    </w:p>
    <w:p w14:paraId="759E53F9">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跟踪评价内容</w:t>
      </w:r>
    </w:p>
    <w:p w14:paraId="56087855">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规划实施及开发强度对比</w:t>
      </w:r>
    </w:p>
    <w:p w14:paraId="1DFD3EE8">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（1）规划实施情况</w:t>
      </w:r>
    </w:p>
    <w:p w14:paraId="1762FE96">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说明规划实施背景，对比规划说明规划已实施的主要内容，说明其变化情况、变化原因，并明确规划是否实施完毕。</w:t>
      </w:r>
    </w:p>
    <w:p w14:paraId="4BCD6BBA">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（2）开发强度对比</w:t>
      </w:r>
    </w:p>
    <w:p w14:paraId="22AA90FE">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说明规划实施过程中支撑性资源的利用情况，分析规划已实施部分的资源利用效率及其变化情况。重点说明规划实施对区域、流域生态系统的结构、功能及受保护关键物种的影响范围和程度及其变化情况，对重要生境的占用或改变情况；说明规划实施过程中主要污染物排放情况，包括污染源分布、污染物种类、排放强度及其变化情况。回顾规划实施至开展跟踪评价期间的突发环境事件及其发生的原因、采取的应急措施及效果，说明规划的生态环境风险防范措施和应急响应体系实施及其变化情况。</w:t>
      </w:r>
    </w:p>
    <w:p w14:paraId="048932A0">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（3）环境管理要求落实情况</w:t>
      </w:r>
    </w:p>
    <w:p w14:paraId="1E67C924">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对比开展规划环评时的各项生态环境保护要求，说明规划在落实空间管控、污染防治、生态修复与建设、生态补偿等方面以及区域或流域联防联控等生态环境影响减缓对策和措施的实施情况；对比开展跟踪评价时国家和地方最新的生态环境管理要求，特别“三线一单”管控要求，分析规划与其的符合性；说明规划实施区域环境管理及监测体系的落实情况、运行效果及存在的问题。</w:t>
      </w:r>
    </w:p>
    <w:p w14:paraId="0E9C3995">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区域生态环境演变趋势</w:t>
      </w:r>
    </w:p>
    <w:p w14:paraId="1A59B1E4">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（1）环境质量变化趋势</w:t>
      </w:r>
    </w:p>
    <w:p w14:paraId="7E0A4A78">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结合国家和地方最新的生态环境管理要求，综合区域、流域社会经济发展趋势及生态环境敏感区的变化情况分析，评价区域、流域大气、水、土壤、声等环境要素的质量现状和变化趋势。</w:t>
      </w:r>
    </w:p>
    <w:p w14:paraId="3516F208">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（2）生态变化趋势</w:t>
      </w:r>
    </w:p>
    <w:p w14:paraId="42EA644F">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根据区域生态状况调查结果，分析规划实施对保护区及评价范围内植物群落变化情况，分析生态系统结构和功能变化情况，评价区域内植物群落、生态系统及生物多样性等变化趋势。</w:t>
      </w:r>
    </w:p>
    <w:p w14:paraId="6BD7EB35">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（3）资源环境承载力变化分析</w:t>
      </w:r>
    </w:p>
    <w:p w14:paraId="556735C8">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调查区域为保障规划实施提供的支撑性资源和能源的配置情况。对比实际利用情况，结合区域资源能源利用上线，分析区域、流域资源环境承载力存在的问题及其与规划实施的关联性。</w:t>
      </w:r>
    </w:p>
    <w:p w14:paraId="7387184A">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公众意见调查</w:t>
      </w:r>
    </w:p>
    <w:p w14:paraId="20BBB889">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征求相关部门及专家意见，全面了解区域主要环境问题和制约因素。收集规划实施至开展跟踪评价期间，公众对规划产生的环境影响的投诉意见，并分析原因。</w:t>
      </w:r>
    </w:p>
    <w:p w14:paraId="5CA317BD">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生态环境影响对比评估及对策措施有效性分析</w:t>
      </w:r>
    </w:p>
    <w:p w14:paraId="77D2A1CC">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（1）规划已实施部分环境影响对比评估</w:t>
      </w:r>
    </w:p>
    <w:p w14:paraId="6695FDC7">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以规划实施进度、区域或流域环境质量变化趋势、生态变化以及资源环境承载力变化分析为基础，对比评估规划实际产生的生态环境影响范围、程度和规划环评预测结论。</w:t>
      </w:r>
    </w:p>
    <w:p w14:paraId="2335A013">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（2）环保措施有效性分析及整改建议</w:t>
      </w:r>
    </w:p>
    <w:p w14:paraId="5B4AB824">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若规划、规划环评及审查意见提出的各项生态环境保护对策和措施已落实，且规划实施后区域生态环境质量满足国家和地方最新的生态环境管理要求，则可认为采取的预防或者减轻不良生态环境影响的对策和措施有效，可提出继续实施原规划方案的建议；若规划实施后区域生态环境质量突破底线要求，则可认为规划已实施部分的环保对策和措施没有发挥效果或效果不佳，跟踪评价应提出有针对性的规划优化调整目标、减轻不良环境影响的对策措施或规划修订建议。</w:t>
      </w:r>
    </w:p>
    <w:p w14:paraId="5C87229B">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生态环境管理优化建议</w:t>
      </w:r>
    </w:p>
    <w:p w14:paraId="474772DE">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（1）规划后续实施开发强度预测</w:t>
      </w:r>
    </w:p>
    <w:p w14:paraId="1B0E9155">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说明规划后续实施的空间范围和布局、发展规模、产业结构、建设时序和配套基础设施依托条件等规划内容。分情景估算规划后续实施对支撑性资源能源的需求量和主要污染物的产生量、排放量，分析规划实施的生态环境影响范围、程度和生态环境风险。</w:t>
      </w:r>
    </w:p>
    <w:p w14:paraId="18EA25D3">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（2）生态环境影响减缓对策措施和规划优化调整建议</w:t>
      </w:r>
    </w:p>
    <w:p w14:paraId="69B9CF1D">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根据规划已实施情况、区域资源环境演变趋势、生态环境影响对比评估、生态环境影响减缓对策和措施有效性分析等内容，结合国家和地方最新生态环境管理要求，提出规划优化调整或修订的建议。</w:t>
      </w:r>
    </w:p>
    <w:p w14:paraId="184B85F9">
      <w:pPr>
        <w:pStyle w:val="3"/>
        <w:spacing w:before="156" w:after="156"/>
        <w:rPr>
          <w:rFonts w:hint="default" w:ascii="Times New Roman" w:hAnsi="Times New Roman" w:cs="Times New Roman"/>
          <w:color w:val="auto"/>
          <w:highlight w:val="none"/>
        </w:rPr>
      </w:pPr>
      <w:bookmarkStart w:id="207" w:name="_Toc1393"/>
      <w:r>
        <w:rPr>
          <w:rFonts w:hint="default" w:ascii="Times New Roman" w:hAnsi="Times New Roman" w:cs="Times New Roman"/>
          <w:color w:val="auto"/>
          <w:highlight w:val="none"/>
        </w:rPr>
        <w:t>环境管理机构及职责</w:t>
      </w:r>
      <w:bookmarkEnd w:id="207"/>
    </w:p>
    <w:p w14:paraId="245F4D4B">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（1）环境管理机构</w:t>
      </w:r>
    </w:p>
    <w:p w14:paraId="7724F3AF">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rPr>
        <w:t>①</w:t>
      </w:r>
      <w:r>
        <w:rPr>
          <w:rFonts w:hint="default" w:ascii="Times New Roman" w:hAnsi="Times New Roman" w:cs="Times New Roman" w:eastAsiaTheme="minorEastAsia"/>
          <w:color w:val="auto"/>
          <w:sz w:val="24"/>
          <w:highlight w:val="none"/>
        </w:rPr>
        <w:t>景区行政机构设置时须设置专门环境管理部门，部门受</w:t>
      </w:r>
      <w:r>
        <w:rPr>
          <w:rFonts w:hint="default" w:ascii="Times New Roman" w:hAnsi="Times New Roman" w:cs="Times New Roman" w:eastAsiaTheme="minorEastAsia"/>
          <w:color w:val="auto"/>
          <w:sz w:val="24"/>
          <w:highlight w:val="none"/>
          <w:lang w:eastAsia="zh-CN"/>
        </w:rPr>
        <w:t>林芝市</w:t>
      </w:r>
      <w:r>
        <w:rPr>
          <w:rFonts w:hint="default" w:ascii="Times New Roman" w:hAnsi="Times New Roman" w:cs="Times New Roman" w:eastAsiaTheme="minorEastAsia"/>
          <w:color w:val="auto"/>
          <w:sz w:val="24"/>
          <w:highlight w:val="none"/>
        </w:rPr>
        <w:t>生态环境局和</w:t>
      </w:r>
      <w:r>
        <w:rPr>
          <w:rFonts w:hint="default" w:ascii="Times New Roman" w:hAnsi="Times New Roman" w:cs="Times New Roman" w:eastAsiaTheme="minorEastAsia"/>
          <w:color w:val="auto"/>
          <w:sz w:val="24"/>
          <w:highlight w:val="none"/>
          <w:lang w:eastAsia="zh-CN"/>
        </w:rPr>
        <w:t>林芝市</w:t>
      </w:r>
      <w:r>
        <w:rPr>
          <w:rFonts w:hint="default" w:ascii="Times New Roman" w:hAnsi="Times New Roman" w:cs="Times New Roman" w:eastAsiaTheme="minorEastAsia"/>
          <w:color w:val="auto"/>
          <w:sz w:val="24"/>
          <w:highlight w:val="none"/>
        </w:rPr>
        <w:t>生态环境局</w:t>
      </w:r>
      <w:r>
        <w:rPr>
          <w:rFonts w:hint="default" w:ascii="Times New Roman" w:hAnsi="Times New Roman" w:cs="Times New Roman" w:eastAsiaTheme="minorEastAsia"/>
          <w:color w:val="auto"/>
          <w:sz w:val="24"/>
          <w:highlight w:val="none"/>
          <w:lang w:val="en-US" w:eastAsia="zh-CN"/>
        </w:rPr>
        <w:t>波密</w:t>
      </w:r>
      <w:r>
        <w:rPr>
          <w:rFonts w:hint="default" w:ascii="Times New Roman" w:hAnsi="Times New Roman" w:cs="Times New Roman" w:eastAsiaTheme="minorEastAsia"/>
          <w:color w:val="auto"/>
          <w:sz w:val="24"/>
          <w:highlight w:val="none"/>
        </w:rPr>
        <w:t>分局的指导，配备专职环保管理人员，在景区分管环保工作的负责人的领导下，对景区的建设前期、施工期和营运期进行环境监督和管理及环境风险事故应急处理等工作，并定时汇报情况，形成上下贯通的环境管理机构和网络。</w:t>
      </w:r>
    </w:p>
    <w:p w14:paraId="5FA57EAD">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rPr>
        <w:t>②</w:t>
      </w:r>
      <w:r>
        <w:rPr>
          <w:rFonts w:hint="default" w:ascii="Times New Roman" w:hAnsi="Times New Roman" w:cs="Times New Roman" w:eastAsiaTheme="minorEastAsia"/>
          <w:color w:val="auto"/>
          <w:sz w:val="24"/>
          <w:highlight w:val="none"/>
        </w:rPr>
        <w:t>入驻景区企业设置环保科室，配备专职环保人员负责企业的环境管理、环境监测和事故应急处理职责，并随时同环保行政部门联系，定时汇报情况。</w:t>
      </w:r>
    </w:p>
    <w:p w14:paraId="6AF9A7A9">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（2）环境管理内容</w:t>
      </w:r>
    </w:p>
    <w:p w14:paraId="06A1DF0E">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rPr>
        <w:t>①</w:t>
      </w:r>
      <w:r>
        <w:rPr>
          <w:rFonts w:hint="default" w:ascii="Times New Roman" w:hAnsi="Times New Roman" w:cs="Times New Roman" w:eastAsiaTheme="minorEastAsia"/>
          <w:color w:val="auto"/>
          <w:sz w:val="24"/>
          <w:highlight w:val="none"/>
        </w:rPr>
        <w:t>认真贯彻执行国家和地方政府、生态环境行政管理部门颁布的有关环境保护法律、法规和标准，协调景区开发活动与环境保护活动；</w:t>
      </w:r>
    </w:p>
    <w:p w14:paraId="0AF6DBDA">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rPr>
        <w:t>②</w:t>
      </w:r>
      <w:r>
        <w:rPr>
          <w:rFonts w:hint="default" w:ascii="Times New Roman" w:hAnsi="Times New Roman" w:cs="Times New Roman" w:eastAsiaTheme="minorEastAsia"/>
          <w:color w:val="auto"/>
          <w:sz w:val="24"/>
          <w:highlight w:val="none"/>
        </w:rPr>
        <w:t>制定景区环境管理方针、制定景区环境管理目标、指标和环境管理方案、监控计划等；</w:t>
      </w:r>
    </w:p>
    <w:p w14:paraId="3B5D03C7">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rPr>
        <w:t>③</w:t>
      </w:r>
      <w:r>
        <w:rPr>
          <w:rFonts w:hint="default" w:ascii="Times New Roman" w:hAnsi="Times New Roman" w:cs="Times New Roman" w:eastAsiaTheme="minorEastAsia"/>
          <w:color w:val="auto"/>
          <w:sz w:val="24"/>
          <w:highlight w:val="none"/>
        </w:rPr>
        <w:t>负责监督与实施景区环境管理方案，负责制定和建立景区内有关环保制度与政策，负责景区的环境统计工作、污染源建档；</w:t>
      </w:r>
    </w:p>
    <w:p w14:paraId="7A66AB00">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rPr>
        <w:t>④</w:t>
      </w:r>
      <w:r>
        <w:rPr>
          <w:rFonts w:hint="default" w:ascii="Times New Roman" w:hAnsi="Times New Roman" w:cs="Times New Roman" w:eastAsiaTheme="minorEastAsia"/>
          <w:color w:val="auto"/>
          <w:sz w:val="24"/>
          <w:highlight w:val="none"/>
        </w:rPr>
        <w:t>负责监督景区环保公用设施的运行、维修，以确保其正常稳定运行；</w:t>
      </w:r>
    </w:p>
    <w:p w14:paraId="4FBB2AAA">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rPr>
        <w:t>⑤</w:t>
      </w:r>
      <w:r>
        <w:rPr>
          <w:rFonts w:hint="default" w:ascii="Times New Roman" w:hAnsi="Times New Roman" w:cs="Times New Roman" w:eastAsiaTheme="minorEastAsia"/>
          <w:color w:val="auto"/>
          <w:sz w:val="24"/>
          <w:highlight w:val="none"/>
        </w:rPr>
        <w:t>负责有关环境事务方面的对外联络，如及时了解政府有关部门的相关环境政策和法规的颁布与修改并及时贯彻和执行；负责对公众的联络、解释、答复和协调有关景区涉及公众利益的活动及相应措施；</w:t>
      </w:r>
    </w:p>
    <w:p w14:paraId="5A60ABC6">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rPr>
        <w:t>⑥</w:t>
      </w:r>
      <w:r>
        <w:rPr>
          <w:rFonts w:hint="default" w:ascii="Times New Roman" w:hAnsi="Times New Roman" w:cs="Times New Roman" w:eastAsiaTheme="minorEastAsia"/>
          <w:color w:val="auto"/>
          <w:sz w:val="24"/>
          <w:highlight w:val="none"/>
        </w:rPr>
        <w:t>努力促进景区按照ISO14000标准建立环境管理体系。</w:t>
      </w:r>
    </w:p>
    <w:p w14:paraId="49AAB9F9">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（3）入驻旅游区项目的环境管理</w:t>
      </w:r>
    </w:p>
    <w:p w14:paraId="35AD66A4">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“三同时”制度：所有新建项目环保设施要与主体工程同时设计、同时施工、同时投产。对于本规划，环保设施主要指生活污水收集设施、垃圾收集转运系统、植被恢复和绿化，餐饮区油烟净化设施等。</w:t>
      </w:r>
    </w:p>
    <w:p w14:paraId="58476B9B">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环境影响评价和环保验收制度：对入驻项目均应按照环境管理规定，进行环境影响评价和竣工环保验收。</w:t>
      </w:r>
    </w:p>
    <w:p w14:paraId="46F804D5">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污染物排放许可证制度和排污申报登记制度：排污许可证制度以污染物总量控制为基础，规定排污单位许可排放污染物的种类、许可排放污染物的排放量、许可排放去向等。排污申报登记制度是排放污染物的单位，按规定向环保行政管理部门申报登记所拥有的污染物排放设施、处理设施和正常作业条件下的排污情况。</w:t>
      </w:r>
    </w:p>
    <w:p w14:paraId="33DE2BF5">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（4）污染防治设施的运行与管理</w:t>
      </w:r>
    </w:p>
    <w:p w14:paraId="6D4921E7">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rPr>
        <w:t>①</w:t>
      </w:r>
      <w:r>
        <w:rPr>
          <w:rFonts w:hint="default" w:ascii="Times New Roman" w:hAnsi="Times New Roman" w:cs="Times New Roman" w:eastAsiaTheme="minorEastAsia"/>
          <w:color w:val="auto"/>
          <w:sz w:val="24"/>
          <w:highlight w:val="none"/>
        </w:rPr>
        <w:t>污水处理设施的运行与管理：景区污水系统—污水管网</w:t>
      </w:r>
      <w:r>
        <w:rPr>
          <w:rFonts w:hint="default" w:ascii="Times New Roman" w:hAnsi="Times New Roman" w:cs="Times New Roman" w:eastAsiaTheme="minorEastAsia"/>
          <w:color w:val="auto"/>
          <w:sz w:val="24"/>
          <w:highlight w:val="none"/>
          <w:lang w:val="en-US" w:eastAsia="zh-CN"/>
        </w:rPr>
        <w:t>与污水处理设施</w:t>
      </w:r>
      <w:r>
        <w:rPr>
          <w:rFonts w:hint="default" w:ascii="Times New Roman" w:hAnsi="Times New Roman" w:cs="Times New Roman" w:eastAsiaTheme="minorEastAsia"/>
          <w:color w:val="auto"/>
          <w:sz w:val="24"/>
          <w:highlight w:val="none"/>
        </w:rPr>
        <w:t>要加强日常维护，保证污水系统的正常稳定运行。</w:t>
      </w:r>
    </w:p>
    <w:p w14:paraId="29A69B32">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rPr>
        <w:t>②</w:t>
      </w:r>
      <w:r>
        <w:rPr>
          <w:rFonts w:hint="default" w:ascii="Times New Roman" w:hAnsi="Times New Roman" w:cs="Times New Roman" w:eastAsiaTheme="minorEastAsia"/>
          <w:color w:val="auto"/>
          <w:sz w:val="24"/>
          <w:highlight w:val="none"/>
        </w:rPr>
        <w:t>固体废物处置设施的运行与管理。</w:t>
      </w:r>
    </w:p>
    <w:p w14:paraId="779CA5CD">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固体废物处置环境管理目标：固体废物的处置包括固体废物的分类、收集、前处理、清运等；对生活垃圾要及时清运，确保景区卫生条件。</w:t>
      </w:r>
    </w:p>
    <w:p w14:paraId="4F91A51B">
      <w:pPr>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固体废物中转储存管理：固体废物收集、贮存，必须按照废物特性分类进行，禁止混合收集、贮存性质不相容而未经安全性处置的固体废物，禁止危险废物混入非危险废物中贮存。固体废物贮存场所的选址要远离居民点。</w:t>
      </w:r>
    </w:p>
    <w:p w14:paraId="0BC9031F">
      <w:pPr>
        <w:pStyle w:val="3"/>
        <w:spacing w:before="156" w:after="156"/>
        <w:rPr>
          <w:rFonts w:hint="default" w:ascii="Times New Roman" w:hAnsi="Times New Roman" w:cs="Times New Roman"/>
          <w:color w:val="auto"/>
          <w:highlight w:val="none"/>
        </w:rPr>
      </w:pPr>
      <w:bookmarkStart w:id="208" w:name="_Toc17790"/>
      <w:r>
        <w:rPr>
          <w:rFonts w:hint="default" w:ascii="Times New Roman" w:hAnsi="Times New Roman" w:cs="Times New Roman"/>
          <w:color w:val="auto"/>
          <w:highlight w:val="none"/>
        </w:rPr>
        <w:t>环境监测计划</w:t>
      </w:r>
      <w:bookmarkEnd w:id="208"/>
    </w:p>
    <w:p w14:paraId="39896B64">
      <w:pPr>
        <w:pStyle w:val="36"/>
        <w:snapToGrid/>
        <w:spacing w:line="360" w:lineRule="auto"/>
        <w:ind w:firstLine="480" w:firstLineChars="200"/>
        <w:jc w:val="both"/>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为了解规划实施后景区对区域环境质量的影响，本次规划环评建议规划实施后景区管理单位定期委托有专业资质的第三方环境监测单位对景区环境质量和污染源进行监测，从而为景区的环境管理提供科学依据。</w:t>
      </w:r>
    </w:p>
    <w:p w14:paraId="67E9BED5">
      <w:pPr>
        <w:pStyle w:val="36"/>
        <w:snapToGrid/>
        <w:spacing w:line="360" w:lineRule="auto"/>
        <w:ind w:firstLine="480" w:firstLineChars="200"/>
        <w:jc w:val="both"/>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rPr>
        <w:t>规划区具体环境监测计划见表9.3-1。</w:t>
      </w:r>
    </w:p>
    <w:p w14:paraId="0D4AD39D">
      <w:pPr>
        <w:spacing w:line="360" w:lineRule="auto"/>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表9.3-1  环境监测计划汇总表</w:t>
      </w:r>
    </w:p>
    <w:tbl>
      <w:tblPr>
        <w:tblStyle w:val="58"/>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7"/>
        <w:gridCol w:w="993"/>
        <w:gridCol w:w="1559"/>
        <w:gridCol w:w="2693"/>
        <w:gridCol w:w="3146"/>
      </w:tblGrid>
      <w:tr w14:paraId="1DA4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560" w:type="dxa"/>
            <w:gridSpan w:val="2"/>
            <w:vAlign w:val="center"/>
          </w:tcPr>
          <w:p w14:paraId="0AA4E689">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监测类别</w:t>
            </w:r>
          </w:p>
        </w:tc>
        <w:tc>
          <w:tcPr>
            <w:tcW w:w="1559" w:type="dxa"/>
            <w:vAlign w:val="center"/>
          </w:tcPr>
          <w:p w14:paraId="732CC798">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监测点位</w:t>
            </w:r>
          </w:p>
        </w:tc>
        <w:tc>
          <w:tcPr>
            <w:tcW w:w="2693" w:type="dxa"/>
            <w:vAlign w:val="center"/>
          </w:tcPr>
          <w:p w14:paraId="17F20A68">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监测频率</w:t>
            </w:r>
          </w:p>
        </w:tc>
        <w:tc>
          <w:tcPr>
            <w:tcW w:w="3146" w:type="dxa"/>
            <w:vAlign w:val="center"/>
          </w:tcPr>
          <w:p w14:paraId="3B85F8BF">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监测项目</w:t>
            </w:r>
          </w:p>
        </w:tc>
      </w:tr>
      <w:tr w14:paraId="3699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restart"/>
            <w:vAlign w:val="center"/>
          </w:tcPr>
          <w:p w14:paraId="4A6A7203">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环境质量监测</w:t>
            </w:r>
          </w:p>
        </w:tc>
        <w:tc>
          <w:tcPr>
            <w:tcW w:w="993" w:type="dxa"/>
            <w:vAlign w:val="center"/>
          </w:tcPr>
          <w:p w14:paraId="70A4C862">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w:t>
            </w:r>
          </w:p>
          <w:p w14:paraId="7CA85BFF">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空气</w:t>
            </w:r>
          </w:p>
        </w:tc>
        <w:tc>
          <w:tcPr>
            <w:tcW w:w="1559" w:type="dxa"/>
            <w:vAlign w:val="center"/>
          </w:tcPr>
          <w:p w14:paraId="61DE4457">
            <w:pPr>
              <w:pStyle w:val="666"/>
              <w:adjustRightInd/>
              <w:ind w:firstLine="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巴卡</w:t>
            </w:r>
            <w:r>
              <w:rPr>
                <w:rFonts w:hint="default" w:ascii="Times New Roman" w:hAnsi="Times New Roman" w:cs="Times New Roman"/>
                <w:bCs/>
                <w:color w:val="auto"/>
                <w:szCs w:val="21"/>
                <w:highlight w:val="none"/>
              </w:rPr>
              <w:t>村</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岗巴村</w:t>
            </w:r>
          </w:p>
        </w:tc>
        <w:tc>
          <w:tcPr>
            <w:tcW w:w="2693" w:type="dxa"/>
            <w:vAlign w:val="center"/>
          </w:tcPr>
          <w:p w14:paraId="26F09D71">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每年旅游旺季1次，连续7天</w:t>
            </w:r>
          </w:p>
        </w:tc>
        <w:tc>
          <w:tcPr>
            <w:tcW w:w="3146" w:type="dxa"/>
            <w:vAlign w:val="center"/>
          </w:tcPr>
          <w:p w14:paraId="77D4B7BD">
            <w:pPr>
              <w:pStyle w:val="512"/>
              <w:adjustRightInd/>
              <w:snapToGrid/>
              <w:spacing w:before="0" w:after="0" w:line="240" w:lineRule="auto"/>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SO</w:t>
            </w:r>
            <w:r>
              <w:rPr>
                <w:rFonts w:hint="default" w:ascii="Times New Roman" w:hAnsi="Times New Roman" w:cs="Times New Roman"/>
                <w:bCs/>
                <w:color w:val="auto"/>
                <w:sz w:val="21"/>
                <w:szCs w:val="21"/>
                <w:highlight w:val="none"/>
                <w:vertAlign w:val="subscript"/>
              </w:rPr>
              <w:t>2</w:t>
            </w:r>
            <w:r>
              <w:rPr>
                <w:rFonts w:hint="default" w:ascii="Times New Roman" w:hAnsi="Times New Roman" w:cs="Times New Roman"/>
                <w:bCs/>
                <w:color w:val="auto"/>
                <w:sz w:val="21"/>
                <w:szCs w:val="21"/>
                <w:highlight w:val="none"/>
              </w:rPr>
              <w:t>、NO</w:t>
            </w:r>
            <w:r>
              <w:rPr>
                <w:rFonts w:hint="default" w:ascii="Times New Roman" w:hAnsi="Times New Roman" w:cs="Times New Roman"/>
                <w:bCs/>
                <w:color w:val="auto"/>
                <w:sz w:val="21"/>
                <w:szCs w:val="21"/>
                <w:highlight w:val="none"/>
                <w:vertAlign w:val="subscript"/>
              </w:rPr>
              <w:t>2</w:t>
            </w:r>
            <w:r>
              <w:rPr>
                <w:rFonts w:hint="default" w:ascii="Times New Roman" w:hAnsi="Times New Roman" w:cs="Times New Roman"/>
                <w:bCs/>
                <w:color w:val="auto"/>
                <w:sz w:val="21"/>
                <w:szCs w:val="21"/>
                <w:highlight w:val="none"/>
              </w:rPr>
              <w:t>、PM</w:t>
            </w:r>
            <w:r>
              <w:rPr>
                <w:rFonts w:hint="default" w:ascii="Times New Roman" w:hAnsi="Times New Roman" w:cs="Times New Roman"/>
                <w:bCs/>
                <w:color w:val="auto"/>
                <w:sz w:val="21"/>
                <w:szCs w:val="21"/>
                <w:highlight w:val="none"/>
                <w:vertAlign w:val="subscript"/>
              </w:rPr>
              <w:t>10</w:t>
            </w:r>
            <w:r>
              <w:rPr>
                <w:rFonts w:hint="default" w:ascii="Times New Roman" w:hAnsi="Times New Roman" w:cs="Times New Roman"/>
                <w:bCs/>
                <w:color w:val="auto"/>
                <w:sz w:val="21"/>
                <w:szCs w:val="21"/>
                <w:highlight w:val="none"/>
              </w:rPr>
              <w:t>、PM</w:t>
            </w:r>
            <w:r>
              <w:rPr>
                <w:rFonts w:hint="default" w:ascii="Times New Roman" w:hAnsi="Times New Roman" w:cs="Times New Roman"/>
                <w:bCs/>
                <w:color w:val="auto"/>
                <w:sz w:val="21"/>
                <w:szCs w:val="21"/>
                <w:highlight w:val="none"/>
                <w:vertAlign w:val="subscript"/>
              </w:rPr>
              <w:t>2.5</w:t>
            </w:r>
            <w:r>
              <w:rPr>
                <w:rFonts w:hint="default" w:ascii="Times New Roman" w:hAnsi="Times New Roman" w:cs="Times New Roman"/>
                <w:bCs/>
                <w:color w:val="auto"/>
                <w:sz w:val="21"/>
                <w:szCs w:val="21"/>
                <w:highlight w:val="none"/>
              </w:rPr>
              <w:t>、CO、O</w:t>
            </w:r>
            <w:r>
              <w:rPr>
                <w:rFonts w:hint="default" w:ascii="Times New Roman" w:hAnsi="Times New Roman" w:cs="Times New Roman"/>
                <w:bCs/>
                <w:color w:val="auto"/>
                <w:sz w:val="21"/>
                <w:szCs w:val="21"/>
                <w:highlight w:val="none"/>
                <w:vertAlign w:val="subscript"/>
              </w:rPr>
              <w:t>3</w:t>
            </w:r>
          </w:p>
        </w:tc>
      </w:tr>
      <w:tr w14:paraId="34B1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vAlign w:val="center"/>
          </w:tcPr>
          <w:p w14:paraId="42005120">
            <w:pPr>
              <w:pStyle w:val="512"/>
              <w:adjustRightInd/>
              <w:snapToGrid/>
              <w:spacing w:before="0" w:after="0" w:line="240" w:lineRule="auto"/>
              <w:rPr>
                <w:rFonts w:hint="default" w:ascii="Times New Roman" w:hAnsi="Times New Roman" w:cs="Times New Roman"/>
                <w:bCs/>
                <w:color w:val="auto"/>
                <w:sz w:val="21"/>
                <w:szCs w:val="21"/>
                <w:highlight w:val="none"/>
              </w:rPr>
            </w:pPr>
          </w:p>
        </w:tc>
        <w:tc>
          <w:tcPr>
            <w:tcW w:w="993" w:type="dxa"/>
            <w:vMerge w:val="restart"/>
            <w:vAlign w:val="center"/>
          </w:tcPr>
          <w:p w14:paraId="2134FE29">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地表水</w:t>
            </w:r>
          </w:p>
          <w:p w14:paraId="090733F4">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w:t>
            </w:r>
          </w:p>
        </w:tc>
        <w:tc>
          <w:tcPr>
            <w:tcW w:w="1559" w:type="dxa"/>
            <w:vAlign w:val="center"/>
          </w:tcPr>
          <w:p w14:paraId="7460CEEF">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景区</w:t>
            </w:r>
            <w:r>
              <w:rPr>
                <w:rFonts w:hint="default" w:ascii="Times New Roman" w:hAnsi="Times New Roman" w:cs="Times New Roman"/>
                <w:bCs/>
                <w:color w:val="auto"/>
                <w:szCs w:val="21"/>
                <w:highlight w:val="none"/>
                <w:lang w:eastAsia="zh-CN"/>
              </w:rPr>
              <w:t>北侧帕隆藏布</w:t>
            </w:r>
            <w:r>
              <w:rPr>
                <w:rFonts w:hint="default" w:ascii="Times New Roman" w:hAnsi="Times New Roman" w:cs="Times New Roman"/>
                <w:bCs/>
                <w:color w:val="auto"/>
                <w:szCs w:val="21"/>
                <w:highlight w:val="none"/>
              </w:rPr>
              <w:t>上游500m</w:t>
            </w:r>
          </w:p>
        </w:tc>
        <w:tc>
          <w:tcPr>
            <w:tcW w:w="2693" w:type="dxa"/>
            <w:vMerge w:val="restart"/>
            <w:vAlign w:val="center"/>
          </w:tcPr>
          <w:p w14:paraId="40EFA8FA">
            <w:pPr>
              <w:pStyle w:val="512"/>
              <w:adjustRightInd/>
              <w:snapToGrid/>
              <w:spacing w:before="0" w:after="0" w:line="240" w:lineRule="auto"/>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每年旅游季丰水期、枯水期各测1次，连续监测3天。</w:t>
            </w:r>
          </w:p>
        </w:tc>
        <w:tc>
          <w:tcPr>
            <w:tcW w:w="3146" w:type="dxa"/>
            <w:vMerge w:val="restart"/>
            <w:vAlign w:val="center"/>
          </w:tcPr>
          <w:p w14:paraId="453245ED">
            <w:pPr>
              <w:pStyle w:val="512"/>
              <w:adjustRightInd/>
              <w:snapToGrid/>
              <w:spacing w:before="0" w:after="0" w:line="240" w:lineRule="auto"/>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水温、pH、溶解氧、高锰酸盐指数、COD、BOD</w:t>
            </w:r>
            <w:r>
              <w:rPr>
                <w:rFonts w:hint="default" w:ascii="Times New Roman" w:hAnsi="Times New Roman" w:cs="Times New Roman"/>
                <w:bCs/>
                <w:color w:val="auto"/>
                <w:sz w:val="21"/>
                <w:szCs w:val="21"/>
                <w:highlight w:val="none"/>
                <w:vertAlign w:val="subscript"/>
              </w:rPr>
              <w:t>5</w:t>
            </w:r>
            <w:r>
              <w:rPr>
                <w:rFonts w:hint="default" w:ascii="Times New Roman" w:hAnsi="Times New Roman" w:cs="Times New Roman"/>
                <w:bCs/>
                <w:color w:val="auto"/>
                <w:sz w:val="21"/>
                <w:szCs w:val="21"/>
                <w:highlight w:val="none"/>
              </w:rPr>
              <w:t>、氨氮、SS、总氮、总磷、石油类、粪大肠菌群、阴离子表面活性剂等</w:t>
            </w:r>
          </w:p>
        </w:tc>
      </w:tr>
      <w:tr w14:paraId="289E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vAlign w:val="center"/>
          </w:tcPr>
          <w:p w14:paraId="182485E7">
            <w:pPr>
              <w:pStyle w:val="512"/>
              <w:adjustRightInd/>
              <w:snapToGrid/>
              <w:spacing w:before="0" w:after="0" w:line="240" w:lineRule="auto"/>
              <w:rPr>
                <w:rFonts w:hint="default" w:ascii="Times New Roman" w:hAnsi="Times New Roman" w:cs="Times New Roman"/>
                <w:bCs/>
                <w:color w:val="auto"/>
                <w:sz w:val="21"/>
                <w:szCs w:val="21"/>
                <w:highlight w:val="none"/>
              </w:rPr>
            </w:pPr>
          </w:p>
        </w:tc>
        <w:tc>
          <w:tcPr>
            <w:tcW w:w="993" w:type="dxa"/>
            <w:vMerge w:val="continue"/>
            <w:vAlign w:val="center"/>
          </w:tcPr>
          <w:p w14:paraId="4C31AC35">
            <w:pPr>
              <w:pStyle w:val="512"/>
              <w:adjustRightInd/>
              <w:snapToGrid/>
              <w:spacing w:before="0" w:after="0" w:line="240" w:lineRule="auto"/>
              <w:rPr>
                <w:rFonts w:hint="default" w:ascii="Times New Roman" w:hAnsi="Times New Roman" w:cs="Times New Roman"/>
                <w:bCs/>
                <w:color w:val="auto"/>
                <w:sz w:val="21"/>
                <w:szCs w:val="21"/>
                <w:highlight w:val="none"/>
              </w:rPr>
            </w:pPr>
          </w:p>
        </w:tc>
        <w:tc>
          <w:tcPr>
            <w:tcW w:w="1559" w:type="dxa"/>
            <w:vAlign w:val="center"/>
          </w:tcPr>
          <w:p w14:paraId="28A85D6C">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景区</w:t>
            </w:r>
            <w:r>
              <w:rPr>
                <w:rFonts w:hint="default" w:ascii="Times New Roman" w:hAnsi="Times New Roman" w:cs="Times New Roman"/>
                <w:bCs/>
                <w:color w:val="auto"/>
                <w:szCs w:val="21"/>
                <w:highlight w:val="none"/>
                <w:lang w:eastAsia="zh-CN"/>
              </w:rPr>
              <w:t>北侧帕隆藏布</w:t>
            </w:r>
            <w:r>
              <w:rPr>
                <w:rFonts w:hint="default" w:ascii="Times New Roman" w:hAnsi="Times New Roman" w:cs="Times New Roman"/>
                <w:bCs/>
                <w:color w:val="auto"/>
                <w:szCs w:val="21"/>
                <w:highlight w:val="none"/>
              </w:rPr>
              <w:t>下游1000m</w:t>
            </w:r>
          </w:p>
        </w:tc>
        <w:tc>
          <w:tcPr>
            <w:tcW w:w="2693" w:type="dxa"/>
            <w:vMerge w:val="continue"/>
            <w:vAlign w:val="center"/>
          </w:tcPr>
          <w:p w14:paraId="5E14CEDA">
            <w:pPr>
              <w:pStyle w:val="512"/>
              <w:adjustRightInd/>
              <w:snapToGrid/>
              <w:spacing w:before="0" w:after="0" w:line="240" w:lineRule="auto"/>
              <w:rPr>
                <w:rFonts w:hint="default" w:ascii="Times New Roman" w:hAnsi="Times New Roman" w:cs="Times New Roman"/>
                <w:bCs/>
                <w:color w:val="auto"/>
                <w:sz w:val="21"/>
                <w:szCs w:val="21"/>
                <w:highlight w:val="none"/>
              </w:rPr>
            </w:pPr>
          </w:p>
        </w:tc>
        <w:tc>
          <w:tcPr>
            <w:tcW w:w="3146" w:type="dxa"/>
            <w:vMerge w:val="continue"/>
            <w:vAlign w:val="center"/>
          </w:tcPr>
          <w:p w14:paraId="5F505A22">
            <w:pPr>
              <w:pStyle w:val="512"/>
              <w:adjustRightInd/>
              <w:snapToGrid/>
              <w:spacing w:before="0" w:after="0" w:line="240" w:lineRule="auto"/>
              <w:rPr>
                <w:rFonts w:hint="default" w:ascii="Times New Roman" w:hAnsi="Times New Roman" w:cs="Times New Roman"/>
                <w:bCs/>
                <w:color w:val="auto"/>
                <w:sz w:val="21"/>
                <w:szCs w:val="21"/>
                <w:highlight w:val="none"/>
              </w:rPr>
            </w:pPr>
          </w:p>
        </w:tc>
      </w:tr>
      <w:tr w14:paraId="686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567" w:type="dxa"/>
            <w:vMerge w:val="continue"/>
            <w:vAlign w:val="center"/>
          </w:tcPr>
          <w:p w14:paraId="6C8BB540">
            <w:pPr>
              <w:pStyle w:val="512"/>
              <w:adjustRightInd/>
              <w:snapToGrid/>
              <w:spacing w:before="0" w:after="0" w:line="240" w:lineRule="auto"/>
              <w:rPr>
                <w:rFonts w:hint="default" w:ascii="Times New Roman" w:hAnsi="Times New Roman" w:cs="Times New Roman"/>
                <w:bCs/>
                <w:color w:val="auto"/>
                <w:sz w:val="21"/>
                <w:szCs w:val="21"/>
                <w:highlight w:val="none"/>
              </w:rPr>
            </w:pPr>
          </w:p>
        </w:tc>
        <w:tc>
          <w:tcPr>
            <w:tcW w:w="993" w:type="dxa"/>
            <w:vAlign w:val="center"/>
          </w:tcPr>
          <w:p w14:paraId="46B54858">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声环境</w:t>
            </w:r>
          </w:p>
        </w:tc>
        <w:tc>
          <w:tcPr>
            <w:tcW w:w="1559" w:type="dxa"/>
            <w:vAlign w:val="center"/>
          </w:tcPr>
          <w:p w14:paraId="33A5279E">
            <w:pPr>
              <w:pStyle w:val="666"/>
              <w:adjustRightInd/>
              <w:ind w:firstLine="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巴卡</w:t>
            </w:r>
            <w:r>
              <w:rPr>
                <w:rFonts w:hint="default" w:ascii="Times New Roman" w:hAnsi="Times New Roman" w:cs="Times New Roman"/>
                <w:bCs/>
                <w:color w:val="auto"/>
                <w:szCs w:val="21"/>
                <w:highlight w:val="none"/>
              </w:rPr>
              <w:t>村</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岗巴村</w:t>
            </w:r>
          </w:p>
        </w:tc>
        <w:tc>
          <w:tcPr>
            <w:tcW w:w="2693" w:type="dxa"/>
            <w:vAlign w:val="center"/>
          </w:tcPr>
          <w:p w14:paraId="61EDB575">
            <w:pPr>
              <w:pStyle w:val="512"/>
              <w:adjustRightInd/>
              <w:snapToGrid/>
              <w:spacing w:before="0" w:after="0" w:line="240" w:lineRule="auto"/>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旅游季每季度监测1次，连续监测2天，昼间、夜间各一次。</w:t>
            </w:r>
          </w:p>
        </w:tc>
        <w:tc>
          <w:tcPr>
            <w:tcW w:w="3146" w:type="dxa"/>
            <w:vAlign w:val="center"/>
          </w:tcPr>
          <w:p w14:paraId="77573A45">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等效连续A声级</w:t>
            </w:r>
          </w:p>
        </w:tc>
      </w:tr>
      <w:tr w14:paraId="4FF0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vAlign w:val="center"/>
          </w:tcPr>
          <w:p w14:paraId="15993D1C">
            <w:pPr>
              <w:pStyle w:val="512"/>
              <w:adjustRightInd/>
              <w:snapToGrid/>
              <w:spacing w:before="0" w:after="0" w:line="240" w:lineRule="auto"/>
              <w:rPr>
                <w:rFonts w:hint="default" w:ascii="Times New Roman" w:hAnsi="Times New Roman" w:cs="Times New Roman"/>
                <w:bCs/>
                <w:color w:val="auto"/>
                <w:sz w:val="21"/>
                <w:szCs w:val="21"/>
                <w:highlight w:val="none"/>
              </w:rPr>
            </w:pPr>
          </w:p>
        </w:tc>
        <w:tc>
          <w:tcPr>
            <w:tcW w:w="993" w:type="dxa"/>
            <w:vAlign w:val="center"/>
          </w:tcPr>
          <w:p w14:paraId="32CA17A4">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陆生生态监测</w:t>
            </w:r>
          </w:p>
        </w:tc>
        <w:tc>
          <w:tcPr>
            <w:tcW w:w="1559" w:type="dxa"/>
            <w:vAlign w:val="center"/>
          </w:tcPr>
          <w:p w14:paraId="0DF9B876">
            <w:pPr>
              <w:pStyle w:val="512"/>
              <w:adjustRightInd/>
              <w:snapToGrid/>
              <w:spacing w:before="0" w:after="0" w:line="240" w:lineRule="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巴卡村区域、岗巴村区域、待建游客中心区域</w:t>
            </w:r>
          </w:p>
        </w:tc>
        <w:tc>
          <w:tcPr>
            <w:tcW w:w="2693" w:type="dxa"/>
            <w:vAlign w:val="center"/>
          </w:tcPr>
          <w:p w14:paraId="40263E17">
            <w:pPr>
              <w:pStyle w:val="512"/>
              <w:adjustRightInd/>
              <w:snapToGrid/>
              <w:spacing w:before="0" w:after="0" w:line="24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2年1次</w:t>
            </w:r>
          </w:p>
        </w:tc>
        <w:tc>
          <w:tcPr>
            <w:tcW w:w="3146" w:type="dxa"/>
            <w:vAlign w:val="center"/>
          </w:tcPr>
          <w:p w14:paraId="1628CD2D">
            <w:pPr>
              <w:pStyle w:val="512"/>
              <w:adjustRightInd/>
              <w:snapToGrid/>
              <w:spacing w:before="0" w:after="0" w:line="240" w:lineRule="auto"/>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植物：物种丰富度、主要物种及种群密度、植被覆盖度、生物量。</w:t>
            </w:r>
          </w:p>
          <w:p w14:paraId="36540280">
            <w:pPr>
              <w:pStyle w:val="512"/>
              <w:adjustRightInd/>
              <w:snapToGrid/>
              <w:spacing w:before="0" w:after="0" w:line="240" w:lineRule="auto"/>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动物：种类、种群、数量、分布区域。</w:t>
            </w:r>
          </w:p>
        </w:tc>
      </w:tr>
    </w:tbl>
    <w:p w14:paraId="7761A9CB">
      <w:pPr>
        <w:rPr>
          <w:rFonts w:hint="default" w:ascii="Times New Roman" w:hAnsi="Times New Roman" w:cs="Times New Roman"/>
          <w:color w:val="auto"/>
          <w:highlight w:val="none"/>
          <w:lang w:val="zh-CN"/>
        </w:rPr>
        <w:sectPr>
          <w:headerReference r:id="rId19" w:type="first"/>
          <w:footerReference r:id="rId21" w:type="first"/>
          <w:headerReference r:id="rId18" w:type="even"/>
          <w:footerReference r:id="rId20" w:type="even"/>
          <w:pgSz w:w="11906" w:h="16838"/>
          <w:pgMar w:top="1474" w:right="1474" w:bottom="1474" w:left="1474" w:header="1134" w:footer="850" w:gutter="0"/>
          <w:pgBorders>
            <w:top w:val="none" w:sz="0" w:space="0"/>
            <w:left w:val="none" w:sz="0" w:space="0"/>
            <w:bottom w:val="none" w:sz="0" w:space="0"/>
            <w:right w:val="none" w:sz="0" w:space="0"/>
          </w:pgBorders>
          <w:cols w:space="720" w:num="1"/>
          <w:docGrid w:type="lines" w:linePitch="312" w:charSpace="0"/>
        </w:sectPr>
      </w:pPr>
    </w:p>
    <w:p w14:paraId="78BBC28F">
      <w:pPr>
        <w:pStyle w:val="2"/>
        <w:spacing w:before="312" w:after="312"/>
        <w:rPr>
          <w:rFonts w:hint="default" w:ascii="Times New Roman" w:hAnsi="Times New Roman" w:cs="Times New Roman"/>
          <w:color w:val="auto"/>
          <w:highlight w:val="none"/>
        </w:rPr>
      </w:pPr>
      <w:bookmarkStart w:id="209" w:name="_Toc10634"/>
      <w:r>
        <w:rPr>
          <w:rFonts w:hint="default" w:ascii="Times New Roman" w:hAnsi="Times New Roman" w:cs="Times New Roman"/>
          <w:color w:val="auto"/>
          <w:highlight w:val="none"/>
        </w:rPr>
        <w:t>公众参与</w:t>
      </w:r>
      <w:bookmarkEnd w:id="209"/>
    </w:p>
    <w:p w14:paraId="5623E4DB">
      <w:pPr>
        <w:spacing w:line="360" w:lineRule="auto"/>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本次规划环评公众参与等内容的依据为生态环境部于2018年7月16日公布的《环境影响评价公众参与办法》（2019年1月1日施行）。</w:t>
      </w:r>
    </w:p>
    <w:p w14:paraId="3A0F779B">
      <w:pPr>
        <w:pStyle w:val="3"/>
        <w:spacing w:before="156" w:after="156"/>
        <w:rPr>
          <w:rFonts w:hint="default" w:ascii="Times New Roman" w:hAnsi="Times New Roman" w:cs="Times New Roman"/>
          <w:color w:val="auto"/>
          <w:highlight w:val="none"/>
        </w:rPr>
      </w:pPr>
      <w:bookmarkStart w:id="210" w:name="_Toc18750"/>
      <w:r>
        <w:rPr>
          <w:rFonts w:hint="default" w:ascii="Times New Roman" w:hAnsi="Times New Roman" w:cs="Times New Roman"/>
          <w:color w:val="auto"/>
          <w:highlight w:val="none"/>
        </w:rPr>
        <w:t>公众参与目的与原则</w:t>
      </w:r>
      <w:bookmarkEnd w:id="210"/>
    </w:p>
    <w:p w14:paraId="7E6C4B2C">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目的</w:t>
      </w:r>
    </w:p>
    <w:p w14:paraId="1B8CDD55">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（1）了解公众及相关政府部门对本规划的了解程度，以及对规划内容科学性、合理性的态度。</w:t>
      </w:r>
    </w:p>
    <w:p w14:paraId="0613D395">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（2）了解公众及相关政府部门认为本规划的实施将对周边自然环境、社会经济发展和周围居民生活质量带来何种影响及影响的程度。</w:t>
      </w:r>
    </w:p>
    <w:p w14:paraId="41A8BC77">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（3）了解本规划在实施过程中，公众及相关政府部门最关心的环境问题，以便在规划环评的编制及规划实施过程中给予更充分的重视，切实维护公众的环境权益。</w:t>
      </w:r>
    </w:p>
    <w:p w14:paraId="01530A0F">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原则</w:t>
      </w:r>
    </w:p>
    <w:p w14:paraId="69B59958">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（1）合法性原则</w:t>
      </w:r>
    </w:p>
    <w:p w14:paraId="76C8B223">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严格按照《环境影响评价公众参与办法》中的各项要求执行，包括信息公开时间、公开内容、公开渠道及各部门会商等均应合法、合理开展进行。</w:t>
      </w:r>
    </w:p>
    <w:p w14:paraId="0C66E6F9">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（2）全面性原则</w:t>
      </w:r>
    </w:p>
    <w:p w14:paraId="62B7947B">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调查对象应覆盖规划评价范围内所有敏感点，尽量做到评价范围内所有受本规划环境影响的调查对象均可以提出合理意见。</w:t>
      </w:r>
    </w:p>
    <w:p w14:paraId="37C80B1A">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（3）代表性原则</w:t>
      </w:r>
    </w:p>
    <w:p w14:paraId="105EA4D0">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在调查范围内所有敏感点中选取不同性别、年龄段、职业、民族的调查对象，以确保调查对象具有广泛的代表性，可以从不同角度获取公众对本规划的合理意见。</w:t>
      </w:r>
    </w:p>
    <w:p w14:paraId="19E5742A">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（4）真实性原则</w:t>
      </w:r>
    </w:p>
    <w:p w14:paraId="12A6365E">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严格按照《环境影响评价公众参与办法》的各项要求如实开展公众参与，期间所有公示信息及内容均应真实、有效，不得编造、伪造。</w:t>
      </w:r>
    </w:p>
    <w:p w14:paraId="0D807617">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（5）有效性原则</w:t>
      </w:r>
    </w:p>
    <w:p w14:paraId="143EFDD7">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公众参与和会商过程中应尽可能的让公众及各部门充分发表其意见和建议，同时有组织地将公众意见和会商意见进行归纳、处理和反馈，确保公众参与的结果合理有效。</w:t>
      </w:r>
    </w:p>
    <w:p w14:paraId="4F9CDE65">
      <w:pPr>
        <w:pStyle w:val="3"/>
        <w:spacing w:before="156" w:after="156"/>
        <w:rPr>
          <w:rFonts w:hint="default" w:ascii="Times New Roman" w:hAnsi="Times New Roman" w:cs="Times New Roman"/>
          <w:color w:val="auto"/>
          <w:highlight w:val="none"/>
        </w:rPr>
      </w:pPr>
      <w:bookmarkStart w:id="211" w:name="_Toc7504"/>
      <w:r>
        <w:rPr>
          <w:rFonts w:hint="default" w:ascii="Times New Roman" w:hAnsi="Times New Roman" w:cs="Times New Roman"/>
          <w:color w:val="auto"/>
          <w:highlight w:val="none"/>
        </w:rPr>
        <w:t>公众参与实施情况</w:t>
      </w:r>
      <w:bookmarkEnd w:id="211"/>
    </w:p>
    <w:p w14:paraId="500CB8DC">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首次环境影响评价信息公示情况</w:t>
      </w:r>
    </w:p>
    <w:p w14:paraId="131CA68B">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公示内容及日期</w:t>
      </w:r>
    </w:p>
    <w:p w14:paraId="4D2DD512">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为了便于公众及时了解规划的基本情况和本次规划环评的工作内容及流程，</w:t>
      </w:r>
      <w:r>
        <w:rPr>
          <w:rFonts w:hint="default" w:ascii="Times New Roman" w:hAnsi="Times New Roman" w:cs="Times New Roman"/>
          <w:color w:val="auto"/>
          <w:sz w:val="24"/>
          <w:szCs w:val="24"/>
          <w:highlight w:val="none"/>
          <w:lang w:eastAsia="zh-CN"/>
        </w:rPr>
        <w:t>波密县文化和旅游局</w:t>
      </w:r>
      <w:r>
        <w:rPr>
          <w:rFonts w:hint="default" w:ascii="Times New Roman" w:hAnsi="Times New Roman" w:cs="Times New Roman"/>
          <w:color w:val="auto"/>
          <w:sz w:val="24"/>
          <w:szCs w:val="24"/>
          <w:highlight w:val="none"/>
        </w:rPr>
        <w:t>按照《环境影响评价公众参与办法》（生态环境部令第4号）的相关要求，在确定了环境影响报告书编制单位后，于202</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13</w:t>
      </w:r>
      <w:r>
        <w:rPr>
          <w:rFonts w:hint="default" w:ascii="Times New Roman" w:hAnsi="Times New Roman" w:cs="Times New Roman"/>
          <w:color w:val="auto"/>
          <w:sz w:val="24"/>
          <w:szCs w:val="24"/>
          <w:highlight w:val="none"/>
        </w:rPr>
        <w:t>日在</w:t>
      </w:r>
      <w:r>
        <w:rPr>
          <w:rFonts w:hint="default" w:ascii="Times New Roman" w:hAnsi="Times New Roman" w:cs="Times New Roman"/>
          <w:color w:val="auto"/>
          <w:sz w:val="24"/>
          <w:szCs w:val="24"/>
          <w:highlight w:val="none"/>
          <w:lang w:eastAsia="zh-CN"/>
        </w:rPr>
        <w:t>全国建设项目环境信息公示平台</w:t>
      </w:r>
      <w:r>
        <w:rPr>
          <w:rFonts w:hint="default" w:ascii="Times New Roman" w:hAnsi="Times New Roman" w:cs="Times New Roman"/>
          <w:color w:val="auto"/>
          <w:sz w:val="24"/>
          <w:szCs w:val="24"/>
          <w:highlight w:val="none"/>
        </w:rPr>
        <w:t>上进行了第一次信息公开。</w:t>
      </w:r>
    </w:p>
    <w:p w14:paraId="725404AE">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信息公开内容包括规划名称及概况、规划实施单位名称和联系方式、环评报告书编制单位名称和联系方式、公众意见表的网络链接、公众提出反馈意见的方式和途径等。</w:t>
      </w:r>
    </w:p>
    <w:p w14:paraId="1C446BB1">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公示方式</w:t>
      </w:r>
    </w:p>
    <w:p w14:paraId="07E42F1C">
      <w:pPr>
        <w:pStyle w:val="36"/>
        <w:snapToGrid/>
        <w:spacing w:line="360" w:lineRule="auto"/>
        <w:ind w:firstLine="480" w:firstLineChars="200"/>
        <w:jc w:val="both"/>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按照</w:t>
      </w:r>
      <w:r>
        <w:rPr>
          <w:rFonts w:hint="default" w:ascii="Times New Roman" w:hAnsi="Times New Roman" w:cs="Times New Roman"/>
          <w:color w:val="auto"/>
          <w:sz w:val="24"/>
          <w:highlight w:val="none"/>
        </w:rPr>
        <w:t>《环境影响评价公众参与办法》（生态环境部令第4号）</w:t>
      </w:r>
      <w:r>
        <w:rPr>
          <w:rFonts w:hint="default" w:ascii="Times New Roman" w:hAnsi="Times New Roman" w:cs="Times New Roman"/>
          <w:color w:val="auto"/>
          <w:kern w:val="0"/>
          <w:sz w:val="24"/>
          <w:szCs w:val="24"/>
          <w:highlight w:val="none"/>
        </w:rPr>
        <w:t>的相关要求，应</w:t>
      </w:r>
      <w:r>
        <w:rPr>
          <w:rFonts w:hint="default" w:ascii="Times New Roman" w:hAnsi="Times New Roman" w:cs="Times New Roman"/>
          <w:color w:val="auto"/>
          <w:sz w:val="24"/>
          <w:szCs w:val="24"/>
          <w:highlight w:val="none"/>
        </w:rPr>
        <w:t>通过规划实施单位网站、建设项目所在地公共媒体网站或者建设项目所在地相关政府网站进行信息公开，本次通过</w:t>
      </w:r>
      <w:r>
        <w:rPr>
          <w:rFonts w:hint="default" w:ascii="Times New Roman" w:hAnsi="Times New Roman" w:cs="Times New Roman"/>
          <w:color w:val="auto"/>
          <w:kern w:val="0"/>
          <w:sz w:val="24"/>
          <w:szCs w:val="24"/>
          <w:highlight w:val="none"/>
          <w:lang w:eastAsia="zh-CN"/>
        </w:rPr>
        <w:t>全国建设项目环境信息公示平台</w:t>
      </w:r>
      <w:r>
        <w:rPr>
          <w:rFonts w:hint="default" w:ascii="Times New Roman" w:hAnsi="Times New Roman" w:cs="Times New Roman"/>
          <w:color w:val="auto"/>
          <w:kern w:val="0"/>
          <w:sz w:val="24"/>
          <w:szCs w:val="24"/>
          <w:highlight w:val="none"/>
        </w:rPr>
        <w:t>进行信息公开，此</w:t>
      </w:r>
      <w:r>
        <w:rPr>
          <w:rFonts w:hint="default" w:ascii="Times New Roman" w:hAnsi="Times New Roman" w:cs="Times New Roman"/>
          <w:color w:val="auto"/>
          <w:sz w:val="24"/>
          <w:szCs w:val="24"/>
          <w:highlight w:val="none"/>
        </w:rPr>
        <w:t>网络平台为规划实施单位</w:t>
      </w:r>
      <w:r>
        <w:rPr>
          <w:rFonts w:hint="default" w:ascii="Times New Roman" w:hAnsi="Times New Roman" w:cs="Times New Roman"/>
          <w:color w:val="auto"/>
          <w:kern w:val="0"/>
          <w:sz w:val="24"/>
          <w:szCs w:val="24"/>
          <w:highlight w:val="none"/>
        </w:rPr>
        <w:t>网站，符合《办法》要求。</w:t>
      </w:r>
    </w:p>
    <w:p w14:paraId="57EFF56D">
      <w:pPr>
        <w:pStyle w:val="36"/>
        <w:snapToGrid/>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rPr>
        <w:t>本规划首次信息公开网址为：https://www.eiacloud.com/gs/detail/1?id=60413rVhvN</w:t>
      </w:r>
      <w:r>
        <w:rPr>
          <w:rFonts w:hint="default" w:ascii="Times New Roman" w:hAnsi="Times New Roman" w:cs="Times New Roman"/>
          <w:color w:val="auto"/>
          <w:kern w:val="0"/>
          <w:sz w:val="24"/>
          <w:szCs w:val="24"/>
          <w:highlight w:val="none"/>
          <w:lang w:val="en-US"/>
        </w:rPr>
        <w:t>。</w:t>
      </w:r>
    </w:p>
    <w:p w14:paraId="2BA72F8A">
      <w:pPr>
        <w:pStyle w:val="36"/>
        <w:snapToGrid/>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lang w:val="en-US"/>
        </w:rPr>
        <w:t>首次信息网络公开情况截屏见</w:t>
      </w:r>
      <w:r>
        <w:rPr>
          <w:rFonts w:hint="default" w:ascii="Times New Roman" w:hAnsi="Times New Roman" w:cs="Times New Roman"/>
          <w:color w:val="auto"/>
          <w:kern w:val="0"/>
          <w:sz w:val="24"/>
          <w:szCs w:val="24"/>
          <w:highlight w:val="none"/>
        </w:rPr>
        <w:t>图</w:t>
      </w:r>
      <w:r>
        <w:rPr>
          <w:rFonts w:hint="default" w:ascii="Times New Roman" w:hAnsi="Times New Roman" w:cs="Times New Roman"/>
          <w:color w:val="auto"/>
          <w:kern w:val="0"/>
          <w:sz w:val="24"/>
          <w:szCs w:val="24"/>
          <w:highlight w:val="none"/>
          <w:lang w:val="en-US"/>
        </w:rPr>
        <w:t>10.2-1。</w:t>
      </w:r>
    </w:p>
    <w:p w14:paraId="47D78BE9">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公众意见情况</w:t>
      </w:r>
    </w:p>
    <w:p w14:paraId="331F4E20">
      <w:pPr>
        <w:pStyle w:val="36"/>
        <w:snapToGrid/>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rPr>
        <w:t>在首次环境影响评价信息</w:t>
      </w:r>
      <w:r>
        <w:rPr>
          <w:rFonts w:hint="default" w:ascii="Times New Roman" w:hAnsi="Times New Roman" w:cs="Times New Roman"/>
          <w:color w:val="auto"/>
          <w:sz w:val="24"/>
          <w:szCs w:val="24"/>
          <w:highlight w:val="none"/>
        </w:rPr>
        <w:t>公开期间</w:t>
      </w:r>
      <w:r>
        <w:rPr>
          <w:rFonts w:hint="default" w:ascii="Times New Roman" w:hAnsi="Times New Roman" w:cs="Times New Roman"/>
          <w:color w:val="auto"/>
          <w:kern w:val="0"/>
          <w:sz w:val="24"/>
          <w:szCs w:val="24"/>
          <w:highlight w:val="none"/>
        </w:rPr>
        <w:t>，规划实施单</w:t>
      </w:r>
      <w:r>
        <w:rPr>
          <w:rFonts w:hint="default" w:ascii="Times New Roman" w:hAnsi="Times New Roman" w:cs="Times New Roman"/>
          <w:color w:val="auto"/>
          <w:kern w:val="0"/>
          <w:sz w:val="24"/>
          <w:szCs w:val="24"/>
          <w:highlight w:val="none"/>
          <w:lang w:val="en-US"/>
        </w:rPr>
        <w:t>位和环评单位均</w:t>
      </w:r>
      <w:r>
        <w:rPr>
          <w:rFonts w:hint="default" w:ascii="Times New Roman" w:hAnsi="Times New Roman" w:cs="Times New Roman"/>
          <w:color w:val="auto"/>
          <w:kern w:val="0"/>
          <w:sz w:val="24"/>
          <w:szCs w:val="24"/>
          <w:highlight w:val="none"/>
        </w:rPr>
        <w:t>未收到公众</w:t>
      </w:r>
      <w:r>
        <w:rPr>
          <w:rFonts w:hint="default" w:ascii="Times New Roman" w:hAnsi="Times New Roman" w:cs="Times New Roman"/>
          <w:color w:val="auto"/>
          <w:kern w:val="0"/>
          <w:sz w:val="24"/>
          <w:szCs w:val="24"/>
          <w:highlight w:val="none"/>
          <w:lang w:val="en-US"/>
        </w:rPr>
        <w:t>提出的相关意见。</w:t>
      </w:r>
    </w:p>
    <w:p w14:paraId="29E35B42">
      <w:pPr>
        <w:pStyle w:val="36"/>
        <w:spacing w:line="360" w:lineRule="auto"/>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drawing>
          <wp:inline distT="0" distB="0" distL="114300" distR="114300">
            <wp:extent cx="5671820" cy="8302625"/>
            <wp:effectExtent l="0" t="0" r="12700" b="3175"/>
            <wp:docPr id="3" name="图片 3" descr="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次公示"/>
                    <pic:cNvPicPr>
                      <a:picLocks noChangeAspect="1"/>
                    </pic:cNvPicPr>
                  </pic:nvPicPr>
                  <pic:blipFill>
                    <a:blip r:embed="rId91"/>
                    <a:stretch>
                      <a:fillRect/>
                    </a:stretch>
                  </pic:blipFill>
                  <pic:spPr>
                    <a:xfrm>
                      <a:off x="0" y="0"/>
                      <a:ext cx="5671820" cy="8302625"/>
                    </a:xfrm>
                    <a:prstGeom prst="rect">
                      <a:avLst/>
                    </a:prstGeom>
                  </pic:spPr>
                </pic:pic>
              </a:graphicData>
            </a:graphic>
          </wp:inline>
        </w:drawing>
      </w:r>
    </w:p>
    <w:p w14:paraId="1230C939">
      <w:pPr>
        <w:pStyle w:val="36"/>
        <w:snapToGrid/>
        <w:spacing w:line="360" w:lineRule="auto"/>
        <w:contextualSpacing/>
        <w:jc w:val="center"/>
        <w:rPr>
          <w:rFonts w:hint="default" w:ascii="Times New Roman" w:hAnsi="Times New Roman" w:eastAsia="黑体" w:cs="Times New Roman"/>
          <w:color w:val="auto"/>
          <w:kern w:val="0"/>
          <w:sz w:val="21"/>
          <w:szCs w:val="21"/>
          <w:highlight w:val="none"/>
          <w:lang w:val="en-US"/>
        </w:rPr>
      </w:pPr>
      <w:r>
        <w:rPr>
          <w:rFonts w:hint="default" w:ascii="Times New Roman" w:hAnsi="Times New Roman" w:eastAsia="黑体" w:cs="Times New Roman"/>
          <w:color w:val="auto"/>
          <w:kern w:val="0"/>
          <w:sz w:val="21"/>
          <w:szCs w:val="21"/>
          <w:highlight w:val="none"/>
          <w:lang w:val="en-US"/>
        </w:rPr>
        <w:t xml:space="preserve">图10.2-1  </w:t>
      </w:r>
      <w:r>
        <w:rPr>
          <w:rFonts w:hint="default" w:ascii="Times New Roman" w:hAnsi="Times New Roman" w:eastAsia="黑体" w:cs="Times New Roman"/>
          <w:color w:val="auto"/>
          <w:kern w:val="0"/>
          <w:sz w:val="21"/>
          <w:szCs w:val="21"/>
          <w:highlight w:val="none"/>
        </w:rPr>
        <w:t>首次信息网络公开截图</w:t>
      </w:r>
    </w:p>
    <w:p w14:paraId="74A445CD">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征求意见稿公示情况</w:t>
      </w:r>
    </w:p>
    <w:p w14:paraId="5D16CF38">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公开内容及时限</w:t>
      </w:r>
    </w:p>
    <w:p w14:paraId="4F187A06">
      <w:pPr>
        <w:pStyle w:val="36"/>
        <w:snapToGrid/>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lang w:val="en-US"/>
        </w:rPr>
        <w:t>按照《环境影响评价公众参与办法》（生态环境部令第4号）的相关要求，本规划环评形成征求意见稿后，</w:t>
      </w:r>
      <w:r>
        <w:rPr>
          <w:rFonts w:hint="default" w:ascii="Times New Roman" w:hAnsi="Times New Roman" w:cs="Times New Roman"/>
          <w:color w:val="auto"/>
          <w:kern w:val="0"/>
          <w:sz w:val="24"/>
          <w:szCs w:val="24"/>
          <w:highlight w:val="none"/>
          <w:lang w:val="en-US" w:eastAsia="zh-CN"/>
        </w:rPr>
        <w:t>波密县文化和旅游局</w:t>
      </w:r>
      <w:r>
        <w:rPr>
          <w:rFonts w:hint="default" w:ascii="Times New Roman" w:hAnsi="Times New Roman" w:cs="Times New Roman"/>
          <w:color w:val="auto"/>
          <w:kern w:val="0"/>
          <w:sz w:val="24"/>
          <w:szCs w:val="24"/>
          <w:highlight w:val="none"/>
          <w:lang w:val="en-US"/>
        </w:rPr>
        <w:t>对本规划环评征求意见稿进行了公示，以征求与该规划环境影响有关的意见，持续公开期限为10个工作日。</w:t>
      </w:r>
    </w:p>
    <w:p w14:paraId="790E1A7C">
      <w:pPr>
        <w:pStyle w:val="36"/>
        <w:snapToGrid/>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lang w:val="en-US"/>
        </w:rPr>
        <w:t>公开信息内容包括环境影响报告书征求意见稿全文的网络链接及查阅纸质报告书的方式和途径、征求意见的公众范围、公众意见表的网络链接、公众提出意见的方式和途径、公众提出意见的起止时间。</w:t>
      </w:r>
    </w:p>
    <w:p w14:paraId="2D1AECE0">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公示方式</w:t>
      </w:r>
    </w:p>
    <w:p w14:paraId="7CFE2184">
      <w:pPr>
        <w:pStyle w:val="36"/>
        <w:snapToGrid/>
        <w:spacing w:line="360" w:lineRule="auto"/>
        <w:ind w:firstLine="480" w:firstLineChars="200"/>
        <w:jc w:val="both"/>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（1）网络平台</w:t>
      </w:r>
    </w:p>
    <w:p w14:paraId="3C58C47B">
      <w:pPr>
        <w:pStyle w:val="36"/>
        <w:snapToGrid/>
        <w:spacing w:line="360" w:lineRule="auto"/>
        <w:ind w:firstLine="480" w:firstLineChars="200"/>
        <w:jc w:val="both"/>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本规划</w:t>
      </w:r>
      <w:r>
        <w:rPr>
          <w:rFonts w:hint="default" w:ascii="Times New Roman" w:hAnsi="Times New Roman" w:cs="Times New Roman"/>
          <w:color w:val="auto"/>
          <w:kern w:val="0"/>
          <w:sz w:val="24"/>
          <w:szCs w:val="24"/>
          <w:highlight w:val="none"/>
        </w:rPr>
        <w:t>征求意见稿完成后，在</w:t>
      </w:r>
      <w:r>
        <w:rPr>
          <w:rFonts w:hint="default" w:ascii="Times New Roman" w:hAnsi="Times New Roman" w:cs="Times New Roman"/>
          <w:color w:val="auto"/>
          <w:kern w:val="0"/>
          <w:sz w:val="24"/>
          <w:szCs w:val="24"/>
          <w:highlight w:val="none"/>
          <w:lang w:eastAsia="zh-CN"/>
        </w:rPr>
        <w:t>全国建设项目环境信息公示平台</w:t>
      </w:r>
      <w:r>
        <w:rPr>
          <w:rFonts w:hint="default" w:ascii="Times New Roman" w:hAnsi="Times New Roman" w:cs="Times New Roman"/>
          <w:color w:val="auto"/>
          <w:kern w:val="0"/>
          <w:sz w:val="24"/>
          <w:szCs w:val="24"/>
          <w:highlight w:val="none"/>
        </w:rPr>
        <w:t>进行了公开，此</w:t>
      </w:r>
      <w:r>
        <w:rPr>
          <w:rFonts w:hint="default" w:ascii="Times New Roman" w:hAnsi="Times New Roman" w:cs="Times New Roman"/>
          <w:color w:val="auto"/>
          <w:sz w:val="24"/>
          <w:szCs w:val="24"/>
          <w:highlight w:val="none"/>
        </w:rPr>
        <w:t>网络平台为规划实施单位</w:t>
      </w:r>
      <w:r>
        <w:rPr>
          <w:rFonts w:hint="default" w:ascii="Times New Roman" w:hAnsi="Times New Roman" w:cs="Times New Roman"/>
          <w:color w:val="auto"/>
          <w:kern w:val="0"/>
          <w:sz w:val="24"/>
          <w:szCs w:val="24"/>
          <w:highlight w:val="none"/>
        </w:rPr>
        <w:t>网站，符合《办法》要求。</w:t>
      </w:r>
    </w:p>
    <w:p w14:paraId="34768285">
      <w:pPr>
        <w:pStyle w:val="36"/>
        <w:snapToGrid/>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rPr>
        <w:t>本规划征求意见稿</w:t>
      </w:r>
      <w:r>
        <w:rPr>
          <w:rFonts w:hint="default" w:ascii="Times New Roman" w:hAnsi="Times New Roman" w:cs="Times New Roman"/>
          <w:color w:val="auto"/>
          <w:sz w:val="24"/>
          <w:szCs w:val="24"/>
          <w:highlight w:val="none"/>
        </w:rPr>
        <w:t>公开的时限为</w:t>
      </w:r>
      <w:r>
        <w:rPr>
          <w:rFonts w:hint="default" w:ascii="Times New Roman" w:hAnsi="Times New Roman" w:cs="Times New Roman"/>
          <w:color w:val="auto"/>
          <w:sz w:val="24"/>
          <w:szCs w:val="24"/>
          <w:highlight w:val="none"/>
          <w:shd w:val="clear" w:color="auto" w:fill="FFFFFF"/>
        </w:rPr>
        <w:t>20</w:t>
      </w:r>
      <w:r>
        <w:rPr>
          <w:rFonts w:hint="default" w:ascii="Times New Roman" w:hAnsi="Times New Roman" w:cs="Times New Roman"/>
          <w:color w:val="auto"/>
          <w:sz w:val="24"/>
          <w:szCs w:val="24"/>
          <w:highlight w:val="none"/>
          <w:shd w:val="clear" w:color="auto" w:fill="FFFFFF"/>
          <w:lang w:val="en-US" w:eastAsia="zh-CN"/>
        </w:rPr>
        <w:t>26</w:t>
      </w:r>
      <w:r>
        <w:rPr>
          <w:rFonts w:hint="default" w:ascii="Times New Roman" w:hAnsi="Times New Roman" w:cs="Times New Roman"/>
          <w:color w:val="auto"/>
          <w:sz w:val="24"/>
          <w:szCs w:val="24"/>
          <w:highlight w:val="none"/>
          <w:shd w:val="clear" w:color="auto" w:fill="FFFFFF"/>
        </w:rPr>
        <w:t>年</w:t>
      </w:r>
      <w:r>
        <w:rPr>
          <w:rFonts w:hint="default" w:ascii="Times New Roman" w:hAnsi="Times New Roman" w:cs="Times New Roman"/>
          <w:color w:val="auto"/>
          <w:sz w:val="24"/>
          <w:szCs w:val="24"/>
          <w:highlight w:val="none"/>
          <w:shd w:val="clear" w:color="auto" w:fill="FFFFFF"/>
          <w:lang w:val="en-US" w:eastAsia="zh-CN"/>
        </w:rPr>
        <w:t>4</w:t>
      </w:r>
      <w:r>
        <w:rPr>
          <w:rFonts w:hint="default" w:ascii="Times New Roman" w:hAnsi="Times New Roman" w:cs="Times New Roman"/>
          <w:color w:val="auto"/>
          <w:sz w:val="24"/>
          <w:szCs w:val="24"/>
          <w:highlight w:val="none"/>
          <w:shd w:val="clear" w:color="auto" w:fill="FFFFFF"/>
        </w:rPr>
        <w:t>月</w:t>
      </w:r>
      <w:r>
        <w:rPr>
          <w:rFonts w:hint="default" w:ascii="Times New Roman" w:hAnsi="Times New Roman" w:cs="Times New Roman"/>
          <w:color w:val="auto"/>
          <w:sz w:val="24"/>
          <w:szCs w:val="24"/>
          <w:highlight w:val="none"/>
          <w:shd w:val="clear" w:color="auto" w:fill="FFFFFF"/>
          <w:lang w:val="en-US" w:eastAsia="zh-CN"/>
        </w:rPr>
        <w:t>3</w:t>
      </w:r>
      <w:r>
        <w:rPr>
          <w:rFonts w:hint="default" w:ascii="Times New Roman" w:hAnsi="Times New Roman" w:cs="Times New Roman"/>
          <w:color w:val="auto"/>
          <w:sz w:val="24"/>
          <w:szCs w:val="24"/>
          <w:highlight w:val="none"/>
          <w:shd w:val="clear" w:color="auto" w:fill="FFFFFF"/>
        </w:rPr>
        <w:t>0日至202</w:t>
      </w:r>
      <w:r>
        <w:rPr>
          <w:rFonts w:hint="default" w:ascii="Times New Roman" w:hAnsi="Times New Roman" w:cs="Times New Roman"/>
          <w:color w:val="auto"/>
          <w:sz w:val="24"/>
          <w:szCs w:val="24"/>
          <w:highlight w:val="none"/>
          <w:shd w:val="clear" w:color="auto" w:fill="FFFFFF"/>
          <w:lang w:val="en-US" w:eastAsia="zh-CN"/>
        </w:rPr>
        <w:t>6</w:t>
      </w:r>
      <w:r>
        <w:rPr>
          <w:rFonts w:hint="default" w:ascii="Times New Roman" w:hAnsi="Times New Roman" w:cs="Times New Roman"/>
          <w:color w:val="auto"/>
          <w:sz w:val="24"/>
          <w:szCs w:val="24"/>
          <w:highlight w:val="none"/>
          <w:shd w:val="clear" w:color="auto" w:fill="FFFFFF"/>
        </w:rPr>
        <w:t>年</w:t>
      </w:r>
      <w:r>
        <w:rPr>
          <w:rFonts w:hint="default" w:ascii="Times New Roman" w:hAnsi="Times New Roman" w:cs="Times New Roman"/>
          <w:color w:val="auto"/>
          <w:sz w:val="24"/>
          <w:szCs w:val="24"/>
          <w:highlight w:val="none"/>
          <w:shd w:val="clear" w:color="auto" w:fill="FFFFFF"/>
          <w:lang w:val="en-US" w:eastAsia="zh-CN"/>
        </w:rPr>
        <w:t>5</w:t>
      </w:r>
      <w:r>
        <w:rPr>
          <w:rFonts w:hint="default" w:ascii="Times New Roman" w:hAnsi="Times New Roman" w:cs="Times New Roman"/>
          <w:color w:val="auto"/>
          <w:sz w:val="24"/>
          <w:szCs w:val="24"/>
          <w:highlight w:val="none"/>
          <w:shd w:val="clear" w:color="auto" w:fill="FFFFFF"/>
        </w:rPr>
        <w:t>月</w:t>
      </w:r>
      <w:r>
        <w:rPr>
          <w:rFonts w:hint="default" w:ascii="Times New Roman" w:hAnsi="Times New Roman" w:cs="Times New Roman"/>
          <w:color w:val="auto"/>
          <w:sz w:val="24"/>
          <w:szCs w:val="24"/>
          <w:highlight w:val="none"/>
          <w:shd w:val="clear" w:color="auto" w:fill="FFFFFF"/>
          <w:lang w:val="en-US" w:eastAsia="zh-CN"/>
        </w:rPr>
        <w:t>15</w:t>
      </w:r>
      <w:r>
        <w:rPr>
          <w:rFonts w:hint="default" w:ascii="Times New Roman" w:hAnsi="Times New Roman" w:cs="Times New Roman"/>
          <w:color w:val="auto"/>
          <w:sz w:val="24"/>
          <w:szCs w:val="24"/>
          <w:highlight w:val="none"/>
          <w:shd w:val="clear" w:color="auto" w:fill="FFFFFF"/>
        </w:rPr>
        <w:t>日</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kern w:val="0"/>
          <w:sz w:val="24"/>
          <w:szCs w:val="24"/>
          <w:highlight w:val="none"/>
        </w:rPr>
        <w:t>本规划征求意见稿公开网址为：https://www.eiacloud.com/gs/detail/1?id=60430pEUlb</w:t>
      </w:r>
      <w:r>
        <w:rPr>
          <w:rFonts w:hint="default" w:ascii="Times New Roman" w:hAnsi="Times New Roman" w:cs="Times New Roman"/>
          <w:color w:val="auto"/>
          <w:kern w:val="0"/>
          <w:sz w:val="24"/>
          <w:szCs w:val="24"/>
          <w:highlight w:val="none"/>
          <w:lang w:val="en-US"/>
        </w:rPr>
        <w:t>。</w:t>
      </w:r>
    </w:p>
    <w:p w14:paraId="4179E801">
      <w:pPr>
        <w:pStyle w:val="36"/>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rPr>
        <w:t>征求意见稿</w:t>
      </w:r>
      <w:r>
        <w:rPr>
          <w:rFonts w:hint="default" w:ascii="Times New Roman" w:hAnsi="Times New Roman" w:cs="Times New Roman"/>
          <w:color w:val="auto"/>
          <w:kern w:val="0"/>
          <w:sz w:val="24"/>
          <w:szCs w:val="24"/>
          <w:highlight w:val="none"/>
          <w:lang w:val="en-US"/>
        </w:rPr>
        <w:t>网络平台公开情况截屏见</w:t>
      </w:r>
      <w:r>
        <w:rPr>
          <w:rFonts w:hint="default" w:ascii="Times New Roman" w:hAnsi="Times New Roman" w:cs="Times New Roman"/>
          <w:color w:val="auto"/>
          <w:kern w:val="0"/>
          <w:sz w:val="24"/>
          <w:szCs w:val="24"/>
          <w:highlight w:val="none"/>
        </w:rPr>
        <w:t>图</w:t>
      </w:r>
      <w:r>
        <w:rPr>
          <w:rFonts w:hint="default" w:ascii="Times New Roman" w:hAnsi="Times New Roman" w:cs="Times New Roman"/>
          <w:color w:val="auto"/>
          <w:kern w:val="0"/>
          <w:sz w:val="24"/>
          <w:szCs w:val="24"/>
          <w:highlight w:val="none"/>
          <w:lang w:val="en-US"/>
        </w:rPr>
        <w:t>10.2-2。</w:t>
      </w:r>
    </w:p>
    <w:p w14:paraId="7CC65756">
      <w:pPr>
        <w:pStyle w:val="36"/>
        <w:spacing w:line="360" w:lineRule="auto"/>
        <w:jc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drawing>
          <wp:inline distT="0" distB="0" distL="114300" distR="114300">
            <wp:extent cx="5661660" cy="8288020"/>
            <wp:effectExtent l="0" t="0" r="7620" b="2540"/>
            <wp:docPr id="5" name="图片 5" descr="公示证明60430hPp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示证明60430hPpYW"/>
                    <pic:cNvPicPr>
                      <a:picLocks noChangeAspect="1"/>
                    </pic:cNvPicPr>
                  </pic:nvPicPr>
                  <pic:blipFill>
                    <a:blip r:embed="rId92"/>
                    <a:stretch>
                      <a:fillRect/>
                    </a:stretch>
                  </pic:blipFill>
                  <pic:spPr>
                    <a:xfrm>
                      <a:off x="0" y="0"/>
                      <a:ext cx="5661660" cy="8288020"/>
                    </a:xfrm>
                    <a:prstGeom prst="rect">
                      <a:avLst/>
                    </a:prstGeom>
                  </pic:spPr>
                </pic:pic>
              </a:graphicData>
            </a:graphic>
          </wp:inline>
        </w:drawing>
      </w:r>
    </w:p>
    <w:p w14:paraId="60116A70">
      <w:pPr>
        <w:pStyle w:val="36"/>
        <w:snapToGrid/>
        <w:spacing w:line="360" w:lineRule="auto"/>
        <w:contextualSpacing/>
        <w:jc w:val="center"/>
        <w:rPr>
          <w:rFonts w:hint="default" w:ascii="Times New Roman" w:hAnsi="Times New Roman" w:eastAsia="黑体" w:cs="Times New Roman"/>
          <w:color w:val="auto"/>
          <w:kern w:val="0"/>
          <w:sz w:val="21"/>
          <w:szCs w:val="21"/>
          <w:highlight w:val="none"/>
          <w:lang w:val="en-US"/>
        </w:rPr>
      </w:pPr>
      <w:r>
        <w:rPr>
          <w:rFonts w:hint="default" w:ascii="Times New Roman" w:hAnsi="Times New Roman" w:eastAsia="黑体" w:cs="Times New Roman"/>
          <w:color w:val="auto"/>
          <w:kern w:val="0"/>
          <w:sz w:val="21"/>
          <w:szCs w:val="21"/>
          <w:highlight w:val="none"/>
          <w:lang w:val="en-US"/>
        </w:rPr>
        <w:t>图10.2-2  环境影响报告书征求意见稿信息网络公开截图</w:t>
      </w:r>
    </w:p>
    <w:p w14:paraId="3B888D93">
      <w:pPr>
        <w:pStyle w:val="36"/>
        <w:snapToGrid/>
        <w:spacing w:line="360" w:lineRule="auto"/>
        <w:ind w:firstLine="480" w:firstLineChars="200"/>
        <w:jc w:val="both"/>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（2）报纸</w:t>
      </w:r>
    </w:p>
    <w:p w14:paraId="00AC1DB1">
      <w:pPr>
        <w:pStyle w:val="36"/>
        <w:snapToGrid/>
        <w:spacing w:line="360" w:lineRule="auto"/>
        <w:ind w:firstLine="480" w:firstLineChars="200"/>
        <w:jc w:val="both"/>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规划实施单位于202</w:t>
      </w:r>
      <w:r>
        <w:rPr>
          <w:rFonts w:hint="default" w:ascii="Times New Roman" w:hAnsi="Times New Roman" w:cs="Times New Roman"/>
          <w:color w:val="auto"/>
          <w:kern w:val="0"/>
          <w:sz w:val="24"/>
          <w:szCs w:val="24"/>
          <w:highlight w:val="none"/>
          <w:lang w:val="en-US" w:eastAsia="zh-CN"/>
        </w:rPr>
        <w:t>6</w:t>
      </w:r>
      <w:r>
        <w:rPr>
          <w:rFonts w:hint="default" w:ascii="Times New Roman" w:hAnsi="Times New Roman" w:cs="Times New Roman"/>
          <w:color w:val="auto"/>
          <w:kern w:val="0"/>
          <w:sz w:val="24"/>
          <w:szCs w:val="24"/>
          <w:highlight w:val="none"/>
        </w:rPr>
        <w:t>年</w:t>
      </w:r>
      <w:r>
        <w:rPr>
          <w:rFonts w:hint="default" w:ascii="Times New Roman" w:hAnsi="Times New Roman" w:cs="Times New Roman"/>
          <w:color w:val="auto"/>
          <w:kern w:val="0"/>
          <w:sz w:val="24"/>
          <w:szCs w:val="24"/>
          <w:highlight w:val="none"/>
          <w:lang w:val="en-US" w:eastAsia="zh-CN"/>
        </w:rPr>
        <w:t>5</w:t>
      </w:r>
      <w:r>
        <w:rPr>
          <w:rFonts w:hint="default" w:ascii="Times New Roman" w:hAnsi="Times New Roman" w:cs="Times New Roman"/>
          <w:color w:val="auto"/>
          <w:kern w:val="0"/>
          <w:sz w:val="24"/>
          <w:szCs w:val="24"/>
          <w:highlight w:val="none"/>
        </w:rPr>
        <w:t>月</w:t>
      </w:r>
      <w:r>
        <w:rPr>
          <w:rFonts w:hint="default" w:ascii="Times New Roman" w:hAnsi="Times New Roman" w:cs="Times New Roman"/>
          <w:color w:val="auto"/>
          <w:kern w:val="0"/>
          <w:sz w:val="24"/>
          <w:szCs w:val="24"/>
          <w:highlight w:val="none"/>
          <w:lang w:val="en-US" w:eastAsia="zh-CN"/>
        </w:rPr>
        <w:t>13</w:t>
      </w:r>
      <w:r>
        <w:rPr>
          <w:rFonts w:hint="default" w:ascii="Times New Roman" w:hAnsi="Times New Roman" w:cs="Times New Roman"/>
          <w:color w:val="auto"/>
          <w:kern w:val="0"/>
          <w:sz w:val="24"/>
          <w:szCs w:val="24"/>
          <w:highlight w:val="none"/>
        </w:rPr>
        <w:t>日</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202</w:t>
      </w:r>
      <w:r>
        <w:rPr>
          <w:rFonts w:hint="default" w:ascii="Times New Roman" w:hAnsi="Times New Roman" w:cs="Times New Roman"/>
          <w:color w:val="auto"/>
          <w:kern w:val="0"/>
          <w:sz w:val="24"/>
          <w:szCs w:val="24"/>
          <w:highlight w:val="none"/>
          <w:lang w:val="en-US" w:eastAsia="zh-CN"/>
        </w:rPr>
        <w:t>6</w:t>
      </w:r>
      <w:r>
        <w:rPr>
          <w:rFonts w:hint="default" w:ascii="Times New Roman" w:hAnsi="Times New Roman" w:cs="Times New Roman"/>
          <w:color w:val="auto"/>
          <w:kern w:val="0"/>
          <w:sz w:val="24"/>
          <w:szCs w:val="24"/>
          <w:highlight w:val="none"/>
        </w:rPr>
        <w:t>年</w:t>
      </w:r>
      <w:r>
        <w:rPr>
          <w:rFonts w:hint="default" w:ascii="Times New Roman" w:hAnsi="Times New Roman" w:cs="Times New Roman"/>
          <w:color w:val="auto"/>
          <w:kern w:val="0"/>
          <w:sz w:val="24"/>
          <w:szCs w:val="24"/>
          <w:highlight w:val="none"/>
          <w:lang w:val="en-US" w:eastAsia="zh-CN"/>
        </w:rPr>
        <w:t>5</w:t>
      </w:r>
      <w:r>
        <w:rPr>
          <w:rFonts w:hint="default" w:ascii="Times New Roman" w:hAnsi="Times New Roman" w:cs="Times New Roman"/>
          <w:color w:val="auto"/>
          <w:kern w:val="0"/>
          <w:sz w:val="24"/>
          <w:szCs w:val="24"/>
          <w:highlight w:val="none"/>
        </w:rPr>
        <w:t>月</w:t>
      </w:r>
      <w:r>
        <w:rPr>
          <w:rFonts w:hint="default" w:ascii="Times New Roman" w:hAnsi="Times New Roman" w:cs="Times New Roman"/>
          <w:color w:val="auto"/>
          <w:kern w:val="0"/>
          <w:sz w:val="24"/>
          <w:szCs w:val="24"/>
          <w:highlight w:val="none"/>
          <w:lang w:val="en-US" w:eastAsia="zh-CN"/>
        </w:rPr>
        <w:t>15</w:t>
      </w:r>
      <w:r>
        <w:rPr>
          <w:rFonts w:hint="default" w:ascii="Times New Roman" w:hAnsi="Times New Roman" w:cs="Times New Roman"/>
          <w:color w:val="auto"/>
          <w:kern w:val="0"/>
          <w:sz w:val="24"/>
          <w:szCs w:val="24"/>
          <w:highlight w:val="none"/>
        </w:rPr>
        <w:t>日</w:t>
      </w:r>
      <w:r>
        <w:rPr>
          <w:rFonts w:hint="default" w:ascii="Times New Roman" w:hAnsi="Times New Roman" w:cs="Times New Roman"/>
          <w:color w:val="auto"/>
          <w:kern w:val="0"/>
          <w:sz w:val="24"/>
          <w:szCs w:val="24"/>
          <w:highlight w:val="none"/>
          <w:lang w:val="en-US" w:eastAsia="zh-CN"/>
        </w:rPr>
        <w:t>分别</w:t>
      </w:r>
      <w:r>
        <w:rPr>
          <w:rFonts w:hint="default" w:ascii="Times New Roman" w:hAnsi="Times New Roman" w:cs="Times New Roman"/>
          <w:color w:val="auto"/>
          <w:kern w:val="0"/>
          <w:sz w:val="24"/>
          <w:szCs w:val="24"/>
          <w:highlight w:val="none"/>
        </w:rPr>
        <w:t>进行了报纸公开（</w:t>
      </w:r>
      <w:r>
        <w:rPr>
          <w:rFonts w:hint="default" w:ascii="Times New Roman" w:hAnsi="Times New Roman" w:cs="Times New Roman"/>
          <w:color w:val="auto"/>
          <w:kern w:val="0"/>
          <w:sz w:val="24"/>
          <w:szCs w:val="24"/>
          <w:highlight w:val="none"/>
          <w:lang w:val="en-US" w:eastAsia="zh-CN"/>
        </w:rPr>
        <w:t>西南商报</w:t>
      </w:r>
      <w:r>
        <w:rPr>
          <w:rFonts w:hint="default" w:ascii="Times New Roman" w:hAnsi="Times New Roman" w:cs="Times New Roman"/>
          <w:color w:val="auto"/>
          <w:kern w:val="0"/>
          <w:sz w:val="24"/>
          <w:szCs w:val="24"/>
          <w:highlight w:val="none"/>
        </w:rPr>
        <w:t>），公示内容详见图10.2-3</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图10.2-</w:t>
      </w:r>
      <w:r>
        <w:rPr>
          <w:rFonts w:hint="default" w:ascii="Times New Roman" w:hAnsi="Times New Roman" w:cs="Times New Roman"/>
          <w:color w:val="auto"/>
          <w:kern w:val="0"/>
          <w:sz w:val="24"/>
          <w:szCs w:val="24"/>
          <w:highlight w:val="none"/>
          <w:lang w:val="en-US" w:eastAsia="zh-CN"/>
        </w:rPr>
        <w:t>4</w:t>
      </w:r>
      <w:r>
        <w:rPr>
          <w:rFonts w:hint="default" w:ascii="Times New Roman" w:hAnsi="Times New Roman" w:cs="Times New Roman"/>
          <w:color w:val="auto"/>
          <w:kern w:val="0"/>
          <w:sz w:val="24"/>
          <w:szCs w:val="24"/>
          <w:highlight w:val="none"/>
        </w:rPr>
        <w:t>。</w:t>
      </w:r>
    </w:p>
    <w:p w14:paraId="65FBC83F">
      <w:pPr>
        <w:pStyle w:val="36"/>
        <w:spacing w:line="360" w:lineRule="auto"/>
        <w:jc w:val="center"/>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highlight w:val="none"/>
        </w:rPr>
        <w:drawing>
          <wp:inline distT="0" distB="0" distL="114300" distR="114300">
            <wp:extent cx="5682615" cy="347980"/>
            <wp:effectExtent l="0" t="0" r="1905" b="254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93"/>
                    <a:stretch>
                      <a:fillRect/>
                    </a:stretch>
                  </pic:blipFill>
                  <pic:spPr>
                    <a:xfrm>
                      <a:off x="0" y="0"/>
                      <a:ext cx="5682615" cy="347980"/>
                    </a:xfrm>
                    <a:prstGeom prst="rect">
                      <a:avLst/>
                    </a:prstGeom>
                    <a:noFill/>
                    <a:ln>
                      <a:noFill/>
                    </a:ln>
                  </pic:spPr>
                </pic:pic>
              </a:graphicData>
            </a:graphic>
          </wp:inline>
        </w:drawing>
      </w:r>
      <w:r>
        <w:rPr>
          <w:rFonts w:hint="default" w:ascii="Times New Roman" w:hAnsi="Times New Roman" w:cs="Times New Roman"/>
          <w:color w:val="auto"/>
          <w:highlight w:val="none"/>
        </w:rPr>
        <w:drawing>
          <wp:inline distT="0" distB="0" distL="114300" distR="114300">
            <wp:extent cx="5682615" cy="1656080"/>
            <wp:effectExtent l="0" t="0" r="1905" b="508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94"/>
                    <a:stretch>
                      <a:fillRect/>
                    </a:stretch>
                  </pic:blipFill>
                  <pic:spPr>
                    <a:xfrm>
                      <a:off x="0" y="0"/>
                      <a:ext cx="5682615" cy="1656080"/>
                    </a:xfrm>
                    <a:prstGeom prst="rect">
                      <a:avLst/>
                    </a:prstGeom>
                    <a:noFill/>
                    <a:ln>
                      <a:noFill/>
                    </a:ln>
                  </pic:spPr>
                </pic:pic>
              </a:graphicData>
            </a:graphic>
          </wp:inline>
        </w:drawing>
      </w:r>
    </w:p>
    <w:p w14:paraId="073DF487">
      <w:pPr>
        <w:pStyle w:val="36"/>
        <w:snapToGrid/>
        <w:spacing w:line="360" w:lineRule="auto"/>
        <w:contextualSpacing/>
        <w:jc w:val="center"/>
        <w:rPr>
          <w:rFonts w:hint="default" w:ascii="Times New Roman" w:hAnsi="Times New Roman" w:eastAsia="黑体" w:cs="Times New Roman"/>
          <w:color w:val="auto"/>
          <w:kern w:val="0"/>
          <w:sz w:val="21"/>
          <w:szCs w:val="21"/>
          <w:highlight w:val="none"/>
          <w:lang w:val="en-US"/>
        </w:rPr>
      </w:pPr>
      <w:r>
        <w:rPr>
          <w:rFonts w:hint="default" w:ascii="Times New Roman" w:hAnsi="Times New Roman" w:eastAsia="黑体" w:cs="Times New Roman"/>
          <w:color w:val="auto"/>
          <w:kern w:val="0"/>
          <w:sz w:val="21"/>
          <w:szCs w:val="21"/>
          <w:highlight w:val="none"/>
          <w:lang w:val="en-US"/>
        </w:rPr>
        <w:t>图10.2-3  环境影响报告书</w:t>
      </w:r>
      <w:r>
        <w:rPr>
          <w:rFonts w:hint="default" w:ascii="Times New Roman" w:hAnsi="Times New Roman" w:eastAsia="黑体" w:cs="Times New Roman"/>
          <w:color w:val="auto"/>
          <w:kern w:val="0"/>
          <w:sz w:val="21"/>
          <w:szCs w:val="21"/>
          <w:highlight w:val="none"/>
        </w:rPr>
        <w:t>征求意见稿</w:t>
      </w:r>
      <w:r>
        <w:rPr>
          <w:rFonts w:hint="default" w:ascii="Times New Roman" w:hAnsi="Times New Roman" w:eastAsia="黑体" w:cs="Times New Roman"/>
          <w:color w:val="auto"/>
          <w:kern w:val="0"/>
          <w:sz w:val="21"/>
          <w:szCs w:val="21"/>
          <w:highlight w:val="none"/>
          <w:lang w:val="en-US"/>
        </w:rPr>
        <w:t>信息报纸公开截图（202</w:t>
      </w:r>
      <w:r>
        <w:rPr>
          <w:rFonts w:hint="default" w:ascii="Times New Roman" w:hAnsi="Times New Roman" w:eastAsia="黑体" w:cs="Times New Roman"/>
          <w:color w:val="auto"/>
          <w:kern w:val="0"/>
          <w:sz w:val="21"/>
          <w:szCs w:val="21"/>
          <w:highlight w:val="none"/>
          <w:lang w:val="en-US" w:eastAsia="zh-CN"/>
        </w:rPr>
        <w:t>6</w:t>
      </w:r>
      <w:r>
        <w:rPr>
          <w:rFonts w:hint="default" w:ascii="Times New Roman" w:hAnsi="Times New Roman" w:eastAsia="黑体" w:cs="Times New Roman"/>
          <w:color w:val="auto"/>
          <w:kern w:val="0"/>
          <w:sz w:val="21"/>
          <w:szCs w:val="21"/>
          <w:highlight w:val="none"/>
          <w:lang w:val="en-US"/>
        </w:rPr>
        <w:t>年</w:t>
      </w:r>
      <w:r>
        <w:rPr>
          <w:rFonts w:hint="default" w:ascii="Times New Roman" w:hAnsi="Times New Roman" w:eastAsia="黑体" w:cs="Times New Roman"/>
          <w:color w:val="auto"/>
          <w:kern w:val="0"/>
          <w:sz w:val="21"/>
          <w:szCs w:val="21"/>
          <w:highlight w:val="none"/>
          <w:lang w:val="en-US" w:eastAsia="zh-CN"/>
        </w:rPr>
        <w:t>5</w:t>
      </w:r>
      <w:r>
        <w:rPr>
          <w:rFonts w:hint="default" w:ascii="Times New Roman" w:hAnsi="Times New Roman" w:eastAsia="黑体" w:cs="Times New Roman"/>
          <w:color w:val="auto"/>
          <w:kern w:val="0"/>
          <w:sz w:val="21"/>
          <w:szCs w:val="21"/>
          <w:highlight w:val="none"/>
          <w:lang w:val="en-US"/>
        </w:rPr>
        <w:t>月</w:t>
      </w:r>
      <w:r>
        <w:rPr>
          <w:rFonts w:hint="default" w:ascii="Times New Roman" w:hAnsi="Times New Roman" w:eastAsia="黑体" w:cs="Times New Roman"/>
          <w:color w:val="auto"/>
          <w:kern w:val="0"/>
          <w:sz w:val="21"/>
          <w:szCs w:val="21"/>
          <w:highlight w:val="none"/>
          <w:lang w:val="en-US" w:eastAsia="zh-CN"/>
        </w:rPr>
        <w:t>13</w:t>
      </w:r>
      <w:r>
        <w:rPr>
          <w:rFonts w:hint="default" w:ascii="Times New Roman" w:hAnsi="Times New Roman" w:eastAsia="黑体" w:cs="Times New Roman"/>
          <w:color w:val="auto"/>
          <w:kern w:val="0"/>
          <w:sz w:val="21"/>
          <w:szCs w:val="21"/>
          <w:highlight w:val="none"/>
          <w:lang w:val="en-US"/>
        </w:rPr>
        <w:t>日）</w:t>
      </w:r>
    </w:p>
    <w:p w14:paraId="61D6E35A">
      <w:pPr>
        <w:pStyle w:val="36"/>
        <w:spacing w:line="360" w:lineRule="auto"/>
        <w:jc w:val="center"/>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highlight w:val="none"/>
        </w:rPr>
        <w:drawing>
          <wp:inline distT="0" distB="0" distL="114300" distR="114300">
            <wp:extent cx="5688330" cy="1998345"/>
            <wp:effectExtent l="0" t="0" r="11430" b="13335"/>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pic:cNvPicPr>
                  </pic:nvPicPr>
                  <pic:blipFill>
                    <a:blip r:embed="rId95"/>
                    <a:stretch>
                      <a:fillRect/>
                    </a:stretch>
                  </pic:blipFill>
                  <pic:spPr>
                    <a:xfrm>
                      <a:off x="0" y="0"/>
                      <a:ext cx="5688330" cy="1998345"/>
                    </a:xfrm>
                    <a:prstGeom prst="rect">
                      <a:avLst/>
                    </a:prstGeom>
                    <a:noFill/>
                    <a:ln>
                      <a:noFill/>
                    </a:ln>
                  </pic:spPr>
                </pic:pic>
              </a:graphicData>
            </a:graphic>
          </wp:inline>
        </w:drawing>
      </w:r>
    </w:p>
    <w:p w14:paraId="61486AB3">
      <w:pPr>
        <w:pStyle w:val="36"/>
        <w:snapToGrid/>
        <w:spacing w:line="360" w:lineRule="auto"/>
        <w:contextualSpacing/>
        <w:jc w:val="center"/>
        <w:rPr>
          <w:rFonts w:hint="default" w:ascii="Times New Roman" w:hAnsi="Times New Roman" w:eastAsia="黑体" w:cs="Times New Roman"/>
          <w:color w:val="auto"/>
          <w:kern w:val="0"/>
          <w:sz w:val="21"/>
          <w:szCs w:val="21"/>
          <w:highlight w:val="none"/>
          <w:lang w:val="en-US"/>
        </w:rPr>
      </w:pPr>
      <w:r>
        <w:rPr>
          <w:rFonts w:hint="default" w:ascii="Times New Roman" w:hAnsi="Times New Roman" w:eastAsia="黑体" w:cs="Times New Roman"/>
          <w:color w:val="auto"/>
          <w:kern w:val="0"/>
          <w:sz w:val="21"/>
          <w:szCs w:val="21"/>
          <w:highlight w:val="none"/>
          <w:lang w:val="en-US"/>
        </w:rPr>
        <w:t>图10.2-</w:t>
      </w:r>
      <w:r>
        <w:rPr>
          <w:rFonts w:hint="default" w:ascii="Times New Roman" w:hAnsi="Times New Roman" w:eastAsia="黑体" w:cs="Times New Roman"/>
          <w:color w:val="auto"/>
          <w:kern w:val="0"/>
          <w:sz w:val="21"/>
          <w:szCs w:val="21"/>
          <w:highlight w:val="none"/>
          <w:lang w:val="en-US" w:eastAsia="zh-CN"/>
        </w:rPr>
        <w:t>4</w:t>
      </w:r>
      <w:r>
        <w:rPr>
          <w:rFonts w:hint="default" w:ascii="Times New Roman" w:hAnsi="Times New Roman" w:eastAsia="黑体" w:cs="Times New Roman"/>
          <w:color w:val="auto"/>
          <w:kern w:val="0"/>
          <w:sz w:val="21"/>
          <w:szCs w:val="21"/>
          <w:highlight w:val="none"/>
          <w:lang w:val="en-US"/>
        </w:rPr>
        <w:t xml:space="preserve">  环境影响报告书</w:t>
      </w:r>
      <w:r>
        <w:rPr>
          <w:rFonts w:hint="default" w:ascii="Times New Roman" w:hAnsi="Times New Roman" w:eastAsia="黑体" w:cs="Times New Roman"/>
          <w:color w:val="auto"/>
          <w:kern w:val="0"/>
          <w:sz w:val="21"/>
          <w:szCs w:val="21"/>
          <w:highlight w:val="none"/>
        </w:rPr>
        <w:t>征求意见稿</w:t>
      </w:r>
      <w:r>
        <w:rPr>
          <w:rFonts w:hint="default" w:ascii="Times New Roman" w:hAnsi="Times New Roman" w:eastAsia="黑体" w:cs="Times New Roman"/>
          <w:color w:val="auto"/>
          <w:kern w:val="0"/>
          <w:sz w:val="21"/>
          <w:szCs w:val="21"/>
          <w:highlight w:val="none"/>
          <w:lang w:val="en-US"/>
        </w:rPr>
        <w:t>信息报纸公开截图（202</w:t>
      </w:r>
      <w:r>
        <w:rPr>
          <w:rFonts w:hint="default" w:ascii="Times New Roman" w:hAnsi="Times New Roman" w:eastAsia="黑体" w:cs="Times New Roman"/>
          <w:color w:val="auto"/>
          <w:kern w:val="0"/>
          <w:sz w:val="21"/>
          <w:szCs w:val="21"/>
          <w:highlight w:val="none"/>
          <w:lang w:val="en-US" w:eastAsia="zh-CN"/>
        </w:rPr>
        <w:t>6</w:t>
      </w:r>
      <w:r>
        <w:rPr>
          <w:rFonts w:hint="default" w:ascii="Times New Roman" w:hAnsi="Times New Roman" w:eastAsia="黑体" w:cs="Times New Roman"/>
          <w:color w:val="auto"/>
          <w:kern w:val="0"/>
          <w:sz w:val="21"/>
          <w:szCs w:val="21"/>
          <w:highlight w:val="none"/>
          <w:lang w:val="en-US"/>
        </w:rPr>
        <w:t>年</w:t>
      </w:r>
      <w:r>
        <w:rPr>
          <w:rFonts w:hint="default" w:ascii="Times New Roman" w:hAnsi="Times New Roman" w:eastAsia="黑体" w:cs="Times New Roman"/>
          <w:color w:val="auto"/>
          <w:kern w:val="0"/>
          <w:sz w:val="21"/>
          <w:szCs w:val="21"/>
          <w:highlight w:val="none"/>
          <w:lang w:val="en-US" w:eastAsia="zh-CN"/>
        </w:rPr>
        <w:t>5</w:t>
      </w:r>
      <w:r>
        <w:rPr>
          <w:rFonts w:hint="default" w:ascii="Times New Roman" w:hAnsi="Times New Roman" w:eastAsia="黑体" w:cs="Times New Roman"/>
          <w:color w:val="auto"/>
          <w:kern w:val="0"/>
          <w:sz w:val="21"/>
          <w:szCs w:val="21"/>
          <w:highlight w:val="none"/>
          <w:lang w:val="en-US"/>
        </w:rPr>
        <w:t>月</w:t>
      </w:r>
      <w:r>
        <w:rPr>
          <w:rFonts w:hint="default" w:ascii="Times New Roman" w:hAnsi="Times New Roman" w:eastAsia="黑体" w:cs="Times New Roman"/>
          <w:color w:val="auto"/>
          <w:kern w:val="0"/>
          <w:sz w:val="21"/>
          <w:szCs w:val="21"/>
          <w:highlight w:val="none"/>
          <w:lang w:val="en-US" w:eastAsia="zh-CN"/>
        </w:rPr>
        <w:t>15</w:t>
      </w:r>
      <w:r>
        <w:rPr>
          <w:rFonts w:hint="default" w:ascii="Times New Roman" w:hAnsi="Times New Roman" w:eastAsia="黑体" w:cs="Times New Roman"/>
          <w:color w:val="auto"/>
          <w:kern w:val="0"/>
          <w:sz w:val="21"/>
          <w:szCs w:val="21"/>
          <w:highlight w:val="none"/>
          <w:lang w:val="en-US"/>
        </w:rPr>
        <w:t>日）</w:t>
      </w:r>
    </w:p>
    <w:p w14:paraId="6EDAA39A">
      <w:pPr>
        <w:pStyle w:val="36"/>
        <w:snapToGrid/>
        <w:spacing w:line="360" w:lineRule="auto"/>
        <w:ind w:firstLine="480" w:firstLineChars="200"/>
        <w:jc w:val="both"/>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（3）现场张贴</w:t>
      </w:r>
    </w:p>
    <w:p w14:paraId="54C32C80">
      <w:pPr>
        <w:pStyle w:val="36"/>
        <w:snapToGrid/>
        <w:spacing w:line="360" w:lineRule="auto"/>
        <w:ind w:firstLine="480" w:firstLineChars="200"/>
        <w:jc w:val="both"/>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本规划征求意见稿完成后，分别在</w:t>
      </w:r>
      <w:r>
        <w:rPr>
          <w:rFonts w:hint="default" w:ascii="Times New Roman" w:hAnsi="Times New Roman" w:cs="Times New Roman"/>
          <w:color w:val="auto"/>
          <w:kern w:val="0"/>
          <w:sz w:val="24"/>
          <w:szCs w:val="24"/>
          <w:highlight w:val="none"/>
          <w:lang w:val="en-US" w:eastAsia="zh-CN"/>
        </w:rPr>
        <w:t>岗巴村、巴卡村</w:t>
      </w:r>
      <w:r>
        <w:rPr>
          <w:rFonts w:hint="default" w:ascii="Times New Roman" w:hAnsi="Times New Roman" w:cs="Times New Roman"/>
          <w:color w:val="auto"/>
          <w:kern w:val="0"/>
          <w:sz w:val="24"/>
          <w:szCs w:val="24"/>
          <w:highlight w:val="none"/>
        </w:rPr>
        <w:t>进行了现场张贴，现场张贴情况详见图10.2-</w:t>
      </w:r>
      <w:r>
        <w:rPr>
          <w:rFonts w:hint="default" w:ascii="Times New Roman" w:hAnsi="Times New Roman" w:cs="Times New Roman"/>
          <w:color w:val="auto"/>
          <w:kern w:val="0"/>
          <w:sz w:val="24"/>
          <w:szCs w:val="24"/>
          <w:highlight w:val="none"/>
          <w:lang w:val="en-US" w:eastAsia="zh-CN"/>
        </w:rPr>
        <w:t>5</w:t>
      </w:r>
      <w:r>
        <w:rPr>
          <w:rFonts w:hint="default" w:ascii="Times New Roman" w:hAnsi="Times New Roman" w:cs="Times New Roman"/>
          <w:color w:val="auto"/>
          <w:kern w:val="0"/>
          <w:sz w:val="24"/>
          <w:szCs w:val="24"/>
          <w:highlight w:val="none"/>
        </w:rPr>
        <w:t>。</w:t>
      </w:r>
    </w:p>
    <w:tbl>
      <w:tblPr>
        <w:tblStyle w:val="59"/>
        <w:tblW w:w="5000" w:type="pct"/>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4566"/>
        <w:gridCol w:w="4608"/>
      </w:tblGrid>
      <w:tr w14:paraId="60A6143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jc w:val="center"/>
        </w:trPr>
        <w:tc>
          <w:tcPr>
            <w:tcW w:w="2488" w:type="pct"/>
            <w:vAlign w:val="center"/>
          </w:tcPr>
          <w:p w14:paraId="5E8F1785">
            <w:pPr>
              <w:pStyle w:val="53"/>
              <w:jc w:val="center"/>
              <w:rPr>
                <w:rFonts w:hint="default" w:ascii="Times New Roman" w:hAnsi="Times New Roman" w:eastAsia="Arial Unicode MS" w:cs="Times New Roman"/>
                <w:color w:val="auto"/>
                <w:highlight w:val="none"/>
                <w:lang w:eastAsia="zh-CN"/>
              </w:rPr>
            </w:pPr>
            <w:r>
              <w:rPr>
                <w:rFonts w:hint="default" w:ascii="Times New Roman" w:hAnsi="Times New Roman" w:eastAsia="Arial Unicode MS" w:cs="Times New Roman"/>
                <w:color w:val="auto"/>
                <w:highlight w:val="none"/>
                <w:lang w:eastAsia="zh-CN"/>
              </w:rPr>
              <w:drawing>
                <wp:inline distT="0" distB="0" distL="114300" distR="114300">
                  <wp:extent cx="2746375" cy="1818640"/>
                  <wp:effectExtent l="0" t="0" r="12065" b="10160"/>
                  <wp:docPr id="12" name="图片 12" descr="1e4a6dfb5bfc6b2809bb9b0a30f53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e4a6dfb5bfc6b2809bb9b0a30f534b5"/>
                          <pic:cNvPicPr>
                            <a:picLocks noChangeAspect="1"/>
                          </pic:cNvPicPr>
                        </pic:nvPicPr>
                        <pic:blipFill>
                          <a:blip r:embed="rId96"/>
                          <a:stretch>
                            <a:fillRect/>
                          </a:stretch>
                        </pic:blipFill>
                        <pic:spPr>
                          <a:xfrm>
                            <a:off x="0" y="0"/>
                            <a:ext cx="2746375" cy="1818640"/>
                          </a:xfrm>
                          <a:prstGeom prst="rect">
                            <a:avLst/>
                          </a:prstGeom>
                        </pic:spPr>
                      </pic:pic>
                    </a:graphicData>
                  </a:graphic>
                </wp:inline>
              </w:drawing>
            </w:r>
          </w:p>
        </w:tc>
        <w:tc>
          <w:tcPr>
            <w:tcW w:w="2511" w:type="pct"/>
            <w:vAlign w:val="center"/>
          </w:tcPr>
          <w:p w14:paraId="32862E2C">
            <w:pPr>
              <w:pStyle w:val="53"/>
              <w:jc w:val="center"/>
              <w:rPr>
                <w:rFonts w:hint="default" w:ascii="Times New Roman" w:hAnsi="Times New Roman" w:eastAsia="Arial Unicode MS" w:cs="Times New Roman"/>
                <w:color w:val="auto"/>
                <w:highlight w:val="none"/>
                <w:lang w:eastAsia="zh-CN"/>
              </w:rPr>
            </w:pPr>
            <w:r>
              <w:rPr>
                <w:rFonts w:hint="default" w:ascii="Times New Roman" w:hAnsi="Times New Roman" w:eastAsia="Arial Unicode MS" w:cs="Times New Roman"/>
                <w:color w:val="auto"/>
                <w:highlight w:val="none"/>
                <w:lang w:eastAsia="zh-CN"/>
              </w:rPr>
              <w:drawing>
                <wp:inline distT="0" distB="0" distL="114300" distR="114300">
                  <wp:extent cx="2780030" cy="1755775"/>
                  <wp:effectExtent l="0" t="0" r="8890" b="12065"/>
                  <wp:docPr id="13" name="图片 13" descr="a70664bf254426982f961cfcec31d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70664bf254426982f961cfcec31df0c"/>
                          <pic:cNvPicPr>
                            <a:picLocks noChangeAspect="1"/>
                          </pic:cNvPicPr>
                        </pic:nvPicPr>
                        <pic:blipFill>
                          <a:blip r:embed="rId97"/>
                          <a:stretch>
                            <a:fillRect/>
                          </a:stretch>
                        </pic:blipFill>
                        <pic:spPr>
                          <a:xfrm>
                            <a:off x="0" y="0"/>
                            <a:ext cx="2780030" cy="1755775"/>
                          </a:xfrm>
                          <a:prstGeom prst="rect">
                            <a:avLst/>
                          </a:prstGeom>
                        </pic:spPr>
                      </pic:pic>
                    </a:graphicData>
                  </a:graphic>
                </wp:inline>
              </w:drawing>
            </w:r>
          </w:p>
        </w:tc>
      </w:tr>
    </w:tbl>
    <w:p w14:paraId="5E6BA93E">
      <w:pPr>
        <w:pStyle w:val="36"/>
        <w:snapToGrid/>
        <w:spacing w:line="360" w:lineRule="auto"/>
        <w:ind w:firstLine="420" w:firstLineChars="200"/>
        <w:contextualSpacing/>
        <w:jc w:val="center"/>
        <w:rPr>
          <w:rFonts w:hint="default" w:ascii="Times New Roman" w:hAnsi="Times New Roman" w:eastAsia="黑体" w:cs="Times New Roman"/>
          <w:color w:val="auto"/>
          <w:kern w:val="0"/>
          <w:sz w:val="21"/>
          <w:szCs w:val="21"/>
          <w:highlight w:val="none"/>
          <w:lang w:val="en-US"/>
        </w:rPr>
      </w:pPr>
      <w:r>
        <w:rPr>
          <w:rFonts w:hint="default" w:ascii="Times New Roman" w:hAnsi="Times New Roman" w:eastAsia="黑体" w:cs="Times New Roman"/>
          <w:color w:val="auto"/>
          <w:kern w:val="0"/>
          <w:sz w:val="21"/>
          <w:szCs w:val="21"/>
          <w:highlight w:val="none"/>
          <w:lang w:val="en-US"/>
        </w:rPr>
        <w:t>图10.2-</w:t>
      </w:r>
      <w:r>
        <w:rPr>
          <w:rFonts w:hint="default" w:ascii="Times New Roman" w:hAnsi="Times New Roman" w:eastAsia="黑体" w:cs="Times New Roman"/>
          <w:color w:val="auto"/>
          <w:kern w:val="0"/>
          <w:sz w:val="21"/>
          <w:szCs w:val="21"/>
          <w:highlight w:val="none"/>
          <w:lang w:val="en-US" w:eastAsia="zh-CN"/>
        </w:rPr>
        <w:t>5</w:t>
      </w:r>
      <w:r>
        <w:rPr>
          <w:rFonts w:hint="default" w:ascii="Times New Roman" w:hAnsi="Times New Roman" w:eastAsia="黑体" w:cs="Times New Roman"/>
          <w:color w:val="auto"/>
          <w:kern w:val="0"/>
          <w:sz w:val="21"/>
          <w:szCs w:val="21"/>
          <w:highlight w:val="none"/>
          <w:lang w:val="en-US"/>
        </w:rPr>
        <w:t xml:space="preserve">  环境影响报告书</w:t>
      </w:r>
      <w:r>
        <w:rPr>
          <w:rFonts w:hint="default" w:ascii="Times New Roman" w:hAnsi="Times New Roman" w:eastAsia="黑体" w:cs="Times New Roman"/>
          <w:color w:val="auto"/>
          <w:kern w:val="0"/>
          <w:sz w:val="21"/>
          <w:szCs w:val="21"/>
          <w:highlight w:val="none"/>
        </w:rPr>
        <w:t>征求意见稿</w:t>
      </w:r>
      <w:r>
        <w:rPr>
          <w:rFonts w:hint="default" w:ascii="Times New Roman" w:hAnsi="Times New Roman" w:eastAsia="黑体" w:cs="Times New Roman"/>
          <w:color w:val="auto"/>
          <w:kern w:val="0"/>
          <w:sz w:val="21"/>
          <w:szCs w:val="21"/>
          <w:highlight w:val="none"/>
          <w:lang w:val="en-US"/>
        </w:rPr>
        <w:t>信息公开现场张贴情况照片</w:t>
      </w:r>
    </w:p>
    <w:p w14:paraId="634889F6">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公众意见情况</w:t>
      </w:r>
    </w:p>
    <w:p w14:paraId="70E1856B">
      <w:pPr>
        <w:pStyle w:val="36"/>
        <w:snapToGrid/>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rPr>
        <w:t>在环境影响报告书征求意见稿信息</w:t>
      </w:r>
      <w:r>
        <w:rPr>
          <w:rFonts w:hint="default" w:ascii="Times New Roman" w:hAnsi="Times New Roman" w:cs="Times New Roman"/>
          <w:color w:val="auto"/>
          <w:sz w:val="24"/>
          <w:szCs w:val="24"/>
          <w:highlight w:val="none"/>
        </w:rPr>
        <w:t>公开期间</w:t>
      </w:r>
      <w:r>
        <w:rPr>
          <w:rFonts w:hint="default" w:ascii="Times New Roman" w:hAnsi="Times New Roman" w:cs="Times New Roman"/>
          <w:color w:val="auto"/>
          <w:kern w:val="0"/>
          <w:sz w:val="24"/>
          <w:szCs w:val="24"/>
          <w:highlight w:val="none"/>
        </w:rPr>
        <w:t>，规划实施单</w:t>
      </w:r>
      <w:r>
        <w:rPr>
          <w:rFonts w:hint="default" w:ascii="Times New Roman" w:hAnsi="Times New Roman" w:cs="Times New Roman"/>
          <w:color w:val="auto"/>
          <w:kern w:val="0"/>
          <w:sz w:val="24"/>
          <w:szCs w:val="24"/>
          <w:highlight w:val="none"/>
          <w:lang w:val="en-US"/>
        </w:rPr>
        <w:t>位和环评单位均</w:t>
      </w:r>
      <w:r>
        <w:rPr>
          <w:rFonts w:hint="default" w:ascii="Times New Roman" w:hAnsi="Times New Roman" w:cs="Times New Roman"/>
          <w:color w:val="auto"/>
          <w:kern w:val="0"/>
          <w:sz w:val="24"/>
          <w:szCs w:val="24"/>
          <w:highlight w:val="none"/>
        </w:rPr>
        <w:t>未收到公众</w:t>
      </w:r>
      <w:r>
        <w:rPr>
          <w:rFonts w:hint="default" w:ascii="Times New Roman" w:hAnsi="Times New Roman" w:cs="Times New Roman"/>
          <w:color w:val="auto"/>
          <w:kern w:val="0"/>
          <w:sz w:val="24"/>
          <w:szCs w:val="24"/>
          <w:highlight w:val="none"/>
          <w:lang w:val="en-US"/>
        </w:rPr>
        <w:t>提出的相关意见。</w:t>
      </w:r>
    </w:p>
    <w:p w14:paraId="16C85F06">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其他形式公众参与</w:t>
      </w:r>
    </w:p>
    <w:p w14:paraId="24FA7973">
      <w:pPr>
        <w:pStyle w:val="36"/>
        <w:snapToGrid/>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lang w:val="en-US"/>
        </w:rPr>
        <w:t>本项目未采取除网络、报纸、张贴之外的其它公众参与方式。</w:t>
      </w:r>
    </w:p>
    <w:p w14:paraId="5B203752">
      <w:pPr>
        <w:pStyle w:val="3"/>
        <w:spacing w:before="156" w:after="156"/>
        <w:rPr>
          <w:rFonts w:hint="default" w:ascii="Times New Roman" w:hAnsi="Times New Roman" w:cs="Times New Roman"/>
          <w:color w:val="auto"/>
          <w:highlight w:val="none"/>
        </w:rPr>
      </w:pPr>
      <w:bookmarkStart w:id="212" w:name="_Toc895"/>
      <w:r>
        <w:rPr>
          <w:rFonts w:hint="default" w:ascii="Times New Roman" w:hAnsi="Times New Roman" w:cs="Times New Roman"/>
          <w:color w:val="auto"/>
          <w:highlight w:val="none"/>
        </w:rPr>
        <w:t>公众意见处理情况</w:t>
      </w:r>
      <w:bookmarkEnd w:id="212"/>
    </w:p>
    <w:p w14:paraId="3EC521CC">
      <w:pPr>
        <w:pStyle w:val="36"/>
        <w:snapToGrid/>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lang w:val="en-US"/>
        </w:rPr>
        <w:t>由于在首次网络公示和征求意见稿公示期间，建设单位及环评单位均未接到任何单位和个人对本工程提出异议、建议和反对意见，因此无公众意见处理情况。</w:t>
      </w:r>
    </w:p>
    <w:p w14:paraId="0557459A">
      <w:pPr>
        <w:pStyle w:val="3"/>
        <w:spacing w:before="156" w:after="156"/>
        <w:rPr>
          <w:rFonts w:hint="default" w:ascii="Times New Roman" w:hAnsi="Times New Roman" w:cs="Times New Roman"/>
          <w:color w:val="auto"/>
          <w:highlight w:val="none"/>
        </w:rPr>
      </w:pPr>
      <w:bookmarkStart w:id="213" w:name="_Toc30192"/>
      <w:r>
        <w:rPr>
          <w:rFonts w:hint="default" w:ascii="Times New Roman" w:hAnsi="Times New Roman" w:cs="Times New Roman"/>
          <w:color w:val="auto"/>
          <w:highlight w:val="none"/>
        </w:rPr>
        <w:t>公众参与小结</w:t>
      </w:r>
      <w:bookmarkEnd w:id="213"/>
    </w:p>
    <w:p w14:paraId="0015D3A1">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波密县文化和旅游局</w:t>
      </w:r>
      <w:r>
        <w:rPr>
          <w:rFonts w:hint="default" w:ascii="Times New Roman" w:hAnsi="Times New Roman" w:cs="Times New Roman"/>
          <w:color w:val="auto"/>
          <w:sz w:val="24"/>
          <w:szCs w:val="24"/>
          <w:highlight w:val="none"/>
        </w:rPr>
        <w:t>按照《环境影响评价公众参与办法》（生态环境部令第4号）的相关要求，落实了公众参与信息公开，采取了网络平台信息公开、报纸公开、现场张贴信息公开。</w:t>
      </w:r>
    </w:p>
    <w:p w14:paraId="26152957">
      <w:pPr>
        <w:pStyle w:val="52"/>
        <w:tabs>
          <w:tab w:val="left" w:pos="555"/>
        </w:tabs>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（1）在确定了环境影响报告书编制单位后的网络平台信息公开期间，</w:t>
      </w:r>
      <w:r>
        <w:rPr>
          <w:rFonts w:hint="default" w:ascii="Times New Roman" w:hAnsi="Times New Roman" w:cs="Times New Roman"/>
          <w:color w:val="auto"/>
          <w:kern w:val="0"/>
          <w:sz w:val="24"/>
          <w:szCs w:val="24"/>
          <w:highlight w:val="none"/>
        </w:rPr>
        <w:t>规划实施单</w:t>
      </w:r>
      <w:r>
        <w:rPr>
          <w:rFonts w:hint="default" w:ascii="Times New Roman" w:hAnsi="Times New Roman" w:cs="Times New Roman"/>
          <w:color w:val="auto"/>
          <w:kern w:val="0"/>
          <w:sz w:val="24"/>
          <w:szCs w:val="24"/>
          <w:highlight w:val="none"/>
          <w:lang w:val="en-US"/>
        </w:rPr>
        <w:t>位和环评单位均</w:t>
      </w:r>
      <w:r>
        <w:rPr>
          <w:rFonts w:hint="default" w:ascii="Times New Roman" w:hAnsi="Times New Roman" w:cs="Times New Roman"/>
          <w:color w:val="auto"/>
          <w:kern w:val="0"/>
          <w:sz w:val="24"/>
          <w:szCs w:val="24"/>
          <w:highlight w:val="none"/>
        </w:rPr>
        <w:t>未收到公众</w:t>
      </w:r>
      <w:r>
        <w:rPr>
          <w:rFonts w:hint="default" w:ascii="Times New Roman" w:hAnsi="Times New Roman" w:cs="Times New Roman"/>
          <w:color w:val="auto"/>
          <w:kern w:val="0"/>
          <w:sz w:val="24"/>
          <w:szCs w:val="24"/>
          <w:highlight w:val="none"/>
          <w:lang w:val="en-US"/>
        </w:rPr>
        <w:t>提出的相关意见。</w:t>
      </w:r>
    </w:p>
    <w:p w14:paraId="14DFA575">
      <w:pPr>
        <w:pStyle w:val="36"/>
        <w:snapToGrid/>
        <w:spacing w:line="360" w:lineRule="auto"/>
        <w:ind w:firstLine="480" w:firstLineChars="200"/>
        <w:jc w:val="both"/>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sz w:val="24"/>
          <w:szCs w:val="24"/>
          <w:highlight w:val="none"/>
        </w:rPr>
        <w:t>（2）在规划环评形成征求意见稿后，进行的网络平台公开、两次报纸公开及现场张贴信息公开期间</w:t>
      </w:r>
      <w:r>
        <w:rPr>
          <w:rFonts w:hint="default" w:ascii="Times New Roman" w:hAnsi="Times New Roman" w:cs="Times New Roman"/>
          <w:color w:val="auto"/>
          <w:kern w:val="0"/>
          <w:sz w:val="24"/>
          <w:szCs w:val="24"/>
          <w:highlight w:val="none"/>
        </w:rPr>
        <w:t>，规划实施单</w:t>
      </w:r>
      <w:r>
        <w:rPr>
          <w:rFonts w:hint="default" w:ascii="Times New Roman" w:hAnsi="Times New Roman" w:cs="Times New Roman"/>
          <w:color w:val="auto"/>
          <w:kern w:val="0"/>
          <w:sz w:val="24"/>
          <w:szCs w:val="24"/>
          <w:highlight w:val="none"/>
          <w:lang w:val="en-US"/>
        </w:rPr>
        <w:t>位和环评单位均</w:t>
      </w:r>
      <w:r>
        <w:rPr>
          <w:rFonts w:hint="default" w:ascii="Times New Roman" w:hAnsi="Times New Roman" w:cs="Times New Roman"/>
          <w:color w:val="auto"/>
          <w:kern w:val="0"/>
          <w:sz w:val="24"/>
          <w:szCs w:val="24"/>
          <w:highlight w:val="none"/>
        </w:rPr>
        <w:t>未收到公众</w:t>
      </w:r>
      <w:r>
        <w:rPr>
          <w:rFonts w:hint="default" w:ascii="Times New Roman" w:hAnsi="Times New Roman" w:cs="Times New Roman"/>
          <w:color w:val="auto"/>
          <w:kern w:val="0"/>
          <w:sz w:val="24"/>
          <w:szCs w:val="24"/>
          <w:highlight w:val="none"/>
          <w:lang w:val="en-US"/>
        </w:rPr>
        <w:t>提出的相关意见。</w:t>
      </w:r>
    </w:p>
    <w:p w14:paraId="00F9E5D1">
      <w:pPr>
        <w:pStyle w:val="2"/>
        <w:spacing w:before="312" w:after="312"/>
        <w:rPr>
          <w:rFonts w:hint="default" w:ascii="Times New Roman" w:hAnsi="Times New Roman" w:cs="Times New Roman"/>
          <w:color w:val="auto"/>
          <w:highlight w:val="none"/>
        </w:rPr>
      </w:pPr>
      <w:bookmarkStart w:id="214" w:name="_Toc2829"/>
      <w:r>
        <w:rPr>
          <w:rFonts w:hint="default" w:ascii="Times New Roman" w:hAnsi="Times New Roman" w:cs="Times New Roman"/>
          <w:color w:val="auto"/>
          <w:highlight w:val="none"/>
        </w:rPr>
        <w:t>评价结论</w:t>
      </w:r>
      <w:bookmarkEnd w:id="1"/>
      <w:bookmarkEnd w:id="91"/>
      <w:bookmarkEnd w:id="92"/>
      <w:bookmarkEnd w:id="93"/>
      <w:bookmarkEnd w:id="94"/>
      <w:bookmarkEnd w:id="95"/>
      <w:bookmarkEnd w:id="96"/>
      <w:bookmarkEnd w:id="97"/>
      <w:bookmarkEnd w:id="98"/>
      <w:bookmarkEnd w:id="99"/>
      <w:bookmarkEnd w:id="100"/>
      <w:bookmarkEnd w:id="214"/>
    </w:p>
    <w:p w14:paraId="0DF22459">
      <w:pPr>
        <w:pStyle w:val="3"/>
        <w:spacing w:before="156" w:after="156"/>
        <w:rPr>
          <w:rFonts w:hint="default" w:ascii="Times New Roman" w:hAnsi="Times New Roman" w:cs="Times New Roman"/>
          <w:color w:val="auto"/>
          <w:highlight w:val="none"/>
        </w:rPr>
      </w:pPr>
      <w:bookmarkStart w:id="215" w:name="_Toc13337"/>
      <w:bookmarkStart w:id="216" w:name="_Toc36557504"/>
      <w:r>
        <w:rPr>
          <w:rFonts w:hint="default" w:ascii="Times New Roman" w:hAnsi="Times New Roman" w:cs="Times New Roman"/>
          <w:color w:val="auto"/>
          <w:highlight w:val="none"/>
        </w:rPr>
        <w:t>规划概况</w:t>
      </w:r>
      <w:bookmarkEnd w:id="215"/>
      <w:bookmarkEnd w:id="216"/>
    </w:p>
    <w:p w14:paraId="1D691E43">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波密县岗云杉林旅游景区创建4A级规划</w:t>
      </w:r>
      <w:r>
        <w:rPr>
          <w:rFonts w:hint="default" w:ascii="Times New Roman" w:hAnsi="Times New Roman" w:cs="Times New Roman"/>
          <w:color w:val="auto"/>
          <w:sz w:val="24"/>
          <w:highlight w:val="none"/>
        </w:rPr>
        <w:t>》位于西藏</w:t>
      </w:r>
      <w:r>
        <w:rPr>
          <w:rFonts w:hint="default" w:ascii="Times New Roman" w:hAnsi="Times New Roman" w:cs="Times New Roman"/>
          <w:color w:val="auto"/>
          <w:sz w:val="24"/>
          <w:highlight w:val="none"/>
          <w:lang w:eastAsia="zh-CN"/>
        </w:rPr>
        <w:t>林芝市波密县扎木镇、古乡</w:t>
      </w:r>
      <w:r>
        <w:rPr>
          <w:rFonts w:hint="default" w:ascii="Times New Roman" w:hAnsi="Times New Roman" w:cs="Times New Roman"/>
          <w:color w:val="auto"/>
          <w:sz w:val="24"/>
          <w:highlight w:val="none"/>
        </w:rPr>
        <w:t>，北起帕隆藏布，南至拉卡背后山林，西起巴卡大桥，东至岗巴大桥，规划范围总面积6.81平方公里，主要涉及村庄包含岗巴村和巴卡村。</w:t>
      </w:r>
    </w:p>
    <w:p w14:paraId="7BD9B04A">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（1）总体定位</w:t>
      </w:r>
    </w:p>
    <w:p w14:paraId="2C8B423A">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将资源优势、生态优势转化为产业优势和发展优势。“三生融合”示范景区：生态保护标杆/生活体验窗口/生产创新样板。打造西藏首个森林康养旅游目的地，国家级森林徒步天堂。</w:t>
      </w:r>
    </w:p>
    <w:p w14:paraId="52EAF67B">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（2）形象定位</w:t>
      </w:r>
    </w:p>
    <w:p w14:paraId="60227F68">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①藏地绿野仙踪·岗巴彼岸新生</w:t>
      </w:r>
    </w:p>
    <w:p w14:paraId="095E55C6">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借用童话意象，唤起对神秘、原始、梦幻森林的向往，彼岸新生点明景区心灵疗愈主题，打造远离尘嚣、回归自然的顶级康养目的地。</w:t>
      </w:r>
    </w:p>
    <w:p w14:paraId="7F239A9C">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②千年云杉藏秘境·雪域林海疗心归</w:t>
      </w:r>
    </w:p>
    <w:p w14:paraId="69F92F7A">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突出“中国最美森林”IP，精准对接森林康养热点，强调深度体验和身心修复效果。</w:t>
      </w:r>
    </w:p>
    <w:p w14:paraId="7F5E4FE0">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③世界云杉基因库·藏地森林康养极</w:t>
      </w:r>
    </w:p>
    <w:p w14:paraId="7CA8B822">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点明核心资源（云杉林）的全球性地位，“基因库”暗示其丰富的生物多样性和科研价值，引发探索欲。“藏地”突显地域特色，充满神秘感。“康养极”直接点明景区打造西藏顶级森林康养目的地。</w:t>
      </w:r>
    </w:p>
    <w:p w14:paraId="39E146C4">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（3）发展目标</w:t>
      </w:r>
    </w:p>
    <w:p w14:paraId="3B9C7B6F">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近期目标：</w:t>
      </w:r>
    </w:p>
    <w:p w14:paraId="212753DA">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国家4A级旅游景区</w:t>
      </w:r>
    </w:p>
    <w:p w14:paraId="6EE23401">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远期目标：</w:t>
      </w:r>
    </w:p>
    <w:p w14:paraId="74488574">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自治区康养旅游示范基地</w:t>
      </w:r>
    </w:p>
    <w:p w14:paraId="60B4B0B7">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自治区级旅游度假区</w:t>
      </w:r>
    </w:p>
    <w:p w14:paraId="3E64C600">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国家研学旅游基地</w:t>
      </w:r>
    </w:p>
    <w:p w14:paraId="105FD4E9">
      <w:pPr>
        <w:pStyle w:val="28"/>
        <w:tabs>
          <w:tab w:val="left" w:pos="840"/>
        </w:tabs>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西藏首个全域零碳旅游景区</w:t>
      </w:r>
    </w:p>
    <w:p w14:paraId="7E3C7B2A">
      <w:pPr>
        <w:pStyle w:val="3"/>
        <w:spacing w:before="156" w:after="156"/>
        <w:rPr>
          <w:rFonts w:hint="default" w:ascii="Times New Roman" w:hAnsi="Times New Roman" w:cs="Times New Roman"/>
          <w:color w:val="auto"/>
          <w:highlight w:val="none"/>
        </w:rPr>
      </w:pPr>
      <w:bookmarkStart w:id="217" w:name="_Toc14017"/>
      <w:r>
        <w:rPr>
          <w:rFonts w:hint="default" w:ascii="Times New Roman" w:hAnsi="Times New Roman" w:cs="Times New Roman"/>
          <w:color w:val="auto"/>
          <w:highlight w:val="none"/>
        </w:rPr>
        <w:t>环境质量现状及演变趋势</w:t>
      </w:r>
      <w:bookmarkEnd w:id="217"/>
    </w:p>
    <w:p w14:paraId="714DF417">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w:t>
      </w:r>
    </w:p>
    <w:p w14:paraId="72144991">
      <w:pPr>
        <w:spacing w:line="360" w:lineRule="auto"/>
        <w:ind w:firstLine="480" w:firstLineChars="200"/>
        <w:rPr>
          <w:rFonts w:hint="default" w:ascii="Times New Roman" w:hAnsi="Times New Roman" w:cs="Times New Roman" w:eastAsiaTheme="minorEastAsia"/>
          <w:bCs/>
          <w:color w:val="auto"/>
          <w:sz w:val="24"/>
          <w:highlight w:val="none"/>
        </w:rPr>
      </w:pPr>
      <w:r>
        <w:rPr>
          <w:rFonts w:hint="default" w:ascii="Times New Roman" w:hAnsi="Times New Roman" w:cs="Times New Roman"/>
          <w:color w:val="auto"/>
          <w:sz w:val="24"/>
          <w:highlight w:val="none"/>
        </w:rPr>
        <w:t>根据《202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西藏自治区生态环境状况公报》，2024年，全区环境空气质量整体保持优良，平均优良天数比例为99.7%，细颗粒物、可吸入颗粒物、二氧化硫、二氧化氮年均浓度达到一级标准；一氧化碳日均值第95百分位数浓度达到一级标准；臭氧日最大8小时平均值第90百分位数浓度达到二级标准。拉萨市环境空气质量达到二级标准，优良天数比例为99.5%，在全国168个重点城市中排名第1位。日喀则市、山南市、林芝市、昌都市、那曲市和阿里地区环境空气质量达到二级标准。在全国339个地级及以上城市环境空气质量排名分别为第18名、第12名、第1名、第7名、第84名、第8名。珠穆朗玛峰区域环境空气质量持续保持在优良状态，达到一级标准。规划区所在区域为大气环境质量达标区。</w:t>
      </w:r>
    </w:p>
    <w:p w14:paraId="6CA5E8A1">
      <w:pPr>
        <w:spacing w:line="360" w:lineRule="auto"/>
        <w:ind w:firstLine="480" w:firstLineChars="200"/>
        <w:rPr>
          <w:rFonts w:hint="default" w:ascii="Times New Roman" w:hAnsi="Times New Roman" w:cs="Times New Roman"/>
          <w:bCs/>
          <w:color w:val="auto"/>
          <w:sz w:val="24"/>
          <w:highlight w:val="none"/>
          <w:lang w:val="zh-CN"/>
        </w:rPr>
      </w:pPr>
      <w:r>
        <w:rPr>
          <w:rFonts w:hint="default" w:ascii="Times New Roman" w:hAnsi="Times New Roman" w:cs="Times New Roman"/>
          <w:bCs/>
          <w:color w:val="auto"/>
          <w:sz w:val="24"/>
          <w:highlight w:val="none"/>
          <w:lang w:val="zh-CN"/>
        </w:rPr>
        <w:t>根据监测结果：各监测项目满足《环境空气质量标准》（GB3095-2026）一级标准</w:t>
      </w:r>
      <w:r>
        <w:rPr>
          <w:rFonts w:hint="default" w:ascii="Times New Roman" w:hAnsi="Times New Roman" w:cs="Times New Roman"/>
          <w:bCs/>
          <w:color w:val="auto"/>
          <w:sz w:val="24"/>
          <w:highlight w:val="none"/>
          <w:lang w:val="en-US" w:eastAsia="zh-CN"/>
        </w:rPr>
        <w:t>限值</w:t>
      </w:r>
      <w:r>
        <w:rPr>
          <w:rFonts w:hint="default" w:ascii="Times New Roman" w:hAnsi="Times New Roman" w:cs="Times New Roman"/>
          <w:bCs/>
          <w:color w:val="auto"/>
          <w:sz w:val="24"/>
          <w:highlight w:val="none"/>
          <w:lang w:val="zh-CN"/>
        </w:rPr>
        <w:t>，规划区大气环境质量较好。</w:t>
      </w:r>
    </w:p>
    <w:p w14:paraId="33DA6253">
      <w:pPr>
        <w:pStyle w:val="4"/>
        <w:spacing w:before="156" w:after="156"/>
        <w:rPr>
          <w:rFonts w:hint="default" w:ascii="Times New Roman" w:hAnsi="Times New Roman" w:cs="Times New Roman"/>
          <w:color w:val="auto"/>
          <w:highlight w:val="none"/>
        </w:rPr>
      </w:pPr>
      <w:bookmarkStart w:id="218" w:name="_Toc36557512"/>
      <w:bookmarkStart w:id="219" w:name="_Toc36557505"/>
      <w:r>
        <w:rPr>
          <w:rFonts w:hint="default" w:ascii="Times New Roman" w:hAnsi="Times New Roman" w:cs="Times New Roman"/>
          <w:color w:val="auto"/>
          <w:highlight w:val="none"/>
        </w:rPr>
        <w:t>地表水环境</w:t>
      </w:r>
    </w:p>
    <w:p w14:paraId="14D28F4A">
      <w:pPr>
        <w:spacing w:line="360" w:lineRule="auto"/>
        <w:ind w:firstLine="480" w:firstLineChars="200"/>
        <w:rPr>
          <w:rFonts w:hint="default" w:ascii="Times New Roman" w:hAnsi="Times New Roman" w:cs="Times New Roman"/>
          <w:color w:val="auto"/>
          <w:sz w:val="24"/>
          <w:highlight w:val="none"/>
          <w:lang w:val="en-GB"/>
        </w:rPr>
      </w:pPr>
      <w:r>
        <w:rPr>
          <w:rFonts w:hint="default" w:ascii="Times New Roman" w:hAnsi="Times New Roman" w:cs="Times New Roman"/>
          <w:color w:val="auto"/>
          <w:sz w:val="24"/>
          <w:highlight w:val="none"/>
        </w:rPr>
        <w:t>根据《202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西藏自治区生态环境状况公报》，2024年，全区主要江河、湖泊水质整体保持优良，达到国家规定相应水域的环境质量标准。澜沧江、金沙江、雅鲁藏布江、怒江干流水质达到Ⅱ类标准，拉萨河、年楚河、尼洋河等流经重要城镇的河流水质达到或优于Ⅱ类标准。班公错、普莫雍错、羊卓雍错、色林错、纳木错、佩枯错湖泊水质均达到Ⅱ类标准</w:t>
      </w:r>
      <w:r>
        <w:rPr>
          <w:rFonts w:hint="default" w:ascii="Times New Roman" w:hAnsi="Times New Roman" w:cs="Times New Roman"/>
          <w:color w:val="auto"/>
          <w:sz w:val="24"/>
          <w:highlight w:val="none"/>
          <w:lang w:val="en-GB"/>
        </w:rPr>
        <w:t>。</w:t>
      </w:r>
      <w:r>
        <w:rPr>
          <w:rFonts w:hint="default" w:ascii="Times New Roman" w:hAnsi="Times New Roman" w:cs="Times New Roman"/>
          <w:color w:val="auto"/>
          <w:sz w:val="24"/>
          <w:highlight w:val="none"/>
        </w:rPr>
        <w:t>规划区所在区域为地表水环境质量达标区。</w:t>
      </w:r>
    </w:p>
    <w:p w14:paraId="3F4F03E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根据监测结果：监测期间规划区</w:t>
      </w:r>
      <w:r>
        <w:rPr>
          <w:rFonts w:hint="default" w:ascii="Times New Roman" w:hAnsi="Times New Roman" w:cs="Times New Roman"/>
          <w:color w:val="auto"/>
          <w:sz w:val="24"/>
          <w:highlight w:val="none"/>
          <w:lang w:eastAsia="zh-CN"/>
        </w:rPr>
        <w:t>北侧帕隆藏布</w:t>
      </w:r>
      <w:r>
        <w:rPr>
          <w:rFonts w:hint="default" w:ascii="Times New Roman" w:hAnsi="Times New Roman" w:cs="Times New Roman"/>
          <w:color w:val="auto"/>
          <w:sz w:val="24"/>
          <w:highlight w:val="none"/>
        </w:rPr>
        <w:t>上下游2个监测断面各指标均可以满足《地表水环境质量标准》（GB3838-2002）中</w:t>
      </w:r>
      <w:r>
        <w:rPr>
          <w:rFonts w:hint="default" w:ascii="Times New Roman" w:hAnsi="Times New Roman" w:eastAsia="宋体" w:cs="Times New Roman"/>
          <w:color w:val="auto"/>
          <w:sz w:val="24"/>
          <w:highlight w:val="none"/>
        </w:rPr>
        <w:t>Ⅱ</w:t>
      </w:r>
      <w:r>
        <w:rPr>
          <w:rFonts w:hint="default" w:ascii="Times New Roman" w:hAnsi="Times New Roman" w:cs="Times New Roman"/>
          <w:color w:val="auto"/>
          <w:sz w:val="24"/>
          <w:highlight w:val="none"/>
        </w:rPr>
        <w:t>类限值要求。所在区域水环境质量现状较好。</w:t>
      </w:r>
    </w:p>
    <w:p w14:paraId="5554C19A">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地下水环境</w:t>
      </w:r>
    </w:p>
    <w:p w14:paraId="600C548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根据2018年-202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年《西藏自治区生态环境状况公报》，全区7地（市）行署（政府）所在地城镇集中式饮用水水源地水质均达到《地下水质量标准》（GB/T 14848-2017）中Ⅲ类标准。</w:t>
      </w:r>
    </w:p>
    <w:p w14:paraId="5414CA37">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p w14:paraId="3C9E78C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根据监测结果，在监测期间各监测点位昼、夜间噪声值均可以</w:t>
      </w:r>
      <w:r>
        <w:rPr>
          <w:rFonts w:hint="eastAsia" w:cs="Times New Roman"/>
          <w:color w:val="auto"/>
          <w:sz w:val="24"/>
          <w:highlight w:val="none"/>
          <w:lang w:val="en-US" w:eastAsia="zh-CN"/>
        </w:rPr>
        <w:t>分别</w:t>
      </w:r>
      <w:r>
        <w:rPr>
          <w:rFonts w:hint="default" w:ascii="Times New Roman" w:hAnsi="Times New Roman" w:cs="Times New Roman"/>
          <w:color w:val="auto"/>
          <w:sz w:val="24"/>
          <w:highlight w:val="none"/>
        </w:rPr>
        <w:t>满足</w:t>
      </w:r>
      <w:bookmarkStart w:id="220" w:name="_Hlk147733863"/>
      <w:r>
        <w:rPr>
          <w:rFonts w:hint="default" w:ascii="Times New Roman" w:hAnsi="Times New Roman" w:cs="Times New Roman"/>
          <w:color w:val="auto"/>
          <w:sz w:val="24"/>
          <w:highlight w:val="none"/>
        </w:rPr>
        <w:t>《声环境质量标准》（GB3096-2008）中1</w:t>
      </w: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类标准</w:t>
      </w:r>
      <w:bookmarkEnd w:id="220"/>
      <w:r>
        <w:rPr>
          <w:rFonts w:hint="default" w:ascii="Times New Roman" w:hAnsi="Times New Roman" w:cs="Times New Roman"/>
          <w:color w:val="auto"/>
          <w:sz w:val="24"/>
          <w:highlight w:val="none"/>
        </w:rPr>
        <w:t>，规划区声环境质量较好。</w:t>
      </w:r>
    </w:p>
    <w:p w14:paraId="268C00C6">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w:t>
      </w:r>
    </w:p>
    <w:p w14:paraId="64067249">
      <w:pPr>
        <w:spacing w:line="360" w:lineRule="auto"/>
        <w:ind w:firstLine="480" w:firstLineChars="200"/>
        <w:rPr>
          <w:rFonts w:hint="default" w:ascii="Times New Roman" w:hAnsi="Times New Roman" w:cs="Times New Roman"/>
          <w:color w:val="auto"/>
          <w:sz w:val="24"/>
          <w:highlight w:val="none"/>
        </w:rPr>
      </w:pPr>
      <w:bookmarkStart w:id="221" w:name="_Hlk140150673"/>
      <w:r>
        <w:rPr>
          <w:rFonts w:hint="default" w:ascii="Times New Roman" w:hAnsi="Times New Roman" w:cs="Times New Roman"/>
          <w:color w:val="auto"/>
          <w:sz w:val="24"/>
          <w:highlight w:val="none"/>
        </w:rPr>
        <w:t>根据监测结果，1#监测点位现状为居住用地，各监测因子满足《土壤环境质量 建设用地土壤污染风险管控标准（试行）》（GB36600-2018）中的一类用地风险筛选值；2#监测点位现状与规划用地性质均为旱地，在监测期间锌、镉、汞、砷、铅、铬、铜、镍监测值能够满足《土壤环境质量农用地土壤污染风险管控标准（试行）》（GB15618-2018）中风险筛选值。土壤环境质量较好。根据调查，规划区无排放重金属污染物的工业企业和矿山存在，也不属于工业布局区，土壤环境基本能维持现状。</w:t>
      </w:r>
      <w:bookmarkEnd w:id="221"/>
    </w:p>
    <w:p w14:paraId="665B49DC">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w:t>
      </w:r>
    </w:p>
    <w:p w14:paraId="155C722A">
      <w:pPr>
        <w:adjustRightInd w:val="0"/>
        <w:spacing w:line="360" w:lineRule="auto"/>
        <w:ind w:firstLine="480" w:firstLineChars="200"/>
        <w:contextualSpacing/>
        <w:rPr>
          <w:rStyle w:val="103"/>
          <w:rFonts w:hint="default" w:ascii="Times New Roman" w:hAnsi="Times New Roman" w:cs="Times New Roman"/>
          <w:color w:val="auto"/>
          <w:highlight w:val="none"/>
        </w:rPr>
      </w:pPr>
      <w:bookmarkStart w:id="222" w:name="_Hlk140150693"/>
      <w:r>
        <w:rPr>
          <w:rStyle w:val="103"/>
          <w:rFonts w:hint="default" w:ascii="Times New Roman" w:hAnsi="Times New Roman" w:cs="Times New Roman"/>
          <w:color w:val="auto"/>
          <w:highlight w:val="none"/>
        </w:rPr>
        <w:t>根据《西藏自治区生态功能区划》，规划区所在地属</w:t>
      </w:r>
      <w:r>
        <w:rPr>
          <w:rStyle w:val="103"/>
          <w:rFonts w:hint="default" w:ascii="Times New Roman" w:hAnsi="Times New Roman" w:cs="Times New Roman"/>
          <w:color w:val="auto"/>
          <w:highlight w:val="none"/>
          <w:lang w:val="en-US" w:eastAsia="zh-CN"/>
        </w:rPr>
        <w:t>-II-藏东高山深谷温带半湿润常绿阔叶林—暗针叶林生态区、</w:t>
      </w:r>
      <w:r>
        <w:rPr>
          <w:rStyle w:val="103"/>
          <w:rFonts w:hint="default" w:ascii="Times New Roman" w:hAnsi="Times New Roman" w:cs="Times New Roman"/>
          <w:color w:val="auto"/>
          <w:highlight w:val="none"/>
        </w:rPr>
        <w:t>II</w:t>
      </w:r>
      <w:r>
        <w:rPr>
          <w:rStyle w:val="103"/>
          <w:rFonts w:hint="default" w:ascii="Times New Roman" w:hAnsi="Times New Roman" w:cs="Times New Roman"/>
          <w:color w:val="auto"/>
          <w:highlight w:val="none"/>
          <w:vertAlign w:val="subscript"/>
        </w:rPr>
        <w:t>1</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rPr>
        <w:t>念青唐古拉山南翼常绿阔叶林、云冷杉林生态亚区—</w:t>
      </w:r>
      <w:r>
        <w:rPr>
          <w:rStyle w:val="103"/>
          <w:rFonts w:hint="default" w:ascii="Times New Roman" w:hAnsi="Times New Roman" w:cs="Times New Roman"/>
          <w:color w:val="auto"/>
          <w:highlight w:val="none"/>
          <w:lang w:eastAsia="zh-CN"/>
        </w:rPr>
        <w:t>II</w:t>
      </w:r>
      <w:r>
        <w:rPr>
          <w:rStyle w:val="103"/>
          <w:rFonts w:hint="default" w:ascii="Times New Roman" w:hAnsi="Times New Roman" w:cs="Times New Roman"/>
          <w:color w:val="auto"/>
          <w:highlight w:val="none"/>
          <w:vertAlign w:val="subscript"/>
          <w:lang w:eastAsia="zh-CN"/>
        </w:rPr>
        <w:t>1-1</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lang w:eastAsia="zh-CN"/>
        </w:rPr>
        <w:t>帕隆—易贡藏布山地灾害敏感性与生物多样性保护生态功能区</w:t>
      </w:r>
      <w:r>
        <w:rPr>
          <w:rStyle w:val="103"/>
          <w:rFonts w:hint="default" w:ascii="Times New Roman" w:hAnsi="Times New Roman" w:cs="Times New Roman"/>
          <w:color w:val="auto"/>
          <w:highlight w:val="none"/>
        </w:rPr>
        <w:t>。</w:t>
      </w:r>
    </w:p>
    <w:p w14:paraId="3AAC070A">
      <w:pPr>
        <w:adjustRightInd w:val="0"/>
        <w:spacing w:line="360" w:lineRule="auto"/>
        <w:ind w:firstLine="480" w:firstLineChars="200"/>
        <w:contextualSpacing/>
        <w:rPr>
          <w:rStyle w:val="103"/>
          <w:rFonts w:hint="default" w:ascii="Times New Roman" w:hAnsi="Times New Roman" w:cs="Times New Roman"/>
          <w:color w:val="auto"/>
          <w:kern w:val="0"/>
          <w:highlight w:val="none"/>
        </w:rPr>
      </w:pPr>
      <w:r>
        <w:rPr>
          <w:rStyle w:val="103"/>
          <w:rFonts w:hint="default" w:ascii="Times New Roman" w:hAnsi="Times New Roman" w:cs="Times New Roman"/>
          <w:color w:val="auto"/>
          <w:kern w:val="0"/>
          <w:highlight w:val="none"/>
        </w:rPr>
        <w:t>生态功能范围：</w:t>
      </w:r>
      <w:r>
        <w:rPr>
          <w:rFonts w:hint="default" w:ascii="Times New Roman" w:hAnsi="Times New Roman" w:cs="Times New Roman"/>
          <w:color w:val="auto"/>
          <w:sz w:val="24"/>
          <w:highlight w:val="none"/>
        </w:rPr>
        <w:t>该区地处西藏东南雅鲁藏布江一级支流帕隆藏布及其支流易贡藏布中下游流域，包括波密县的全境。面积19043.34km</w:t>
      </w:r>
      <w:r>
        <w:rPr>
          <w:rFonts w:hint="default" w:ascii="Times New Roman" w:hAnsi="Times New Roman" w:cs="Times New Roman"/>
          <w:color w:val="auto"/>
          <w:sz w:val="24"/>
          <w:highlight w:val="none"/>
          <w:vertAlign w:val="superscript"/>
        </w:rPr>
        <w:t>2</w:t>
      </w:r>
      <w:r>
        <w:rPr>
          <w:rStyle w:val="103"/>
          <w:rFonts w:hint="default" w:ascii="Times New Roman" w:hAnsi="Times New Roman" w:cs="Times New Roman"/>
          <w:color w:val="auto"/>
          <w:kern w:val="0"/>
          <w:highlight w:val="none"/>
        </w:rPr>
        <w:t>。</w:t>
      </w:r>
    </w:p>
    <w:p w14:paraId="65BAA5A3">
      <w:pPr>
        <w:adjustRightInd w:val="0"/>
        <w:spacing w:line="360" w:lineRule="auto"/>
        <w:ind w:firstLine="480" w:firstLineChars="200"/>
        <w:contextualSpacing/>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生态功能定位：山地灾害预防和生物多样性保护，其次为水源涵养。</w:t>
      </w:r>
    </w:p>
    <w:p w14:paraId="29D99552">
      <w:pPr>
        <w:adjustRightInd w:val="0"/>
        <w:spacing w:line="360" w:lineRule="auto"/>
        <w:ind w:firstLine="480" w:firstLineChars="200"/>
        <w:contextualSpacing/>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发展与保护方向及对策：该区森林植被类型的多样性，为多种动物的繁衍生息创造了有利的条件，主要动物种类有羚牛、赤斑羚、豹、盘羊、黑熊、猕猴、雪鸡等。该区是西藏山地生态系统类型多样性和生物多样性比较丰富的地区之一。在人类活动影响较小的地区，生物多样性保存较好，其中波密岗乡以云杉林为主的原始森林生态系统拥有丰富的动植物物种，云杉林生物生产力很高，林木生长速度、持续生长期和单位蓄积量大大超过国内外同类林分，每公顷蓄积量高达1500～2000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前已述及，该区主要生态环境问题是以崩塌、滑坡和泥石流为主的山地灾害，具有易发性特点，且灾害主要危害公路交通，造成的危害和损失严重。因此，该区的主要生态功能是生物多样性的保护和山地灾害的预防。</w:t>
      </w:r>
    </w:p>
    <w:p w14:paraId="2F7BE216">
      <w:pPr>
        <w:adjustRightInd w:val="0"/>
        <w:spacing w:line="360" w:lineRule="auto"/>
        <w:ind w:firstLine="480" w:firstLineChars="200"/>
        <w:contextualSpacing/>
        <w:rPr>
          <w:rFonts w:hint="default" w:ascii="Times New Roman" w:hAnsi="Times New Roman" w:cs="Times New Roman"/>
          <w:bCs/>
          <w:color w:val="auto"/>
          <w:highlight w:val="none"/>
        </w:rPr>
      </w:pPr>
      <w:r>
        <w:rPr>
          <w:rFonts w:hint="default" w:ascii="Times New Roman" w:hAnsi="Times New Roman" w:cs="Times New Roman"/>
          <w:bCs/>
          <w:color w:val="auto"/>
          <w:sz w:val="24"/>
          <w:highlight w:val="none"/>
        </w:rPr>
        <w:t>鉴于该区河谷地带水热条件好，交通方便，具有发展农业和林果业的有利条件。因此，今后可适度开展具有地方特色的农林产业的开发，25°以上的陡坡山地禁止开垦，加强亚高山暗针叶林的管护和公路沿线山地灾害防治力度，加强自然保护区的管理和建设。</w:t>
      </w:r>
    </w:p>
    <w:p w14:paraId="06AD4BBB">
      <w:pPr>
        <w:spacing w:line="360" w:lineRule="auto"/>
        <w:ind w:firstLine="480" w:firstLineChars="200"/>
        <w:rPr>
          <w:rFonts w:hint="default" w:ascii="Times New Roman" w:hAnsi="Times New Roman" w:cs="Times New Roman"/>
          <w:color w:val="auto"/>
          <w:sz w:val="24"/>
          <w:highlight w:val="none"/>
        </w:rPr>
      </w:pPr>
      <w:r>
        <w:rPr>
          <w:rStyle w:val="103"/>
          <w:rFonts w:hint="default" w:ascii="Times New Roman" w:hAnsi="Times New Roman" w:cs="Times New Roman"/>
          <w:color w:val="auto"/>
          <w:highlight w:val="none"/>
        </w:rPr>
        <w:t>本规划为</w:t>
      </w:r>
      <w:r>
        <w:rPr>
          <w:rFonts w:hint="default" w:ascii="Times New Roman" w:hAnsi="Times New Roman" w:cs="Times New Roman"/>
          <w:bCs/>
          <w:color w:val="auto"/>
          <w:sz w:val="24"/>
          <w:highlight w:val="none"/>
          <w:lang w:eastAsia="zh-CN"/>
        </w:rPr>
        <w:t>岗云杉林</w:t>
      </w:r>
      <w:r>
        <w:rPr>
          <w:rStyle w:val="103"/>
          <w:rFonts w:hint="default" w:ascii="Times New Roman" w:hAnsi="Times New Roman" w:cs="Times New Roman"/>
          <w:color w:val="auto"/>
          <w:highlight w:val="none"/>
        </w:rPr>
        <w:t>旅游景区规划，</w:t>
      </w:r>
      <w:r>
        <w:rPr>
          <w:rStyle w:val="103"/>
          <w:rFonts w:hint="default" w:ascii="Times New Roman" w:hAnsi="Times New Roman" w:cs="Times New Roman"/>
          <w:color w:val="auto"/>
          <w:highlight w:val="none"/>
          <w:lang w:val="en-US" w:eastAsia="zh-CN"/>
        </w:rPr>
        <w:t>规划的实施严格以</w:t>
      </w:r>
      <w:r>
        <w:rPr>
          <w:rFonts w:hint="default" w:ascii="Times New Roman" w:hAnsi="Times New Roman" w:cs="Times New Roman"/>
          <w:bCs/>
          <w:color w:val="auto"/>
          <w:sz w:val="24"/>
          <w:highlight w:val="none"/>
        </w:rPr>
        <w:t>生物多样性的保护和山地灾害的预防</w:t>
      </w:r>
      <w:r>
        <w:rPr>
          <w:rFonts w:hint="default" w:ascii="Times New Roman" w:hAnsi="Times New Roman" w:cs="Times New Roman"/>
          <w:bCs/>
          <w:color w:val="auto"/>
          <w:sz w:val="24"/>
          <w:highlight w:val="none"/>
          <w:lang w:val="en-US" w:eastAsia="zh-CN"/>
        </w:rPr>
        <w:t>为规划红线，不涉及农业开垦，严格</w:t>
      </w:r>
      <w:r>
        <w:rPr>
          <w:rFonts w:hint="default" w:ascii="Times New Roman" w:hAnsi="Times New Roman" w:cs="Times New Roman"/>
          <w:bCs/>
          <w:color w:val="auto"/>
          <w:sz w:val="24"/>
          <w:highlight w:val="none"/>
        </w:rPr>
        <w:t>加强亚高山暗针叶林的管护和公路沿线山地灾害防治力度，</w:t>
      </w:r>
      <w:r>
        <w:rPr>
          <w:rFonts w:hint="default" w:ascii="Times New Roman" w:hAnsi="Times New Roman" w:cs="Times New Roman"/>
          <w:bCs/>
          <w:color w:val="auto"/>
          <w:sz w:val="24"/>
          <w:highlight w:val="none"/>
          <w:lang w:val="en-US" w:eastAsia="zh-CN"/>
        </w:rPr>
        <w:t>严格规范游客行为，随着规划的实施，可进一步</w:t>
      </w:r>
      <w:r>
        <w:rPr>
          <w:rFonts w:hint="default" w:ascii="Times New Roman" w:hAnsi="Times New Roman" w:cs="Times New Roman"/>
          <w:bCs/>
          <w:color w:val="auto"/>
          <w:sz w:val="24"/>
          <w:highlight w:val="none"/>
        </w:rPr>
        <w:t>加强</w:t>
      </w:r>
      <w:r>
        <w:rPr>
          <w:rFonts w:hint="default" w:ascii="Times New Roman" w:hAnsi="Times New Roman" w:cs="Times New Roman"/>
          <w:bCs/>
          <w:color w:val="auto"/>
          <w:sz w:val="24"/>
          <w:highlight w:val="none"/>
          <w:lang w:val="en-US" w:eastAsia="zh-CN"/>
        </w:rPr>
        <w:t>和完善</w:t>
      </w:r>
      <w:r>
        <w:rPr>
          <w:rFonts w:hint="default" w:ascii="Times New Roman" w:hAnsi="Times New Roman" w:cs="Times New Roman"/>
          <w:bCs/>
          <w:color w:val="auto"/>
          <w:sz w:val="24"/>
          <w:highlight w:val="none"/>
        </w:rPr>
        <w:t>自然保护区的管理。</w:t>
      </w:r>
      <w:r>
        <w:rPr>
          <w:rFonts w:hint="default" w:ascii="Times New Roman" w:hAnsi="Times New Roman" w:cs="Times New Roman"/>
          <w:bCs/>
          <w:color w:val="auto"/>
          <w:sz w:val="24"/>
          <w:highlight w:val="none"/>
          <w:lang w:val="en-US" w:eastAsia="zh-CN"/>
        </w:rPr>
        <w:t>因此</w:t>
      </w:r>
      <w:r>
        <w:rPr>
          <w:rStyle w:val="103"/>
          <w:rFonts w:hint="default" w:ascii="Times New Roman" w:hAnsi="Times New Roman" w:cs="Times New Roman"/>
          <w:color w:val="auto"/>
          <w:highlight w:val="none"/>
        </w:rPr>
        <w:t>符合《西藏自治区生态功能区划》功能定位要求。</w:t>
      </w:r>
      <w:bookmarkEnd w:id="222"/>
    </w:p>
    <w:p w14:paraId="413F0B97">
      <w:pPr>
        <w:pStyle w:val="3"/>
        <w:spacing w:before="156" w:after="156"/>
        <w:rPr>
          <w:rFonts w:hint="default" w:ascii="Times New Roman" w:hAnsi="Times New Roman" w:cs="Times New Roman"/>
          <w:color w:val="auto"/>
          <w:highlight w:val="none"/>
        </w:rPr>
      </w:pPr>
      <w:bookmarkStart w:id="223" w:name="_Toc36557506"/>
      <w:bookmarkStart w:id="224" w:name="_Toc20624"/>
      <w:bookmarkStart w:id="225" w:name="_Toc36557509"/>
      <w:r>
        <w:rPr>
          <w:rFonts w:hint="default" w:ascii="Times New Roman" w:hAnsi="Times New Roman" w:cs="Times New Roman"/>
          <w:color w:val="auto"/>
          <w:highlight w:val="none"/>
        </w:rPr>
        <w:t>主要环境问题和制约因素</w:t>
      </w:r>
      <w:bookmarkEnd w:id="223"/>
      <w:bookmarkEnd w:id="224"/>
    </w:p>
    <w:p w14:paraId="2AAC84B6">
      <w:pPr>
        <w:pStyle w:val="4"/>
        <w:spacing w:before="156" w:after="156"/>
        <w:rPr>
          <w:rFonts w:hint="default" w:ascii="Times New Roman" w:hAnsi="Times New Roman" w:cs="Times New Roman"/>
          <w:color w:val="auto"/>
          <w:highlight w:val="none"/>
        </w:rPr>
      </w:pPr>
      <w:bookmarkStart w:id="226" w:name="_Toc36557507"/>
      <w:r>
        <w:rPr>
          <w:rFonts w:hint="default" w:ascii="Times New Roman" w:hAnsi="Times New Roman" w:cs="Times New Roman"/>
          <w:color w:val="auto"/>
          <w:highlight w:val="none"/>
        </w:rPr>
        <w:t>主要环境问题</w:t>
      </w:r>
      <w:bookmarkEnd w:id="226"/>
    </w:p>
    <w:p w14:paraId="2755E879">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（1）村庄冬季取暖会燃烧少量薪柴和牛粪。</w:t>
      </w:r>
    </w:p>
    <w:p w14:paraId="25C43616">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（2）规划区部分项目正在施工中，建筑垃圾未妥善收集堆存，存在胡乱堆放的现象。</w:t>
      </w:r>
    </w:p>
    <w:p w14:paraId="04E3EDD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（3）规划区部分规划绿化区域暂未及时进行绿化，需按照规划及时对拟绿化区进行绿化。</w:t>
      </w:r>
    </w:p>
    <w:p w14:paraId="7526B9E1">
      <w:pPr>
        <w:pStyle w:val="4"/>
        <w:spacing w:before="156" w:after="156"/>
        <w:rPr>
          <w:rFonts w:hint="default" w:ascii="Times New Roman" w:hAnsi="Times New Roman" w:cs="Times New Roman"/>
          <w:color w:val="auto"/>
          <w:highlight w:val="none"/>
        </w:rPr>
      </w:pPr>
      <w:bookmarkStart w:id="227" w:name="_Toc36557508"/>
      <w:r>
        <w:rPr>
          <w:rFonts w:hint="default" w:ascii="Times New Roman" w:hAnsi="Times New Roman" w:cs="Times New Roman"/>
          <w:color w:val="auto"/>
          <w:highlight w:val="none"/>
        </w:rPr>
        <w:t>生态环境制约因素</w:t>
      </w:r>
      <w:bookmarkEnd w:id="227"/>
    </w:p>
    <w:p w14:paraId="4440713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eastAsiaTheme="minorEastAsia"/>
          <w:color w:val="auto"/>
          <w:sz w:val="24"/>
          <w:highlight w:val="none"/>
        </w:rPr>
        <w:t>本次规划范围涉及雅鲁藏布大峡谷国家级自然保护区、西藏嘎朗国家湿地公园、生态保护红线</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lang w:val="en-US" w:eastAsia="zh-CN"/>
        </w:rPr>
        <w:t>规划项目的实施必须满足</w:t>
      </w:r>
      <w:r>
        <w:rPr>
          <w:rFonts w:hint="default" w:ascii="Times New Roman" w:hAnsi="Times New Roman" w:cs="Times New Roman" w:eastAsiaTheme="minorEastAsia"/>
          <w:color w:val="auto"/>
          <w:sz w:val="24"/>
          <w:highlight w:val="none"/>
          <w:lang w:eastAsia="zh-CN"/>
        </w:rPr>
        <w:t>《中华人民共和国自然保护区条例》、《国家湿地公园管理办法》（林湿规〔2022〕3号）、《关于加强生态保护红线管理的通知（试行）》（自然资发〔2022〕142号）、《生态保护红线生态环境监督办法（试行）》（国环规生态〔2022〕2号）</w:t>
      </w:r>
      <w:r>
        <w:rPr>
          <w:rFonts w:hint="default" w:ascii="Times New Roman" w:hAnsi="Times New Roman" w:cs="Times New Roman" w:eastAsiaTheme="minorEastAsia"/>
          <w:color w:val="auto"/>
          <w:sz w:val="24"/>
          <w:highlight w:val="none"/>
          <w:lang w:val="en-US" w:eastAsia="zh-CN"/>
        </w:rPr>
        <w:t>中相关要求</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color w:val="auto"/>
          <w:sz w:val="24"/>
          <w:highlight w:val="none"/>
        </w:rPr>
        <w:t>施工期，严格控制作业范围，禁止越界施工，同时加强施工期扬尘及水土流失防治，严格保护</w:t>
      </w:r>
      <w:r>
        <w:rPr>
          <w:rFonts w:hint="default" w:ascii="Times New Roman" w:hAnsi="Times New Roman" w:cs="Times New Roman"/>
          <w:color w:val="auto"/>
          <w:sz w:val="24"/>
          <w:highlight w:val="none"/>
          <w:lang w:val="en-US" w:eastAsia="zh-CN"/>
        </w:rPr>
        <w:t>自然</w:t>
      </w:r>
      <w:r>
        <w:rPr>
          <w:rFonts w:hint="default" w:ascii="Times New Roman" w:hAnsi="Times New Roman" w:cs="Times New Roman"/>
          <w:color w:val="auto"/>
          <w:sz w:val="24"/>
          <w:highlight w:val="none"/>
        </w:rPr>
        <w:t>资源及其周边环境；规划实施后，严格</w:t>
      </w:r>
      <w:r>
        <w:rPr>
          <w:rFonts w:hint="default" w:ascii="Times New Roman" w:hAnsi="Times New Roman" w:cs="Times New Roman"/>
          <w:bCs/>
          <w:color w:val="auto"/>
          <w:sz w:val="24"/>
          <w:szCs w:val="20"/>
          <w:highlight w:val="none"/>
        </w:rPr>
        <w:t>管控游客行为，避免破坏自然和文化资源；</w:t>
      </w:r>
      <w:r>
        <w:rPr>
          <w:rFonts w:hint="default" w:ascii="Times New Roman" w:hAnsi="Times New Roman" w:cs="Times New Roman"/>
          <w:bCs/>
          <w:color w:val="auto"/>
          <w:sz w:val="24"/>
          <w:szCs w:val="20"/>
          <w:highlight w:val="none"/>
          <w:lang w:val="en-US" w:eastAsia="zh-CN"/>
        </w:rPr>
        <w:t>严禁进入</w:t>
      </w:r>
      <w:r>
        <w:rPr>
          <w:rFonts w:hint="default" w:ascii="Times New Roman" w:hAnsi="Times New Roman" w:cs="Times New Roman" w:eastAsiaTheme="minorEastAsia"/>
          <w:color w:val="auto"/>
          <w:sz w:val="24"/>
          <w:highlight w:val="none"/>
        </w:rPr>
        <w:t>雅鲁藏布大峡谷国家级自然保护区</w:t>
      </w:r>
      <w:r>
        <w:rPr>
          <w:rFonts w:hint="default" w:ascii="Times New Roman" w:hAnsi="Times New Roman" w:cs="Times New Roman" w:eastAsiaTheme="minorEastAsia"/>
          <w:color w:val="auto"/>
          <w:sz w:val="24"/>
          <w:highlight w:val="none"/>
          <w:lang w:val="en-US" w:eastAsia="zh-CN"/>
        </w:rPr>
        <w:t>核心区</w:t>
      </w:r>
      <w:r>
        <w:rPr>
          <w:rFonts w:hint="default" w:ascii="Times New Roman" w:hAnsi="Times New Roman" w:cs="Times New Roman"/>
          <w:bCs/>
          <w:color w:val="auto"/>
          <w:sz w:val="24"/>
          <w:szCs w:val="20"/>
          <w:highlight w:val="none"/>
        </w:rPr>
        <w:t>；除与风景保护和游览相关的必需设施外，严格限制其他各类建设与活动；严格控制居民人口规模和居民点建设规模，科学的引导居民开展农业观光、乡村旅游等活动。</w:t>
      </w:r>
      <w:r>
        <w:rPr>
          <w:rFonts w:hint="default" w:ascii="Times New Roman" w:hAnsi="Times New Roman" w:cs="Times New Roman"/>
          <w:color w:val="auto"/>
          <w:sz w:val="24"/>
          <w:szCs w:val="20"/>
          <w:highlight w:val="none"/>
        </w:rPr>
        <w:t>开展游览活动须管控游客行为，避免破坏自然和文化资源。除与规划景区建设项目外，严格限制引进其他项目，尤其是生态破坏及污染性项目。</w:t>
      </w:r>
    </w:p>
    <w:p w14:paraId="041BC232">
      <w:pPr>
        <w:pStyle w:val="3"/>
        <w:spacing w:before="156" w:after="156"/>
        <w:rPr>
          <w:rFonts w:hint="default" w:ascii="Times New Roman" w:hAnsi="Times New Roman" w:cs="Times New Roman"/>
          <w:color w:val="auto"/>
          <w:highlight w:val="none"/>
        </w:rPr>
      </w:pPr>
      <w:bookmarkStart w:id="228" w:name="_Toc3130"/>
      <w:r>
        <w:rPr>
          <w:rFonts w:hint="default" w:ascii="Times New Roman" w:hAnsi="Times New Roman" w:cs="Times New Roman"/>
          <w:color w:val="auto"/>
          <w:highlight w:val="none"/>
        </w:rPr>
        <w:t>资源环境承载力分析</w:t>
      </w:r>
      <w:bookmarkEnd w:id="228"/>
    </w:p>
    <w:p w14:paraId="37F5A113">
      <w:pPr>
        <w:pStyle w:val="4"/>
        <w:spacing w:before="156" w:after="156"/>
        <w:rPr>
          <w:rFonts w:hint="default" w:ascii="Times New Roman" w:hAnsi="Times New Roman" w:cs="Times New Roman"/>
          <w:color w:val="auto"/>
          <w:highlight w:val="none"/>
        </w:rPr>
      </w:pPr>
      <w:bookmarkStart w:id="229" w:name="_Toc36557510"/>
      <w:r>
        <w:rPr>
          <w:rFonts w:hint="default" w:ascii="Times New Roman" w:hAnsi="Times New Roman" w:cs="Times New Roman"/>
          <w:color w:val="auto"/>
          <w:highlight w:val="none"/>
        </w:rPr>
        <w:t>资源承载力分析</w:t>
      </w:r>
      <w:bookmarkEnd w:id="229"/>
    </w:p>
    <w:p w14:paraId="6531367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（1）水资源承载力</w:t>
      </w:r>
    </w:p>
    <w:p w14:paraId="2C04120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val="en-US" w:eastAsia="zh-CN"/>
        </w:rPr>
        <w:t>规划区北侧为帕隆藏布，规划区分布有数条帕隆藏布支流，规划区居民用水为山泉水，评价区地下水未开采</w:t>
      </w:r>
      <w:r>
        <w:rPr>
          <w:rFonts w:hint="default" w:ascii="Times New Roman" w:hAnsi="Times New Roman" w:cs="Times New Roman"/>
          <w:color w:val="auto"/>
          <w:kern w:val="0"/>
          <w:sz w:val="24"/>
          <w:highlight w:val="none"/>
        </w:rPr>
        <w:t>，无工业供水和水电开发。流域内水资源开发利用程度较低，水资源开发利用潜力大。由于规划区水资源丰富，不作为限制因素，但应尽量合理利用水资源。</w:t>
      </w:r>
    </w:p>
    <w:p w14:paraId="3335893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（2）土地资源承载力</w:t>
      </w:r>
    </w:p>
    <w:p w14:paraId="27DDCC90">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本次规划保持区内建设用地类型未发生变化，主要建设内容均为</w:t>
      </w:r>
      <w:r>
        <w:rPr>
          <w:rFonts w:hint="default" w:ascii="Times New Roman" w:hAnsi="Times New Roman" w:cs="Times New Roman"/>
          <w:color w:val="auto"/>
          <w:kern w:val="0"/>
          <w:sz w:val="24"/>
          <w:highlight w:val="none"/>
          <w:lang w:val="en-US" w:eastAsia="zh-CN"/>
        </w:rPr>
        <w:t>植被覆盖度较低的灌木林</w:t>
      </w:r>
      <w:r>
        <w:rPr>
          <w:rFonts w:hint="default" w:ascii="Times New Roman" w:hAnsi="Times New Roman" w:cs="Times New Roman"/>
          <w:color w:val="auto"/>
          <w:kern w:val="0"/>
          <w:sz w:val="24"/>
          <w:highlight w:val="none"/>
        </w:rPr>
        <w:t>地进行建设，通过在规划区内加强绿化弥补</w:t>
      </w:r>
      <w:r>
        <w:rPr>
          <w:rFonts w:hint="default" w:ascii="Times New Roman" w:hAnsi="Times New Roman" w:cs="Times New Roman"/>
          <w:color w:val="auto"/>
          <w:kern w:val="0"/>
          <w:sz w:val="24"/>
          <w:highlight w:val="none"/>
          <w:lang w:val="en-US" w:eastAsia="zh-CN"/>
        </w:rPr>
        <w:t>灌木林</w:t>
      </w:r>
      <w:r>
        <w:rPr>
          <w:rFonts w:hint="default" w:ascii="Times New Roman" w:hAnsi="Times New Roman" w:cs="Times New Roman"/>
          <w:color w:val="auto"/>
          <w:kern w:val="0"/>
          <w:sz w:val="24"/>
          <w:highlight w:val="none"/>
        </w:rPr>
        <w:t>地减少而造成的损失，未突破区域土地资源利用上线要求。</w:t>
      </w:r>
    </w:p>
    <w:p w14:paraId="02FD7207">
      <w:pPr>
        <w:pStyle w:val="4"/>
        <w:spacing w:before="156" w:after="156"/>
        <w:rPr>
          <w:rFonts w:hint="default" w:ascii="Times New Roman" w:hAnsi="Times New Roman" w:cs="Times New Roman"/>
          <w:color w:val="auto"/>
          <w:highlight w:val="none"/>
        </w:rPr>
      </w:pPr>
      <w:bookmarkStart w:id="230" w:name="_Toc36557511"/>
      <w:r>
        <w:rPr>
          <w:rFonts w:hint="default" w:ascii="Times New Roman" w:hAnsi="Times New Roman" w:cs="Times New Roman"/>
          <w:color w:val="auto"/>
          <w:highlight w:val="none"/>
        </w:rPr>
        <w:t>环境承载力分析</w:t>
      </w:r>
      <w:bookmarkEnd w:id="230"/>
    </w:p>
    <w:p w14:paraId="500C357B">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（1）大气环境承载力</w:t>
      </w:r>
    </w:p>
    <w:p w14:paraId="7F6C9FB3">
      <w:pPr>
        <w:spacing w:line="360" w:lineRule="auto"/>
        <w:ind w:firstLine="480" w:firstLineChars="200"/>
        <w:rPr>
          <w:rFonts w:hint="default" w:ascii="Times New Roman" w:hAnsi="Times New Roman" w:cs="Times New Roman"/>
          <w:color w:val="auto"/>
          <w:sz w:val="24"/>
          <w:highlight w:val="none"/>
        </w:rPr>
      </w:pPr>
      <w:bookmarkStart w:id="231" w:name="_Hlk140244378"/>
      <w:r>
        <w:rPr>
          <w:rFonts w:hint="default" w:ascii="Times New Roman" w:hAnsi="Times New Roman" w:cs="Times New Roman"/>
          <w:color w:val="auto"/>
          <w:sz w:val="24"/>
          <w:highlight w:val="none"/>
        </w:rPr>
        <w:t>根据计算，规划区的大气环境容量为：</w:t>
      </w:r>
      <w:r>
        <w:rPr>
          <w:rFonts w:hint="default" w:ascii="Times New Roman" w:hAnsi="Times New Roman" w:cs="Times New Roman"/>
          <w:bCs/>
          <w:color w:val="auto"/>
          <w:kern w:val="0"/>
          <w:sz w:val="24"/>
          <w:highlight w:val="none"/>
        </w:rPr>
        <w:t>SO</w:t>
      </w:r>
      <w:r>
        <w:rPr>
          <w:rFonts w:hint="default" w:ascii="Times New Roman" w:hAnsi="Times New Roman" w:cs="Times New Roman"/>
          <w:bCs/>
          <w:color w:val="auto"/>
          <w:kern w:val="0"/>
          <w:sz w:val="24"/>
          <w:highlight w:val="none"/>
          <w:vertAlign w:val="subscript"/>
        </w:rPr>
        <w:t>2</w:t>
      </w:r>
      <w:r>
        <w:rPr>
          <w:rFonts w:hint="default" w:ascii="Times New Roman" w:hAnsi="Times New Roman" w:cs="Times New Roman"/>
          <w:bCs/>
          <w:color w:val="auto"/>
          <w:kern w:val="0"/>
          <w:sz w:val="24"/>
          <w:highlight w:val="none"/>
        </w:rPr>
        <w:t>：22.14t/a、NOx：10.84t/a、PM</w:t>
      </w:r>
      <w:r>
        <w:rPr>
          <w:rFonts w:hint="default" w:ascii="Times New Roman" w:hAnsi="Times New Roman" w:cs="Times New Roman"/>
          <w:bCs/>
          <w:color w:val="auto"/>
          <w:kern w:val="0"/>
          <w:sz w:val="24"/>
          <w:highlight w:val="none"/>
          <w:vertAlign w:val="subscript"/>
        </w:rPr>
        <w:t>10</w:t>
      </w:r>
      <w:r>
        <w:rPr>
          <w:rFonts w:hint="default" w:ascii="Times New Roman" w:hAnsi="Times New Roman" w:cs="Times New Roman"/>
          <w:bCs/>
          <w:color w:val="auto"/>
          <w:kern w:val="0"/>
          <w:sz w:val="24"/>
          <w:highlight w:val="none"/>
        </w:rPr>
        <w:t>：6.36t/a。</w:t>
      </w:r>
      <w:r>
        <w:rPr>
          <w:rFonts w:hint="default" w:ascii="Times New Roman" w:hAnsi="Times New Roman" w:cs="Times New Roman"/>
          <w:color w:val="auto"/>
          <w:sz w:val="24"/>
          <w:highlight w:val="none"/>
        </w:rPr>
        <w:t>本规划实施生态旅游，</w:t>
      </w:r>
      <w:r>
        <w:rPr>
          <w:rFonts w:hint="default" w:ascii="Times New Roman" w:hAnsi="Times New Roman" w:cs="Times New Roman"/>
          <w:color w:val="auto"/>
          <w:kern w:val="0"/>
          <w:sz w:val="24"/>
          <w:highlight w:val="none"/>
        </w:rPr>
        <w:t>主要使用电力、液化石油气等清洁能源</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rPr>
        <w:t>规划实施后大气污染物排放量很小，占整个规划区内大气环境容量的比例小</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rPr>
        <w:t>大气环境能够支撑规划区旅游发展需要。</w:t>
      </w:r>
      <w:bookmarkEnd w:id="231"/>
    </w:p>
    <w:p w14:paraId="05379C14">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（2）地表水环境承载力</w:t>
      </w:r>
    </w:p>
    <w:p w14:paraId="416B5D18">
      <w:pPr>
        <w:spacing w:line="360" w:lineRule="auto"/>
        <w:ind w:firstLine="480" w:firstLineChars="200"/>
        <w:rPr>
          <w:rFonts w:hint="default" w:ascii="Times New Roman" w:hAnsi="Times New Roman" w:cs="Times New Roman"/>
          <w:color w:val="auto"/>
          <w:sz w:val="24"/>
          <w:highlight w:val="none"/>
        </w:rPr>
      </w:pPr>
      <w:bookmarkStart w:id="232" w:name="_Hlk140244398"/>
      <w:r>
        <w:rPr>
          <w:rFonts w:hint="default" w:ascii="Times New Roman" w:hAnsi="Times New Roman" w:cs="Times New Roman"/>
          <w:color w:val="auto"/>
          <w:sz w:val="24"/>
          <w:highlight w:val="none"/>
          <w:lang w:val="en-US" w:eastAsia="zh-CN"/>
        </w:rPr>
        <w:t>规划区生活污水禁排，规划区北侧地表水体为</w:t>
      </w:r>
      <w:r>
        <w:rPr>
          <w:rFonts w:hint="default" w:ascii="Times New Roman" w:hAnsi="Times New Roman" w:cs="Times New Roman"/>
          <w:color w:val="auto"/>
          <w:sz w:val="24"/>
          <w:highlight w:val="none"/>
          <w:lang w:eastAsia="zh-CN"/>
        </w:rPr>
        <w:t>帕隆藏布</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帕隆藏布</w:t>
      </w:r>
      <w:r>
        <w:rPr>
          <w:rFonts w:hint="default" w:ascii="Times New Roman" w:hAnsi="Times New Roman" w:cs="Times New Roman"/>
          <w:color w:val="auto"/>
          <w:sz w:val="24"/>
          <w:highlight w:val="none"/>
        </w:rPr>
        <w:t>流域水环境承载力指数大于90%，属于未超载状态，对区域社会系统支持能力较强。居民、游客生活污水与先经隔油池预处理的餐饮废水汇同景区内其他生活污水进入</w:t>
      </w:r>
      <w:r>
        <w:rPr>
          <w:rFonts w:hint="default" w:ascii="Times New Roman" w:hAnsi="Times New Roman" w:cs="Times New Roman"/>
          <w:color w:val="auto"/>
          <w:sz w:val="24"/>
          <w:highlight w:val="none"/>
          <w:lang w:val="en-US" w:eastAsia="zh-CN"/>
        </w:rPr>
        <w:t>规划区设置的一体化污水处理装置处理</w:t>
      </w:r>
      <w:r>
        <w:rPr>
          <w:rFonts w:hint="default" w:ascii="Times New Roman" w:hAnsi="Times New Roman" w:eastAsia="宋体" w:cs="Times New Roman"/>
          <w:color w:val="auto"/>
          <w:sz w:val="24"/>
          <w:szCs w:val="20"/>
          <w:highlight w:val="none"/>
          <w:lang w:val="en-US" w:eastAsia="zh-CN"/>
        </w:rPr>
        <w:t>满足《污水综合排放标准》（GB8978-1996）一级标准限值要求</w:t>
      </w:r>
      <w:r>
        <w:rPr>
          <w:rFonts w:hint="default" w:ascii="Times New Roman" w:hAnsi="Times New Roman" w:cs="Times New Roman"/>
          <w:color w:val="auto"/>
          <w:sz w:val="24"/>
          <w:highlight w:val="none"/>
          <w:lang w:val="en-US" w:eastAsia="zh-CN"/>
        </w:rPr>
        <w:t>后用作周边林草地、耕地施肥</w:t>
      </w:r>
      <w:r>
        <w:rPr>
          <w:rFonts w:hint="default" w:ascii="Times New Roman" w:hAnsi="Times New Roman" w:cs="Times New Roman"/>
          <w:bCs/>
          <w:color w:val="auto"/>
          <w:sz w:val="24"/>
          <w:highlight w:val="none"/>
        </w:rPr>
        <w:t>，满足</w:t>
      </w:r>
      <w:r>
        <w:rPr>
          <w:rFonts w:hint="default" w:ascii="Times New Roman" w:hAnsi="Times New Roman" w:cs="Times New Roman"/>
          <w:bCs/>
          <w:color w:val="auto"/>
          <w:sz w:val="24"/>
          <w:highlight w:val="none"/>
          <w:lang w:eastAsia="zh-CN"/>
        </w:rPr>
        <w:t>帕隆藏布</w:t>
      </w:r>
      <w:r>
        <w:rPr>
          <w:rFonts w:hint="default" w:ascii="Times New Roman" w:hAnsi="Times New Roman" w:cs="Times New Roman"/>
          <w:bCs/>
          <w:color w:val="auto"/>
          <w:sz w:val="24"/>
          <w:highlight w:val="none"/>
        </w:rPr>
        <w:t>地表</w:t>
      </w:r>
      <w:r>
        <w:rPr>
          <w:rFonts w:hint="default" w:ascii="Times New Roman" w:hAnsi="Times New Roman" w:cs="Times New Roman"/>
          <w:color w:val="auto"/>
          <w:sz w:val="24"/>
          <w:highlight w:val="none"/>
        </w:rPr>
        <w:t>水环境承载力要求。</w:t>
      </w:r>
      <w:bookmarkEnd w:id="232"/>
    </w:p>
    <w:p w14:paraId="4EDF338A">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（3）旅游环境容量承载力</w:t>
      </w:r>
    </w:p>
    <w:p w14:paraId="3555A0DA">
      <w:pPr>
        <w:spacing w:line="360" w:lineRule="auto"/>
        <w:ind w:firstLine="480" w:firstLineChars="200"/>
        <w:rPr>
          <w:rFonts w:hint="default" w:ascii="Times New Roman" w:hAnsi="Times New Roman" w:cs="Times New Roman"/>
          <w:color w:val="auto"/>
          <w:sz w:val="24"/>
          <w:highlight w:val="none"/>
        </w:rPr>
      </w:pPr>
      <w:bookmarkStart w:id="233" w:name="_Hlk140244531"/>
      <w:r>
        <w:rPr>
          <w:rFonts w:hint="default" w:ascii="Times New Roman" w:hAnsi="Times New Roman" w:cs="Times New Roman"/>
          <w:color w:val="auto"/>
          <w:kern w:val="0"/>
          <w:sz w:val="24"/>
          <w:highlight w:val="none"/>
        </w:rPr>
        <w:t>规划采用数据统计方案，</w:t>
      </w:r>
      <w:r>
        <w:rPr>
          <w:rFonts w:hint="default" w:ascii="Times New Roman" w:hAnsi="Times New Roman" w:cs="Times New Roman"/>
          <w:color w:val="auto"/>
          <w:kern w:val="0"/>
          <w:sz w:val="24"/>
          <w:highlight w:val="none"/>
          <w:lang w:val="en-US" w:eastAsia="zh-CN"/>
        </w:rPr>
        <w:t>根据前文“表2.1-2  游客量预测表”可知，</w:t>
      </w:r>
      <w:r>
        <w:rPr>
          <w:rFonts w:hint="default" w:ascii="Times New Roman" w:hAnsi="Times New Roman" w:cs="Times New Roman"/>
          <w:color w:val="auto"/>
          <w:kern w:val="0"/>
          <w:sz w:val="24"/>
          <w:highlight w:val="none"/>
        </w:rPr>
        <w:t>至规划年末203</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年接待游客人数为</w:t>
      </w:r>
      <w:r>
        <w:rPr>
          <w:rFonts w:hint="default" w:ascii="Times New Roman" w:hAnsi="Times New Roman" w:cs="Times New Roman"/>
          <w:color w:val="auto"/>
          <w:kern w:val="0"/>
          <w:sz w:val="24"/>
          <w:highlight w:val="none"/>
          <w:lang w:val="en-US" w:eastAsia="zh-CN"/>
        </w:rPr>
        <w:t>50.12</w:t>
      </w:r>
      <w:r>
        <w:rPr>
          <w:rFonts w:hint="default" w:ascii="Times New Roman" w:hAnsi="Times New Roman" w:cs="Times New Roman"/>
          <w:color w:val="auto"/>
          <w:kern w:val="0"/>
          <w:sz w:val="24"/>
          <w:highlight w:val="none"/>
        </w:rPr>
        <w:t>万人次</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远小于</w:t>
      </w:r>
      <w:r>
        <w:rPr>
          <w:rFonts w:hint="default" w:ascii="Times New Roman" w:hAnsi="Times New Roman" w:cs="Times New Roman"/>
          <w:color w:val="auto"/>
          <w:kern w:val="0"/>
          <w:sz w:val="24"/>
          <w:highlight w:val="none"/>
        </w:rPr>
        <w:t>理论年容量一致，故旅游区旅游环境容量满足规划游客规模要求。区域环境资源和容量因子不会成为规划区旅游发展的限制因素，但不排除局部或经典景区的游客量超过局部环境容量。因而，有必要对节假日高峰期客流进行合理的规划和分流，协调各个景区的游客量，规划多条游览线路，杜绝某一个景区游客量过剩，而某一个景区较少人游览的现象；同时还应严格控制游客数量，限定售票量。</w:t>
      </w:r>
      <w:bookmarkEnd w:id="233"/>
    </w:p>
    <w:p w14:paraId="310897B3">
      <w:pPr>
        <w:pStyle w:val="3"/>
        <w:spacing w:before="156" w:after="156"/>
        <w:rPr>
          <w:rFonts w:hint="default" w:ascii="Times New Roman" w:hAnsi="Times New Roman" w:cs="Times New Roman"/>
          <w:color w:val="auto"/>
          <w:highlight w:val="none"/>
        </w:rPr>
      </w:pPr>
      <w:bookmarkStart w:id="234" w:name="_Toc12972"/>
      <w:r>
        <w:rPr>
          <w:rFonts w:hint="default" w:ascii="Times New Roman" w:hAnsi="Times New Roman" w:cs="Times New Roman"/>
          <w:color w:val="auto"/>
          <w:highlight w:val="none"/>
        </w:rPr>
        <w:t>规划协调性分析</w:t>
      </w:r>
      <w:bookmarkEnd w:id="234"/>
    </w:p>
    <w:p w14:paraId="33A2B8AF">
      <w:pPr>
        <w:spacing w:line="360" w:lineRule="auto"/>
        <w:ind w:firstLine="480" w:firstLineChars="200"/>
        <w:rPr>
          <w:rStyle w:val="103"/>
          <w:rFonts w:hint="default" w:ascii="Times New Roman" w:hAnsi="Times New Roman" w:cs="Times New Roman"/>
          <w:color w:val="auto"/>
          <w:szCs w:val="20"/>
          <w:highlight w:val="none"/>
        </w:rPr>
      </w:pPr>
      <w:r>
        <w:rPr>
          <w:rStyle w:val="103"/>
          <w:rFonts w:hint="default" w:ascii="Times New Roman" w:hAnsi="Times New Roman" w:cs="Times New Roman"/>
          <w:color w:val="auto"/>
          <w:highlight w:val="none"/>
        </w:rPr>
        <w:t>（1）本规划位于西藏自治区</w:t>
      </w:r>
      <w:r>
        <w:rPr>
          <w:rStyle w:val="103"/>
          <w:rFonts w:hint="default" w:ascii="Times New Roman" w:hAnsi="Times New Roman" w:cs="Times New Roman"/>
          <w:color w:val="auto"/>
          <w:highlight w:val="none"/>
          <w:lang w:eastAsia="zh-CN"/>
        </w:rPr>
        <w:t>林芝市波密县扎木镇、古乡</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岗云杉林景区</w:t>
      </w:r>
      <w:r>
        <w:rPr>
          <w:rFonts w:hint="default" w:ascii="Times New Roman" w:hAnsi="Times New Roman" w:cs="Times New Roman"/>
          <w:color w:val="auto"/>
          <w:sz w:val="24"/>
          <w:highlight w:val="none"/>
        </w:rPr>
        <w:t>邻</w:t>
      </w:r>
      <w:r>
        <w:rPr>
          <w:rFonts w:hint="default" w:ascii="Times New Roman" w:hAnsi="Times New Roman" w:cs="Times New Roman"/>
          <w:color w:val="auto"/>
          <w:sz w:val="24"/>
          <w:highlight w:val="none"/>
          <w:lang w:val="en-US" w:eastAsia="zh-CN"/>
        </w:rPr>
        <w:t>G318国</w:t>
      </w:r>
      <w:r>
        <w:rPr>
          <w:rFonts w:hint="default" w:ascii="Times New Roman" w:hAnsi="Times New Roman" w:cs="Times New Roman"/>
          <w:color w:val="auto"/>
          <w:sz w:val="24"/>
          <w:highlight w:val="none"/>
        </w:rPr>
        <w:t>道</w:t>
      </w:r>
      <w:r>
        <w:rPr>
          <w:rStyle w:val="103"/>
          <w:rFonts w:hint="default" w:ascii="Times New Roman" w:hAnsi="Times New Roman" w:cs="Times New Roman"/>
          <w:color w:val="auto"/>
          <w:highlight w:val="none"/>
        </w:rPr>
        <w:t>，规划范围位于</w:t>
      </w:r>
      <w:r>
        <w:rPr>
          <w:rStyle w:val="103"/>
          <w:rFonts w:hint="default" w:ascii="Times New Roman" w:hAnsi="Times New Roman" w:cs="Times New Roman"/>
          <w:color w:val="auto"/>
          <w:highlight w:val="none"/>
          <w:lang w:eastAsia="zh-CN"/>
        </w:rPr>
        <w:t>雅鲁藏布大峡谷国家级自然保护区、西藏嘎朗国家湿地公园、生态保护红线</w:t>
      </w:r>
      <w:r>
        <w:rPr>
          <w:rStyle w:val="103"/>
          <w:rFonts w:hint="default" w:ascii="Times New Roman" w:hAnsi="Times New Roman" w:cs="Times New Roman"/>
          <w:color w:val="auto"/>
          <w:highlight w:val="none"/>
        </w:rPr>
        <w:t>内，</w:t>
      </w:r>
      <w:r>
        <w:rPr>
          <w:rFonts w:hint="default" w:ascii="Times New Roman" w:hAnsi="Times New Roman" w:cs="Times New Roman"/>
          <w:bCs/>
          <w:color w:val="auto"/>
          <w:sz w:val="24"/>
          <w:szCs w:val="20"/>
          <w:highlight w:val="none"/>
        </w:rPr>
        <w:t>在严格落实本规划提出的环境保护措施后</w:t>
      </w:r>
      <w:r>
        <w:rPr>
          <w:rFonts w:hint="default" w:ascii="Times New Roman" w:hAnsi="Times New Roman" w:cs="Times New Roman"/>
          <w:color w:val="auto"/>
          <w:sz w:val="24"/>
          <w:szCs w:val="20"/>
          <w:highlight w:val="none"/>
        </w:rPr>
        <w:t>，规划区的实施符合</w:t>
      </w:r>
      <w:r>
        <w:rPr>
          <w:rFonts w:hint="default" w:ascii="Times New Roman" w:hAnsi="Times New Roman" w:cs="Times New Roman"/>
          <w:bCs/>
          <w:color w:val="auto"/>
          <w:sz w:val="24"/>
          <w:szCs w:val="20"/>
          <w:highlight w:val="none"/>
        </w:rPr>
        <w:t>相关</w:t>
      </w:r>
      <w:r>
        <w:rPr>
          <w:rFonts w:hint="default" w:ascii="Times New Roman" w:hAnsi="Times New Roman" w:cs="Times New Roman"/>
          <w:bCs/>
          <w:color w:val="auto"/>
          <w:sz w:val="24"/>
          <w:szCs w:val="20"/>
          <w:highlight w:val="none"/>
          <w:lang w:val="en-US" w:eastAsia="zh-CN"/>
        </w:rPr>
        <w:t>规范</w:t>
      </w:r>
      <w:r>
        <w:rPr>
          <w:rFonts w:hint="default" w:ascii="Times New Roman" w:hAnsi="Times New Roman" w:cs="Times New Roman"/>
          <w:bCs/>
          <w:color w:val="auto"/>
          <w:sz w:val="24"/>
          <w:szCs w:val="20"/>
          <w:highlight w:val="none"/>
        </w:rPr>
        <w:t>要求。</w:t>
      </w:r>
    </w:p>
    <w:p w14:paraId="211251D7">
      <w:pPr>
        <w:spacing w:line="360" w:lineRule="auto"/>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（4）根据西藏自治区人民政府关于印发《西藏自治区“三线一单”生态环境分区管控方案》的通知（藏政发[2020]11号）：本规划位于西藏</w:t>
      </w:r>
      <w:r>
        <w:rPr>
          <w:rFonts w:hint="default" w:ascii="Times New Roman" w:hAnsi="Times New Roman" w:cs="Times New Roman"/>
          <w:color w:val="auto"/>
          <w:sz w:val="24"/>
          <w:szCs w:val="20"/>
          <w:highlight w:val="none"/>
          <w:lang w:eastAsia="zh-CN"/>
        </w:rPr>
        <w:t>林芝市波密县扎木镇、古乡</w:t>
      </w:r>
      <w:r>
        <w:rPr>
          <w:rFonts w:hint="default" w:ascii="Times New Roman" w:hAnsi="Times New Roman" w:cs="Times New Roman"/>
          <w:color w:val="auto"/>
          <w:sz w:val="24"/>
          <w:szCs w:val="20"/>
          <w:highlight w:val="none"/>
        </w:rPr>
        <w:t>，同时</w:t>
      </w:r>
      <w:r>
        <w:rPr>
          <w:rFonts w:hint="default" w:ascii="Times New Roman" w:hAnsi="Times New Roman" w:cs="Times New Roman"/>
          <w:color w:val="auto"/>
          <w:sz w:val="24"/>
          <w:szCs w:val="20"/>
          <w:highlight w:val="none"/>
          <w:lang w:eastAsia="zh-CN"/>
        </w:rPr>
        <w:t>规划区部分位于雅鲁藏布大峡谷国家级自然保护区、西藏嘎朗国家湿地公园、生态保护红线</w:t>
      </w:r>
      <w:r>
        <w:rPr>
          <w:rFonts w:hint="default" w:ascii="Times New Roman" w:hAnsi="Times New Roman" w:cs="Times New Roman"/>
          <w:color w:val="auto"/>
          <w:sz w:val="24"/>
          <w:szCs w:val="20"/>
          <w:highlight w:val="none"/>
        </w:rPr>
        <w:t>内，环境空气属于一类功能区内，属《管控方案》划定的优先保护区。本规划为生态旅游景区规划，符合《管控方案》中优先保护单元生态环境准入原则清单要求。此外，根据《西藏自治区主体功能区规划》，规划区位于西藏</w:t>
      </w:r>
      <w:r>
        <w:rPr>
          <w:rFonts w:hint="default" w:ascii="Times New Roman" w:hAnsi="Times New Roman" w:cs="Times New Roman"/>
          <w:color w:val="auto"/>
          <w:sz w:val="24"/>
          <w:szCs w:val="20"/>
          <w:highlight w:val="none"/>
          <w:lang w:eastAsia="zh-CN"/>
        </w:rPr>
        <w:t>林芝市波密县扎木镇、古乡</w:t>
      </w:r>
      <w:r>
        <w:rPr>
          <w:rFonts w:hint="default" w:ascii="Times New Roman" w:hAnsi="Times New Roman" w:cs="Times New Roman"/>
          <w:color w:val="auto"/>
          <w:sz w:val="24"/>
          <w:szCs w:val="20"/>
          <w:highlight w:val="none"/>
        </w:rPr>
        <w:t>，</w:t>
      </w:r>
      <w:r>
        <w:rPr>
          <w:rStyle w:val="103"/>
          <w:rFonts w:hint="default" w:ascii="Times New Roman" w:hAnsi="Times New Roman" w:cs="Times New Roman"/>
          <w:color w:val="auto"/>
          <w:highlight w:val="none"/>
        </w:rPr>
        <w:t>属国家层面禁止开发区域——</w:t>
      </w:r>
      <w:r>
        <w:rPr>
          <w:rStyle w:val="103"/>
          <w:rFonts w:hint="default" w:ascii="Times New Roman" w:hAnsi="Times New Roman" w:cs="Times New Roman"/>
          <w:color w:val="auto"/>
          <w:highlight w:val="none"/>
          <w:lang w:eastAsia="zh-CN"/>
        </w:rPr>
        <w:t>雅鲁藏布大峡谷国家级自然保护区</w:t>
      </w:r>
      <w:r>
        <w:rPr>
          <w:rStyle w:val="103"/>
          <w:rFonts w:hint="default" w:ascii="Times New Roman" w:hAnsi="Times New Roman" w:cs="Times New Roman"/>
          <w:color w:val="auto"/>
          <w:highlight w:val="none"/>
          <w:lang w:val="en-US" w:eastAsia="zh-CN"/>
        </w:rPr>
        <w:t>和自治区</w:t>
      </w:r>
      <w:r>
        <w:rPr>
          <w:rStyle w:val="103"/>
          <w:rFonts w:hint="default" w:ascii="Times New Roman" w:hAnsi="Times New Roman" w:cs="Times New Roman"/>
          <w:color w:val="auto"/>
          <w:highlight w:val="none"/>
        </w:rPr>
        <w:t>层面禁止开发区域</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lang w:eastAsia="zh-CN"/>
        </w:rPr>
        <w:t>西藏嘎朗国家湿地公园</w:t>
      </w:r>
      <w:r>
        <w:rPr>
          <w:rFonts w:hint="default" w:ascii="Times New Roman" w:hAnsi="Times New Roman" w:cs="Times New Roman"/>
          <w:color w:val="auto"/>
          <w:sz w:val="24"/>
          <w:szCs w:val="20"/>
          <w:highlight w:val="none"/>
        </w:rPr>
        <w:t>。</w:t>
      </w:r>
    </w:p>
    <w:p w14:paraId="3F820592">
      <w:pPr>
        <w:adjustRightInd w:val="0"/>
        <w:spacing w:line="360" w:lineRule="auto"/>
        <w:ind w:firstLine="480" w:firstLineChars="200"/>
        <w:contextualSpacing/>
        <w:rPr>
          <w:rStyle w:val="103"/>
          <w:rFonts w:hint="default" w:ascii="Times New Roman" w:hAnsi="Times New Roman" w:cs="Times New Roman"/>
          <w:color w:val="auto"/>
          <w:highlight w:val="none"/>
          <w:lang w:eastAsia="zh-CN"/>
        </w:rPr>
      </w:pPr>
      <w:r>
        <w:rPr>
          <w:rStyle w:val="103"/>
          <w:rFonts w:hint="default" w:ascii="Times New Roman" w:hAnsi="Times New Roman" w:cs="Times New Roman"/>
          <w:color w:val="auto"/>
          <w:highlight w:val="none"/>
          <w:lang w:val="en-US" w:eastAsia="zh-CN"/>
        </w:rPr>
        <w:t>自治区</w:t>
      </w:r>
      <w:r>
        <w:rPr>
          <w:rStyle w:val="103"/>
          <w:rFonts w:hint="default" w:ascii="Times New Roman" w:hAnsi="Times New Roman" w:cs="Times New Roman"/>
          <w:color w:val="auto"/>
          <w:highlight w:val="none"/>
        </w:rPr>
        <w:t>层面禁止开发区域</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lang w:eastAsia="zh-CN"/>
        </w:rPr>
        <w:t>西藏嘎朗国家湿地公园：在其范围内，除必要的保护和附属设施外，禁止其他任何生产建设活动。禁止开垦占用、随意改变湿地用途以及损害保护对象等破坏湿地的行为。不得随意占用、征用和转让湿地。</w:t>
      </w:r>
    </w:p>
    <w:p w14:paraId="7474E3C1">
      <w:pPr>
        <w:adjustRightInd w:val="0"/>
        <w:spacing w:line="360" w:lineRule="auto"/>
        <w:ind w:firstLine="480" w:firstLineChars="200"/>
        <w:contextualSpacing/>
        <w:rPr>
          <w:rStyle w:val="103"/>
          <w:rFonts w:hint="default" w:ascii="Times New Roman" w:hAnsi="Times New Roman" w:eastAsia="宋体" w:cs="Times New Roman"/>
          <w:color w:val="auto"/>
          <w:highlight w:val="none"/>
          <w:lang w:val="en-US" w:eastAsia="zh-CN"/>
        </w:rPr>
      </w:pPr>
      <w:r>
        <w:rPr>
          <w:rStyle w:val="103"/>
          <w:rFonts w:hint="default" w:ascii="Times New Roman" w:hAnsi="Times New Roman" w:cs="Times New Roman"/>
          <w:color w:val="auto"/>
          <w:highlight w:val="none"/>
          <w:lang w:val="en-US" w:eastAsia="zh-CN"/>
        </w:rPr>
        <w:t>本规划为</w:t>
      </w:r>
      <w:r>
        <w:rPr>
          <w:rStyle w:val="103"/>
          <w:rFonts w:hint="default" w:ascii="Times New Roman" w:hAnsi="Times New Roman" w:cs="Times New Roman"/>
          <w:color w:val="auto"/>
          <w:highlight w:val="none"/>
        </w:rPr>
        <w:t>符合自然保护区规划的旅游</w:t>
      </w:r>
      <w:r>
        <w:rPr>
          <w:rStyle w:val="103"/>
          <w:rFonts w:hint="default" w:ascii="Times New Roman" w:hAnsi="Times New Roman" w:cs="Times New Roman"/>
          <w:color w:val="auto"/>
          <w:highlight w:val="none"/>
          <w:lang w:val="en-US" w:eastAsia="zh-CN"/>
        </w:rPr>
        <w:t>规划，规划区严格控制区域人口数量，规划区部分人口</w:t>
      </w:r>
      <w:r>
        <w:rPr>
          <w:rStyle w:val="103"/>
          <w:rFonts w:hint="default" w:ascii="Times New Roman" w:hAnsi="Times New Roman" w:cs="Times New Roman"/>
          <w:color w:val="auto"/>
          <w:highlight w:val="none"/>
        </w:rPr>
        <w:t>为自然保护区管护人员</w:t>
      </w:r>
      <w:r>
        <w:rPr>
          <w:rStyle w:val="103"/>
          <w:rFonts w:hint="default" w:ascii="Times New Roman" w:hAnsi="Times New Roman" w:cs="Times New Roman"/>
          <w:color w:val="auto"/>
          <w:highlight w:val="none"/>
          <w:lang w:eastAsia="zh-CN"/>
        </w:rPr>
        <w:t>，</w:t>
      </w:r>
      <w:r>
        <w:rPr>
          <w:rStyle w:val="103"/>
          <w:rFonts w:hint="default" w:ascii="Times New Roman" w:hAnsi="Times New Roman" w:cs="Times New Roman"/>
          <w:color w:val="auto"/>
          <w:highlight w:val="none"/>
          <w:lang w:val="en-US" w:eastAsia="zh-CN"/>
        </w:rPr>
        <w:t>本规划的实施旨在进行提升改造，</w:t>
      </w:r>
      <w:r>
        <w:rPr>
          <w:rStyle w:val="103"/>
          <w:rFonts w:hint="default" w:ascii="Times New Roman" w:hAnsi="Times New Roman" w:cs="Times New Roman"/>
          <w:color w:val="auto"/>
          <w:highlight w:val="none"/>
        </w:rPr>
        <w:t>不</w:t>
      </w:r>
      <w:r>
        <w:rPr>
          <w:rStyle w:val="103"/>
          <w:rFonts w:hint="default" w:ascii="Times New Roman" w:hAnsi="Times New Roman" w:cs="Times New Roman"/>
          <w:color w:val="auto"/>
          <w:highlight w:val="none"/>
          <w:lang w:val="en-US" w:eastAsia="zh-CN"/>
        </w:rPr>
        <w:t>会</w:t>
      </w:r>
      <w:r>
        <w:rPr>
          <w:rStyle w:val="103"/>
          <w:rFonts w:hint="default" w:ascii="Times New Roman" w:hAnsi="Times New Roman" w:cs="Times New Roman"/>
          <w:color w:val="auto"/>
          <w:highlight w:val="none"/>
        </w:rPr>
        <w:t>影响保护区主体功能</w:t>
      </w:r>
      <w:r>
        <w:rPr>
          <w:rStyle w:val="103"/>
          <w:rFonts w:hint="default" w:ascii="Times New Roman" w:hAnsi="Times New Roman" w:cs="Times New Roman"/>
          <w:color w:val="auto"/>
          <w:highlight w:val="none"/>
          <w:lang w:eastAsia="zh-CN"/>
        </w:rPr>
        <w:t>，</w:t>
      </w:r>
      <w:r>
        <w:rPr>
          <w:rStyle w:val="103"/>
          <w:rFonts w:hint="default" w:ascii="Times New Roman" w:hAnsi="Times New Roman" w:cs="Times New Roman"/>
          <w:color w:val="auto"/>
          <w:highlight w:val="none"/>
          <w:lang w:val="en-US" w:eastAsia="zh-CN"/>
        </w:rPr>
        <w:t>随着规划的实施，</w:t>
      </w:r>
      <w:r>
        <w:rPr>
          <w:rStyle w:val="103"/>
          <w:rFonts w:hint="default" w:ascii="Times New Roman" w:hAnsi="Times New Roman" w:cs="Times New Roman"/>
          <w:color w:val="auto"/>
          <w:highlight w:val="none"/>
        </w:rPr>
        <w:t>人民生活水平</w:t>
      </w:r>
      <w:r>
        <w:rPr>
          <w:rStyle w:val="103"/>
          <w:rFonts w:hint="default" w:ascii="Times New Roman" w:hAnsi="Times New Roman" w:cs="Times New Roman"/>
          <w:color w:val="auto"/>
          <w:highlight w:val="none"/>
          <w:lang w:val="en-US" w:eastAsia="zh-CN"/>
        </w:rPr>
        <w:t>能得到</w:t>
      </w:r>
      <w:r>
        <w:rPr>
          <w:rStyle w:val="103"/>
          <w:rFonts w:hint="default" w:ascii="Times New Roman" w:hAnsi="Times New Roman" w:cs="Times New Roman"/>
          <w:color w:val="auto"/>
          <w:highlight w:val="none"/>
        </w:rPr>
        <w:t>稳步提高。</w:t>
      </w:r>
      <w:r>
        <w:rPr>
          <w:rStyle w:val="103"/>
          <w:rFonts w:hint="default" w:ascii="Times New Roman" w:hAnsi="Times New Roman" w:cs="Times New Roman"/>
          <w:color w:val="auto"/>
          <w:highlight w:val="none"/>
          <w:lang w:val="en-US" w:eastAsia="zh-CN"/>
        </w:rPr>
        <w:t>规划区内实施的道路均为对既有道路进行提升改造；</w:t>
      </w:r>
      <w:r>
        <w:rPr>
          <w:rFonts w:hint="default" w:ascii="Times New Roman" w:hAnsi="Times New Roman" w:cs="Times New Roman"/>
          <w:bCs/>
          <w:color w:val="auto"/>
          <w:kern w:val="0"/>
          <w:sz w:val="24"/>
          <w:highlight w:val="none"/>
        </w:rPr>
        <w:t>结合村委会配套建设邮政代办点2处，不单独占地</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rPr>
        <w:t>通信管线</w:t>
      </w:r>
      <w:r>
        <w:rPr>
          <w:rFonts w:hint="default" w:ascii="Times New Roman" w:hAnsi="Times New Roman" w:cs="Times New Roman"/>
          <w:bCs/>
          <w:color w:val="auto"/>
          <w:kern w:val="0"/>
          <w:sz w:val="24"/>
          <w:highlight w:val="none"/>
          <w:lang w:val="en-US" w:eastAsia="zh-CN"/>
        </w:rPr>
        <w:t>在现有基础上进行完善，主要沿现有道路埋地布设；电网</w:t>
      </w:r>
      <w:r>
        <w:rPr>
          <w:rFonts w:hint="default" w:ascii="Times New Roman" w:hAnsi="Times New Roman" w:cs="Times New Roman"/>
          <w:b w:val="0"/>
          <w:bCs/>
          <w:color w:val="auto"/>
          <w:kern w:val="0"/>
          <w:sz w:val="24"/>
          <w:highlight w:val="none"/>
          <w:lang w:val="en-US" w:eastAsia="zh-CN"/>
        </w:rPr>
        <w:t>入户电压为220V-380V，380V/220V电力线路除有条件的可入地敷设外，均采用架空方式，电力线路的布置应沿主要道路进行，应根据地形条件因地制宜地选择架空或地下明设方式。</w:t>
      </w:r>
    </w:p>
    <w:p w14:paraId="551FC030">
      <w:pPr>
        <w:spacing w:line="360" w:lineRule="auto"/>
        <w:ind w:firstLine="480" w:firstLineChars="200"/>
        <w:rPr>
          <w:rFonts w:hint="default" w:ascii="Times New Roman" w:hAnsi="Times New Roman" w:cs="Times New Roman"/>
          <w:color w:val="auto"/>
          <w:sz w:val="24"/>
          <w:szCs w:val="20"/>
          <w:highlight w:val="none"/>
        </w:rPr>
      </w:pPr>
      <w:r>
        <w:rPr>
          <w:rStyle w:val="103"/>
          <w:rFonts w:hint="default" w:ascii="Times New Roman" w:hAnsi="Times New Roman" w:cs="Times New Roman"/>
          <w:color w:val="auto"/>
          <w:highlight w:val="none"/>
          <w:lang w:val="en-US" w:eastAsia="zh-CN"/>
        </w:rPr>
        <w:t>自治区</w:t>
      </w:r>
      <w:r>
        <w:rPr>
          <w:rStyle w:val="103"/>
          <w:rFonts w:hint="default" w:ascii="Times New Roman" w:hAnsi="Times New Roman" w:cs="Times New Roman"/>
          <w:color w:val="auto"/>
          <w:highlight w:val="none"/>
        </w:rPr>
        <w:t>层面禁止开发区域</w:t>
      </w:r>
      <w:r>
        <w:rPr>
          <w:rStyle w:val="103"/>
          <w:rFonts w:hint="default" w:ascii="Times New Roman" w:hAnsi="Times New Roman" w:cs="Times New Roman"/>
          <w:color w:val="auto"/>
          <w:highlight w:val="none"/>
          <w:lang w:val="en-US" w:eastAsia="zh-CN"/>
        </w:rPr>
        <w:t>——</w:t>
      </w:r>
      <w:r>
        <w:rPr>
          <w:rStyle w:val="103"/>
          <w:rFonts w:hint="default" w:ascii="Times New Roman" w:hAnsi="Times New Roman" w:cs="Times New Roman"/>
          <w:color w:val="auto"/>
          <w:highlight w:val="none"/>
          <w:lang w:eastAsia="zh-CN"/>
        </w:rPr>
        <w:t>西藏嘎朗国家湿地公园：在其范围内，</w:t>
      </w:r>
      <w:r>
        <w:rPr>
          <w:rStyle w:val="103"/>
          <w:rFonts w:hint="default" w:ascii="Times New Roman" w:hAnsi="Times New Roman" w:cs="Times New Roman"/>
          <w:color w:val="auto"/>
          <w:highlight w:val="none"/>
          <w:lang w:val="en-US" w:eastAsia="zh-CN"/>
        </w:rPr>
        <w:t>处建设远期的游客中心（仿自然外观，兼具科普研学、环境教育）外，其余设施均为对现在进行提升改造，不涉及其他生产建设活动，规划不涉及</w:t>
      </w:r>
      <w:r>
        <w:rPr>
          <w:rStyle w:val="103"/>
          <w:rFonts w:hint="default" w:ascii="Times New Roman" w:hAnsi="Times New Roman" w:cs="Times New Roman"/>
          <w:color w:val="auto"/>
          <w:highlight w:val="none"/>
          <w:lang w:eastAsia="zh-CN"/>
        </w:rPr>
        <w:t>开垦占用、随意改变湿地用途以及损害保护对象等破坏湿地的行为，</w:t>
      </w:r>
      <w:r>
        <w:rPr>
          <w:rStyle w:val="103"/>
          <w:rFonts w:hint="default" w:ascii="Times New Roman" w:hAnsi="Times New Roman" w:cs="Times New Roman"/>
          <w:color w:val="auto"/>
          <w:highlight w:val="none"/>
          <w:lang w:val="en-US" w:eastAsia="zh-CN"/>
        </w:rPr>
        <w:t>不涉及</w:t>
      </w:r>
      <w:r>
        <w:rPr>
          <w:rStyle w:val="103"/>
          <w:rFonts w:hint="default" w:ascii="Times New Roman" w:hAnsi="Times New Roman" w:cs="Times New Roman"/>
          <w:color w:val="auto"/>
          <w:highlight w:val="none"/>
          <w:lang w:eastAsia="zh-CN"/>
        </w:rPr>
        <w:t>随意占用、征用和转让湿地。</w:t>
      </w:r>
    </w:p>
    <w:bookmarkEnd w:id="218"/>
    <w:bookmarkEnd w:id="225"/>
    <w:p w14:paraId="3992D4FE">
      <w:pPr>
        <w:pStyle w:val="3"/>
        <w:spacing w:before="156" w:after="156"/>
        <w:rPr>
          <w:rFonts w:hint="default" w:ascii="Times New Roman" w:hAnsi="Times New Roman" w:cs="Times New Roman"/>
          <w:color w:val="auto"/>
          <w:highlight w:val="none"/>
        </w:rPr>
      </w:pPr>
      <w:bookmarkStart w:id="235" w:name="_Toc36557514"/>
      <w:bookmarkStart w:id="236" w:name="_Toc5366"/>
      <w:r>
        <w:rPr>
          <w:rFonts w:hint="default" w:ascii="Times New Roman" w:hAnsi="Times New Roman" w:cs="Times New Roman"/>
          <w:color w:val="auto"/>
          <w:highlight w:val="none"/>
        </w:rPr>
        <w:t>规划方案环境合理性和环境</w:t>
      </w:r>
      <w:bookmarkEnd w:id="235"/>
      <w:r>
        <w:rPr>
          <w:rFonts w:hint="default" w:ascii="Times New Roman" w:hAnsi="Times New Roman" w:cs="Times New Roman"/>
          <w:color w:val="auto"/>
          <w:highlight w:val="none"/>
        </w:rPr>
        <w:t>效益</w:t>
      </w:r>
      <w:bookmarkEnd w:id="236"/>
    </w:p>
    <w:p w14:paraId="5101DAA1">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规划以“生态保护为核、高铁机遇为引、森林康养为本、两村联动为基”，立足“中国十大最美森林”生态本底，打造集生态观光、森林康养、户外运动、自然研学、民俗休闲于一体的综合性旅游景区，建设成为西藏林芝“生态旅游示范窗口”和“绿色经济发展引擎”。将资源优势、生态优势转化为产业优势和发展优势。“三生融合”示范景区：生态保护标杆/生活体验窗口/生产创新样板。打造西藏首个森林康养旅游目的地，国家级森林徒步天堂。</w:t>
      </w:r>
      <w:r>
        <w:rPr>
          <w:rFonts w:hint="default" w:ascii="Times New Roman" w:hAnsi="Times New Roman" w:cs="Times New Roman"/>
          <w:color w:val="auto"/>
          <w:kern w:val="0"/>
          <w:sz w:val="24"/>
          <w:highlight w:val="none"/>
          <w:lang w:val="en-US" w:eastAsia="zh-CN"/>
        </w:rPr>
        <w:t>随着规划的实施</w:t>
      </w:r>
      <w:r>
        <w:rPr>
          <w:rFonts w:hint="default" w:ascii="Times New Roman" w:hAnsi="Times New Roman" w:cs="Times New Roman"/>
          <w:color w:val="auto"/>
          <w:kern w:val="0"/>
          <w:sz w:val="24"/>
          <w:highlight w:val="none"/>
        </w:rPr>
        <w:t>可改善当地生态环境并提高景区居民生活、生产水平，使其与镇区的建设协调发展。经分析，规划目标与发展定位、规划规模与建设时序、规划结构基本合理，环境目标可达。</w:t>
      </w:r>
    </w:p>
    <w:p w14:paraId="4F2D41D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从旅游发展现状来看，在规划区内开展生态旅游是必要的，在推动当地旅游业发展的同时能够合理调整产业结构，带动交通运输业、加工业、服务业等相关行业的发展，促进当地经济的进一步发展。本规划依托现状</w:t>
      </w:r>
      <w:r>
        <w:rPr>
          <w:rFonts w:hint="default" w:ascii="Times New Roman" w:hAnsi="Times New Roman" w:cs="Times New Roman"/>
          <w:color w:val="auto"/>
          <w:sz w:val="24"/>
          <w:highlight w:val="none"/>
          <w:lang w:val="en-US" w:eastAsia="zh-CN"/>
        </w:rPr>
        <w:t>生态旅游</w:t>
      </w:r>
      <w:r>
        <w:rPr>
          <w:rFonts w:hint="default" w:ascii="Times New Roman" w:hAnsi="Times New Roman" w:cs="Times New Roman"/>
          <w:color w:val="auto"/>
          <w:sz w:val="24"/>
          <w:highlight w:val="none"/>
        </w:rPr>
        <w:t>资源及高原地形地貌资源为基础发展生态旅游。规划实施过程中在保护的前提下合理开发利用景区资源，并做好旅游资源和生态环境保护措施，使景区生态环境影响及生态风险可控，生态功能持续健康发展。</w:t>
      </w:r>
    </w:p>
    <w:p w14:paraId="16435F13">
      <w:pPr>
        <w:pStyle w:val="3"/>
        <w:spacing w:before="156" w:after="156"/>
        <w:rPr>
          <w:rFonts w:hint="default" w:ascii="Times New Roman" w:hAnsi="Times New Roman" w:cs="Times New Roman"/>
          <w:color w:val="auto"/>
          <w:highlight w:val="none"/>
        </w:rPr>
      </w:pPr>
      <w:bookmarkStart w:id="237" w:name="_Toc36557516"/>
      <w:bookmarkStart w:id="238" w:name="_Toc1895"/>
      <w:r>
        <w:rPr>
          <w:rFonts w:hint="default" w:ascii="Times New Roman" w:hAnsi="Times New Roman" w:cs="Times New Roman"/>
          <w:color w:val="auto"/>
          <w:highlight w:val="none"/>
        </w:rPr>
        <w:t>规划优化调整建议</w:t>
      </w:r>
      <w:bookmarkEnd w:id="237"/>
      <w:bookmarkEnd w:id="238"/>
    </w:p>
    <w:p w14:paraId="0160EDB6">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1、</w:t>
      </w:r>
      <w:r>
        <w:rPr>
          <w:rFonts w:hint="default" w:ascii="Times New Roman" w:hAnsi="Times New Roman" w:eastAsia="宋体" w:cs="Times New Roman"/>
          <w:color w:val="auto"/>
          <w:sz w:val="24"/>
          <w:szCs w:val="20"/>
          <w:highlight w:val="none"/>
          <w:lang w:eastAsia="zh-CN"/>
        </w:rPr>
        <w:t>波密县</w:t>
      </w:r>
      <w:r>
        <w:rPr>
          <w:rFonts w:hint="default" w:ascii="Times New Roman" w:hAnsi="Times New Roman" w:eastAsia="宋体" w:cs="Times New Roman"/>
          <w:color w:val="auto"/>
          <w:sz w:val="24"/>
          <w:szCs w:val="20"/>
          <w:highlight w:val="none"/>
        </w:rPr>
        <w:t>基础设施相对滞后的优化调整建议</w:t>
      </w:r>
    </w:p>
    <w:p w14:paraId="3BC3D880">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根据分析，</w:t>
      </w:r>
      <w:r>
        <w:rPr>
          <w:rFonts w:hint="default" w:ascii="Times New Roman" w:hAnsi="Times New Roman" w:eastAsia="宋体" w:cs="Times New Roman"/>
          <w:color w:val="auto"/>
          <w:sz w:val="24"/>
          <w:szCs w:val="20"/>
          <w:highlight w:val="none"/>
          <w:lang w:eastAsia="zh-CN"/>
        </w:rPr>
        <w:t>波密县</w:t>
      </w:r>
      <w:r>
        <w:rPr>
          <w:rFonts w:hint="default" w:ascii="Times New Roman" w:hAnsi="Times New Roman" w:eastAsia="宋体" w:cs="Times New Roman"/>
          <w:color w:val="auto"/>
          <w:sz w:val="24"/>
          <w:szCs w:val="20"/>
          <w:highlight w:val="none"/>
        </w:rPr>
        <w:t>建设相对滞后的基础设施</w:t>
      </w:r>
      <w:r>
        <w:rPr>
          <w:rFonts w:hint="default" w:ascii="Times New Roman" w:hAnsi="Times New Roman" w:eastAsia="宋体" w:cs="Times New Roman"/>
          <w:color w:val="auto"/>
          <w:sz w:val="24"/>
          <w:szCs w:val="20"/>
          <w:highlight w:val="none"/>
          <w:lang w:val="en-US" w:eastAsia="zh-CN"/>
        </w:rPr>
        <w:t>主要为生活垃圾处理设施</w:t>
      </w:r>
      <w:r>
        <w:rPr>
          <w:rFonts w:hint="default" w:ascii="Times New Roman" w:hAnsi="Times New Roman" w:eastAsia="宋体" w:cs="Times New Roman"/>
          <w:color w:val="auto"/>
          <w:sz w:val="24"/>
          <w:szCs w:val="20"/>
          <w:highlight w:val="none"/>
        </w:rPr>
        <w:t>。</w:t>
      </w:r>
    </w:p>
    <w:p w14:paraId="0357231A">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eastAsia="zh-CN"/>
        </w:rPr>
        <w:t>波密县县城生活垃圾填埋场</w:t>
      </w:r>
      <w:r>
        <w:rPr>
          <w:rFonts w:hint="default" w:ascii="Times New Roman" w:hAnsi="Times New Roman" w:eastAsia="宋体" w:cs="Times New Roman"/>
          <w:color w:val="auto"/>
          <w:sz w:val="24"/>
          <w:szCs w:val="20"/>
          <w:highlight w:val="none"/>
          <w:lang w:val="en-US" w:eastAsia="zh-CN"/>
        </w:rPr>
        <w:t>位于扎木镇卡达村，现状存量：约5万吨。实际处理：约100吨/日。2025年启动压缩延寿项目，项目名称为县城生活垃圾填埋压缩处置项目；处理量：合计约12.3万吨；存量：5万吨旧垃圾重新压缩；增量：未来2年7.3万吨（100t/d）；目标：提高密度、延长寿命至2026年、节省库容15%–25%。</w:t>
      </w:r>
    </w:p>
    <w:p w14:paraId="7AF0DB60">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eastAsia="zh-CN"/>
        </w:rPr>
        <w:t>林芝市波密县县城生活垃圾无害化处理工程（</w:t>
      </w:r>
      <w:r>
        <w:rPr>
          <w:rFonts w:hint="default" w:ascii="Times New Roman" w:hAnsi="Times New Roman" w:eastAsia="宋体" w:cs="Times New Roman"/>
          <w:color w:val="auto"/>
          <w:sz w:val="24"/>
          <w:szCs w:val="20"/>
          <w:highlight w:val="none"/>
          <w:lang w:val="en-US" w:eastAsia="zh-CN"/>
        </w:rPr>
        <w:t>在建</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lang w:val="en-US" w:eastAsia="zh-CN"/>
        </w:rPr>
        <w:t>位于扎木镇通木村，2026年2月施工招标，目前在建，设计库容：45万立方米；日处理能力：近期40t/d、远期60t/d；服务年限：约20年。</w:t>
      </w:r>
    </w:p>
    <w:p w14:paraId="789D36AD">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若林芝市波密县县城生活垃圾无害化处理工程未及时建成</w:t>
      </w:r>
      <w:r>
        <w:rPr>
          <w:rFonts w:hint="default" w:ascii="Times New Roman" w:hAnsi="Times New Roman" w:eastAsia="宋体" w:cs="Times New Roman"/>
          <w:color w:val="auto"/>
          <w:sz w:val="24"/>
          <w:szCs w:val="20"/>
          <w:highlight w:val="none"/>
        </w:rPr>
        <w:t>，届时本规划实施产生的生活垃圾不能得到妥善处置。环评建议：</w:t>
      </w:r>
      <w:r>
        <w:rPr>
          <w:rFonts w:hint="default" w:ascii="Times New Roman" w:hAnsi="Times New Roman" w:eastAsia="宋体" w:cs="Times New Roman"/>
          <w:color w:val="auto"/>
          <w:sz w:val="24"/>
          <w:szCs w:val="20"/>
          <w:highlight w:val="none"/>
          <w:lang w:eastAsia="zh-CN"/>
        </w:rPr>
        <w:t>林芝市</w:t>
      </w:r>
      <w:r>
        <w:rPr>
          <w:rFonts w:hint="default" w:ascii="Times New Roman" w:hAnsi="Times New Roman" w:eastAsia="宋体" w:cs="Times New Roman"/>
          <w:color w:val="auto"/>
          <w:sz w:val="24"/>
          <w:szCs w:val="20"/>
          <w:highlight w:val="none"/>
        </w:rPr>
        <w:t>及</w:t>
      </w:r>
      <w:r>
        <w:rPr>
          <w:rFonts w:hint="default" w:ascii="Times New Roman" w:hAnsi="Times New Roman" w:eastAsia="宋体" w:cs="Times New Roman"/>
          <w:color w:val="auto"/>
          <w:sz w:val="24"/>
          <w:szCs w:val="20"/>
          <w:highlight w:val="none"/>
          <w:lang w:eastAsia="zh-CN"/>
        </w:rPr>
        <w:t>波密县</w:t>
      </w:r>
      <w:r>
        <w:rPr>
          <w:rFonts w:hint="default" w:ascii="Times New Roman" w:hAnsi="Times New Roman" w:eastAsia="宋体" w:cs="Times New Roman"/>
          <w:color w:val="auto"/>
          <w:sz w:val="24"/>
          <w:szCs w:val="20"/>
          <w:highlight w:val="none"/>
        </w:rPr>
        <w:t>人民政府应</w:t>
      </w:r>
      <w:r>
        <w:rPr>
          <w:rFonts w:hint="default" w:ascii="Times New Roman" w:hAnsi="Times New Roman" w:eastAsia="宋体" w:cs="Times New Roman"/>
          <w:color w:val="auto"/>
          <w:sz w:val="24"/>
          <w:szCs w:val="20"/>
          <w:highlight w:val="none"/>
          <w:lang w:val="en-US" w:eastAsia="zh-CN"/>
        </w:rPr>
        <w:t>跟紧</w:t>
      </w:r>
      <w:r>
        <w:rPr>
          <w:rFonts w:hint="default" w:ascii="Times New Roman" w:hAnsi="Times New Roman" w:eastAsia="宋体" w:cs="Times New Roman"/>
          <w:color w:val="auto"/>
          <w:sz w:val="24"/>
          <w:szCs w:val="20"/>
          <w:highlight w:val="none"/>
          <w:lang w:eastAsia="zh-CN"/>
        </w:rPr>
        <w:t>林芝市波密县县城生活垃圾无害化处理工程</w:t>
      </w:r>
      <w:r>
        <w:rPr>
          <w:rFonts w:hint="default" w:ascii="Times New Roman" w:hAnsi="Times New Roman" w:eastAsia="宋体" w:cs="Times New Roman"/>
          <w:color w:val="auto"/>
          <w:sz w:val="24"/>
          <w:szCs w:val="20"/>
          <w:highlight w:val="none"/>
          <w:lang w:val="en-US" w:eastAsia="zh-CN"/>
        </w:rPr>
        <w:t>的建设进度</w:t>
      </w:r>
      <w:r>
        <w:rPr>
          <w:rFonts w:hint="default" w:ascii="Times New Roman" w:hAnsi="Times New Roman" w:eastAsia="宋体" w:cs="Times New Roman"/>
          <w:color w:val="auto"/>
          <w:sz w:val="24"/>
          <w:szCs w:val="20"/>
          <w:highlight w:val="none"/>
        </w:rPr>
        <w:t>，以应对</w:t>
      </w:r>
      <w:r>
        <w:rPr>
          <w:rFonts w:hint="default" w:ascii="Times New Roman" w:hAnsi="Times New Roman" w:eastAsia="宋体" w:cs="Times New Roman"/>
          <w:color w:val="auto"/>
          <w:sz w:val="24"/>
          <w:szCs w:val="20"/>
          <w:highlight w:val="none"/>
          <w:lang w:eastAsia="zh-CN"/>
        </w:rPr>
        <w:t>波密县县城生活垃圾填埋场</w:t>
      </w:r>
      <w:r>
        <w:rPr>
          <w:rFonts w:hint="default" w:ascii="Times New Roman" w:hAnsi="Times New Roman" w:eastAsia="宋体" w:cs="Times New Roman"/>
          <w:color w:val="auto"/>
          <w:sz w:val="24"/>
          <w:szCs w:val="20"/>
          <w:highlight w:val="none"/>
        </w:rPr>
        <w:t>闭库后中心城区及规划区生活垃圾的处理处置问题。</w:t>
      </w:r>
    </w:p>
    <w:p w14:paraId="67C1A652">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2、关于生态敏感区的优化建议</w:t>
      </w:r>
    </w:p>
    <w:p w14:paraId="1B34DC03">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规划涉及的生态敏感区包括</w:t>
      </w:r>
      <w:r>
        <w:rPr>
          <w:rFonts w:hint="default" w:ascii="Times New Roman" w:hAnsi="Times New Roman" w:eastAsia="宋体" w:cs="Times New Roman"/>
          <w:color w:val="auto"/>
          <w:sz w:val="24"/>
          <w:szCs w:val="20"/>
          <w:highlight w:val="none"/>
          <w:lang w:eastAsia="zh-CN"/>
        </w:rPr>
        <w:t>雅鲁藏布大峡谷国家级自然保护区、西藏嘎朗国家湿地公园、生态保护红线</w:t>
      </w:r>
      <w:r>
        <w:rPr>
          <w:rFonts w:hint="default" w:ascii="Times New Roman" w:hAnsi="Times New Roman" w:eastAsia="宋体" w:cs="Times New Roman"/>
          <w:color w:val="auto"/>
          <w:sz w:val="24"/>
          <w:szCs w:val="20"/>
          <w:highlight w:val="none"/>
        </w:rPr>
        <w:t>和文物保护单位。</w:t>
      </w:r>
    </w:p>
    <w:p w14:paraId="480DD92D">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（1）</w:t>
      </w:r>
      <w:r>
        <w:rPr>
          <w:rFonts w:hint="default" w:ascii="Times New Roman" w:hAnsi="Times New Roman" w:eastAsia="宋体" w:cs="Times New Roman"/>
          <w:color w:val="auto"/>
          <w:sz w:val="24"/>
          <w:szCs w:val="20"/>
          <w:highlight w:val="none"/>
          <w:lang w:eastAsia="zh-CN"/>
        </w:rPr>
        <w:t>雅鲁藏布大峡谷国家级自然保护区</w:t>
      </w:r>
    </w:p>
    <w:p w14:paraId="70025F1C">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根据《</w:t>
      </w:r>
      <w:r>
        <w:rPr>
          <w:rFonts w:hint="default" w:ascii="Times New Roman" w:hAnsi="Times New Roman" w:eastAsia="宋体" w:cs="Times New Roman"/>
          <w:color w:val="auto"/>
          <w:sz w:val="24"/>
          <w:szCs w:val="20"/>
          <w:highlight w:val="none"/>
          <w:lang w:eastAsia="zh-CN"/>
        </w:rPr>
        <w:t>雅鲁藏布大峡谷国家级自然保护区</w:t>
      </w:r>
      <w:r>
        <w:rPr>
          <w:rFonts w:hint="default" w:ascii="Times New Roman" w:hAnsi="Times New Roman" w:eastAsia="宋体" w:cs="Times New Roman"/>
          <w:color w:val="auto"/>
          <w:sz w:val="24"/>
          <w:szCs w:val="20"/>
          <w:highlight w:val="none"/>
        </w:rPr>
        <w:t>总体规划（</w:t>
      </w:r>
      <w:r>
        <w:rPr>
          <w:rFonts w:hint="default" w:ascii="Times New Roman" w:hAnsi="Times New Roman" w:eastAsia="宋体" w:cs="Times New Roman"/>
          <w:color w:val="auto"/>
          <w:sz w:val="24"/>
          <w:szCs w:val="20"/>
          <w:highlight w:val="none"/>
          <w:lang w:val="en-US" w:eastAsia="zh-CN"/>
        </w:rPr>
        <w:t>2000</w:t>
      </w:r>
      <w:r>
        <w:rPr>
          <w:rFonts w:hint="default" w:ascii="Times New Roman" w:hAnsi="Times New Roman" w:eastAsia="宋体" w:cs="Times New Roman"/>
          <w:color w:val="auto"/>
          <w:sz w:val="24"/>
          <w:szCs w:val="20"/>
          <w:highlight w:val="none"/>
        </w:rPr>
        <w:t>-20</w:t>
      </w:r>
      <w:r>
        <w:rPr>
          <w:rFonts w:hint="default" w:ascii="Times New Roman" w:hAnsi="Times New Roman" w:eastAsia="宋体" w:cs="Times New Roman"/>
          <w:color w:val="auto"/>
          <w:sz w:val="24"/>
          <w:szCs w:val="20"/>
          <w:highlight w:val="none"/>
          <w:lang w:val="en-US" w:eastAsia="zh-CN"/>
        </w:rPr>
        <w:t>1</w:t>
      </w:r>
      <w:r>
        <w:rPr>
          <w:rFonts w:hint="default" w:ascii="Times New Roman" w:hAnsi="Times New Roman" w:eastAsia="宋体" w:cs="Times New Roman"/>
          <w:color w:val="auto"/>
          <w:sz w:val="24"/>
          <w:szCs w:val="20"/>
          <w:highlight w:val="none"/>
        </w:rPr>
        <w:t>0）》，规划区</w:t>
      </w:r>
      <w:r>
        <w:rPr>
          <w:rFonts w:hint="default" w:ascii="Times New Roman" w:hAnsi="Times New Roman" w:eastAsia="宋体" w:cs="Times New Roman"/>
          <w:color w:val="auto"/>
          <w:sz w:val="24"/>
          <w:szCs w:val="20"/>
          <w:highlight w:val="none"/>
          <w:lang w:val="en-US" w:eastAsia="zh-CN"/>
        </w:rPr>
        <w:t>部分区域</w:t>
      </w:r>
      <w:r>
        <w:rPr>
          <w:rFonts w:hint="default" w:ascii="Times New Roman" w:hAnsi="Times New Roman" w:eastAsia="宋体" w:cs="Times New Roman"/>
          <w:color w:val="auto"/>
          <w:sz w:val="24"/>
          <w:szCs w:val="20"/>
          <w:highlight w:val="none"/>
        </w:rPr>
        <w:t>处于</w:t>
      </w:r>
      <w:r>
        <w:rPr>
          <w:rFonts w:hint="default" w:ascii="Times New Roman" w:hAnsi="Times New Roman" w:eastAsia="宋体" w:cs="Times New Roman"/>
          <w:color w:val="auto"/>
          <w:sz w:val="24"/>
          <w:szCs w:val="20"/>
          <w:highlight w:val="none"/>
          <w:lang w:eastAsia="zh-CN"/>
        </w:rPr>
        <w:t>雅鲁藏布大峡谷国家级自然保护区</w:t>
      </w:r>
      <w:r>
        <w:rPr>
          <w:rFonts w:hint="default" w:ascii="Times New Roman" w:hAnsi="Times New Roman" w:eastAsia="宋体" w:cs="Times New Roman"/>
          <w:color w:val="auto"/>
          <w:sz w:val="24"/>
          <w:szCs w:val="20"/>
          <w:highlight w:val="none"/>
          <w:lang w:val="en-US" w:eastAsia="zh-CN"/>
        </w:rPr>
        <w:t>试验区内，涉及627.6206hm</w:t>
      </w:r>
      <w:r>
        <w:rPr>
          <w:rFonts w:hint="default" w:ascii="Times New Roman" w:hAnsi="Times New Roman" w:eastAsia="宋体" w:cs="Times New Roman"/>
          <w:color w:val="auto"/>
          <w:sz w:val="24"/>
          <w:szCs w:val="20"/>
          <w:highlight w:val="none"/>
          <w:vertAlign w:val="superscript"/>
          <w:lang w:val="en-US" w:eastAsia="zh-CN"/>
        </w:rPr>
        <w:t>2</w:t>
      </w:r>
      <w:r>
        <w:rPr>
          <w:rFonts w:hint="default" w:ascii="Times New Roman" w:hAnsi="Times New Roman" w:eastAsia="宋体" w:cs="Times New Roman"/>
          <w:color w:val="auto"/>
          <w:sz w:val="24"/>
          <w:szCs w:val="20"/>
          <w:highlight w:val="none"/>
          <w:vertAlign w:val="baseline"/>
          <w:lang w:val="en-US" w:eastAsia="zh-CN"/>
        </w:rPr>
        <w:t>，规划区已避让</w:t>
      </w:r>
      <w:r>
        <w:rPr>
          <w:rFonts w:hint="default" w:ascii="Times New Roman" w:hAnsi="Times New Roman" w:eastAsia="宋体" w:cs="Times New Roman"/>
          <w:color w:val="auto"/>
          <w:sz w:val="24"/>
          <w:szCs w:val="20"/>
          <w:highlight w:val="none"/>
          <w:lang w:eastAsia="zh-CN"/>
        </w:rPr>
        <w:t>雅鲁藏布大峡谷国家级自然保护区</w:t>
      </w:r>
      <w:r>
        <w:rPr>
          <w:rFonts w:hint="default" w:ascii="Times New Roman" w:hAnsi="Times New Roman" w:eastAsia="宋体" w:cs="Times New Roman"/>
          <w:color w:val="auto"/>
          <w:sz w:val="24"/>
          <w:szCs w:val="20"/>
          <w:highlight w:val="none"/>
          <w:lang w:val="en-US" w:eastAsia="zh-CN"/>
        </w:rPr>
        <w:t>核心区和缓冲区</w:t>
      </w:r>
      <w:r>
        <w:rPr>
          <w:rFonts w:hint="default" w:ascii="Times New Roman" w:hAnsi="Times New Roman" w:eastAsia="宋体" w:cs="Times New Roman"/>
          <w:color w:val="auto"/>
          <w:sz w:val="24"/>
          <w:szCs w:val="20"/>
          <w:highlight w:val="none"/>
        </w:rPr>
        <w:t>。</w:t>
      </w:r>
    </w:p>
    <w:p w14:paraId="4E2BAE60">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环评建议：</w:t>
      </w:r>
    </w:p>
    <w:p w14:paraId="52887B83">
      <w:pPr>
        <w:pStyle w:val="28"/>
        <w:tabs>
          <w:tab w:val="left" w:pos="840"/>
        </w:tabs>
        <w:spacing w:line="360" w:lineRule="auto"/>
        <w:ind w:firstLine="480" w:firstLineChars="200"/>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cs="Times New Roman"/>
          <w:bCs/>
          <w:color w:val="auto"/>
          <w:sz w:val="24"/>
          <w:szCs w:val="20"/>
          <w:highlight w:val="none"/>
          <w:lang w:val="en-US" w:eastAsia="zh-CN"/>
        </w:rPr>
        <w:t>①</w:t>
      </w:r>
      <w:r>
        <w:rPr>
          <w:rFonts w:hint="default" w:ascii="Times New Roman" w:hAnsi="Times New Roman" w:cs="Times New Roman"/>
          <w:bCs/>
          <w:color w:val="auto"/>
          <w:sz w:val="24"/>
          <w:szCs w:val="20"/>
          <w:highlight w:val="none"/>
          <w:lang w:val="en-US"/>
        </w:rPr>
        <w:t>规划实施需严格遵守《中华人民共和国自然保护区条例》中相关要求，</w:t>
      </w:r>
      <w:r>
        <w:rPr>
          <w:rFonts w:hint="default" w:ascii="Times New Roman" w:hAnsi="Times New Roman" w:cs="Times New Roman"/>
          <w:bCs/>
          <w:color w:val="auto"/>
          <w:sz w:val="24"/>
          <w:szCs w:val="20"/>
          <w:highlight w:val="none"/>
          <w:lang w:val="en-US" w:eastAsia="zh-CN"/>
        </w:rPr>
        <w:t>严禁建设与条例不符的项目。②对规划区外南侧核心区的现状设施进行梳理，全面拆除核心区违建设施：销售长廊、片石停车场、11处标识标牌等。③调整实验区合规设施（厕所、栈道、防洪堤）转为管护、生态宣教用途，不再用于商业旅游。④核心区、缓冲区全面禁入、禁游、禁采，依靠森林自我修复能力恢复植被与群落。⑤规划项目的实施需依托《波密县古乡巴卡村“多规合一”实用性村庄规划（2023-2035年）》《波密县扎木镇岗巴村“多规合一”实用性村庄规划（2023-2035年）》中相关要求。</w:t>
      </w:r>
    </w:p>
    <w:p w14:paraId="15FF2836">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（2）西藏嘎朗国家湿地公园</w:t>
      </w:r>
    </w:p>
    <w:p w14:paraId="5FAC85FA">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rPr>
        <w:t>根据《西藏嘎朗国家湿地公园总体规划（2009-2020）》，规划区</w:t>
      </w:r>
      <w:r>
        <w:rPr>
          <w:rFonts w:hint="default" w:ascii="Times New Roman" w:hAnsi="Times New Roman" w:eastAsia="宋体" w:cs="Times New Roman"/>
          <w:color w:val="auto"/>
          <w:sz w:val="24"/>
          <w:szCs w:val="20"/>
          <w:highlight w:val="none"/>
          <w:lang w:val="en-US" w:eastAsia="zh-CN"/>
        </w:rPr>
        <w:t>涉及湿地体验区、湿地功能展示区，其中占用湿地体验区339.3274hm</w:t>
      </w:r>
      <w:r>
        <w:rPr>
          <w:rFonts w:hint="default" w:ascii="Times New Roman" w:hAnsi="Times New Roman" w:eastAsia="宋体" w:cs="Times New Roman"/>
          <w:color w:val="auto"/>
          <w:sz w:val="24"/>
          <w:szCs w:val="20"/>
          <w:highlight w:val="none"/>
          <w:vertAlign w:val="superscript"/>
          <w:lang w:val="en-US" w:eastAsia="zh-CN"/>
        </w:rPr>
        <w:t>2</w:t>
      </w:r>
      <w:r>
        <w:rPr>
          <w:rFonts w:hint="default" w:ascii="Times New Roman" w:hAnsi="Times New Roman" w:eastAsia="宋体" w:cs="Times New Roman"/>
          <w:color w:val="auto"/>
          <w:sz w:val="24"/>
          <w:szCs w:val="20"/>
          <w:highlight w:val="none"/>
          <w:lang w:val="en-US" w:eastAsia="zh-CN"/>
        </w:rPr>
        <w:t>，占用湿地功能展示区3.4228hm</w:t>
      </w:r>
      <w:r>
        <w:rPr>
          <w:rFonts w:hint="default" w:ascii="Times New Roman" w:hAnsi="Times New Roman" w:eastAsia="宋体" w:cs="Times New Roman"/>
          <w:color w:val="auto"/>
          <w:sz w:val="24"/>
          <w:szCs w:val="20"/>
          <w:highlight w:val="none"/>
          <w:vertAlign w:val="superscript"/>
          <w:lang w:val="en-US" w:eastAsia="zh-CN"/>
        </w:rPr>
        <w:t>2</w:t>
      </w:r>
      <w:r>
        <w:rPr>
          <w:rFonts w:hint="default" w:ascii="Times New Roman" w:hAnsi="Times New Roman" w:eastAsia="宋体" w:cs="Times New Roman"/>
          <w:color w:val="auto"/>
          <w:sz w:val="24"/>
          <w:szCs w:val="20"/>
          <w:highlight w:val="none"/>
          <w:lang w:val="en-US" w:eastAsia="zh-CN"/>
        </w:rPr>
        <w:t>。</w:t>
      </w:r>
    </w:p>
    <w:p w14:paraId="0E984634">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环评建议：</w:t>
      </w:r>
    </w:p>
    <w:p w14:paraId="66EF88C2">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cs="Times New Roman"/>
          <w:bCs/>
          <w:color w:val="auto"/>
          <w:sz w:val="24"/>
          <w:szCs w:val="20"/>
          <w:highlight w:val="none"/>
          <w:lang w:val="en-US" w:eastAsia="zh-CN"/>
        </w:rPr>
        <w:t>①</w:t>
      </w:r>
      <w:r>
        <w:rPr>
          <w:rFonts w:hint="default" w:ascii="Times New Roman" w:hAnsi="Times New Roman" w:cs="Times New Roman"/>
          <w:bCs/>
          <w:color w:val="auto"/>
          <w:sz w:val="24"/>
          <w:szCs w:val="20"/>
          <w:highlight w:val="none"/>
          <w:lang w:val="en-US"/>
        </w:rPr>
        <w:t>规划实施需严格遵守《国家湿地公园管理办法》（林湿规〔2022〕3号）中相关要求，</w:t>
      </w:r>
      <w:r>
        <w:rPr>
          <w:rFonts w:hint="default" w:ascii="Times New Roman" w:hAnsi="Times New Roman" w:cs="Times New Roman"/>
          <w:bCs/>
          <w:color w:val="auto"/>
          <w:sz w:val="24"/>
          <w:szCs w:val="20"/>
          <w:highlight w:val="none"/>
          <w:lang w:val="en-US" w:eastAsia="zh-CN"/>
        </w:rPr>
        <w:t>严禁建设与管理办法不符的项目。②规划项目不得占用湿地保育区、恢复重建区，规划实施的项目均需在合理利用区（社区+旅游，湿地体验区、湿地功能展示区、管理服务区），且与生态旅游、科普宣教、社区共管、民宿与民俗体验相关。③规划项目的实施需依托《波密县古乡巴卡村“多规合一”实用性村庄规划（2023-2035年）》《波密县扎木镇岗巴村“多规合一”实用性村庄规划（2023-2035年）》中相关要求。</w:t>
      </w:r>
    </w:p>
    <w:p w14:paraId="72884368">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lang w:val="en-US" w:eastAsia="zh-CN"/>
        </w:rPr>
        <w:t>3</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lang w:val="en-US" w:eastAsia="zh-CN"/>
        </w:rPr>
        <w:t>生态保护红线</w:t>
      </w:r>
    </w:p>
    <w:p w14:paraId="03F3B571">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规划区涉及生态保护红线面积约365.27hm</w:t>
      </w:r>
      <w:r>
        <w:rPr>
          <w:rFonts w:hint="default" w:ascii="Times New Roman" w:hAnsi="Times New Roman" w:eastAsia="宋体" w:cs="Times New Roman"/>
          <w:color w:val="auto"/>
          <w:sz w:val="24"/>
          <w:szCs w:val="20"/>
          <w:highlight w:val="none"/>
          <w:vertAlign w:val="superscript"/>
          <w:lang w:val="en-US" w:eastAsia="zh-CN"/>
        </w:rPr>
        <w:t>2</w:t>
      </w:r>
      <w:r>
        <w:rPr>
          <w:rFonts w:hint="default" w:ascii="Times New Roman" w:hAnsi="Times New Roman" w:eastAsia="宋体" w:cs="Times New Roman"/>
          <w:color w:val="auto"/>
          <w:sz w:val="24"/>
          <w:szCs w:val="20"/>
          <w:highlight w:val="none"/>
          <w:lang w:val="en-US" w:eastAsia="zh-CN"/>
        </w:rPr>
        <w:t>，均为生态保护红线（一般控制区），不涉及生态保护红线（核心保护区）。</w:t>
      </w:r>
    </w:p>
    <w:p w14:paraId="3132E89E">
      <w:pPr>
        <w:pStyle w:val="704"/>
        <w:spacing w:line="360" w:lineRule="auto"/>
        <w:ind w:firstLine="48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rPr>
        <w:t>环评建议：</w:t>
      </w:r>
      <w:r>
        <w:rPr>
          <w:rFonts w:hint="default" w:ascii="Times New Roman" w:hAnsi="Times New Roman" w:cs="Times New Roman"/>
          <w:bCs/>
          <w:color w:val="auto"/>
          <w:sz w:val="24"/>
          <w:szCs w:val="20"/>
          <w:highlight w:val="none"/>
          <w:lang w:val="en-US"/>
        </w:rPr>
        <w:t>规划实施需严格遵守《关于加强生态保护红线管理的通知（试行）》（自然资发〔2022〕142号）中相关要求，</w:t>
      </w:r>
      <w:r>
        <w:rPr>
          <w:rFonts w:hint="default" w:ascii="Times New Roman" w:hAnsi="Times New Roman" w:cs="Times New Roman"/>
          <w:bCs/>
          <w:color w:val="auto"/>
          <w:sz w:val="24"/>
          <w:szCs w:val="20"/>
          <w:highlight w:val="none"/>
          <w:lang w:val="en-US" w:eastAsia="zh-CN"/>
        </w:rPr>
        <w:t>严禁建设与管理办法不符的项目，</w:t>
      </w:r>
      <w:r>
        <w:rPr>
          <w:rFonts w:hint="default" w:ascii="Times New Roman" w:hAnsi="Times New Roman" w:eastAsia="宋体" w:cs="Times New Roman"/>
          <w:color w:val="auto"/>
          <w:sz w:val="24"/>
          <w:szCs w:val="20"/>
          <w:highlight w:val="none"/>
          <w:lang w:val="en-US" w:eastAsia="zh-CN"/>
        </w:rPr>
        <w:t>生态保护红线与雅鲁藏布大峡谷国家级自然保护区、西藏嘎朗国家湿地公园重叠，均需严格满足</w:t>
      </w:r>
      <w:r>
        <w:rPr>
          <w:rFonts w:hint="default" w:ascii="Times New Roman" w:hAnsi="Times New Roman" w:eastAsia="宋体" w:cs="Times New Roman"/>
          <w:color w:val="auto"/>
          <w:sz w:val="24"/>
          <w:szCs w:val="20"/>
          <w:highlight w:val="none"/>
          <w:lang w:eastAsia="zh-CN"/>
        </w:rPr>
        <w:t>雅鲁藏布大峡谷国家级自然保护区</w:t>
      </w:r>
      <w:r>
        <w:rPr>
          <w:rFonts w:hint="default" w:ascii="Times New Roman" w:hAnsi="Times New Roman" w:eastAsia="宋体" w:cs="Times New Roman"/>
          <w:color w:val="auto"/>
          <w:sz w:val="24"/>
          <w:szCs w:val="20"/>
          <w:highlight w:val="none"/>
          <w:lang w:val="en-US" w:eastAsia="zh-CN"/>
        </w:rPr>
        <w:t>与</w:t>
      </w:r>
      <w:r>
        <w:rPr>
          <w:rFonts w:hint="default" w:ascii="Times New Roman" w:hAnsi="Times New Roman" w:eastAsia="宋体" w:cs="Times New Roman"/>
          <w:color w:val="auto"/>
          <w:sz w:val="24"/>
          <w:szCs w:val="20"/>
          <w:highlight w:val="none"/>
        </w:rPr>
        <w:t>西藏嘎朗国家湿地公园</w:t>
      </w:r>
      <w:r>
        <w:rPr>
          <w:rFonts w:hint="default" w:ascii="Times New Roman" w:hAnsi="Times New Roman" w:eastAsia="宋体" w:cs="Times New Roman"/>
          <w:color w:val="auto"/>
          <w:sz w:val="24"/>
          <w:szCs w:val="20"/>
          <w:highlight w:val="none"/>
          <w:lang w:val="en-US" w:eastAsia="zh-CN"/>
        </w:rPr>
        <w:t>的相关管控要求。</w:t>
      </w:r>
    </w:p>
    <w:p w14:paraId="0E27EFAF">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3、环境管理优化建议</w:t>
      </w:r>
    </w:p>
    <w:p w14:paraId="5223021B">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环境管理工作必须统筹兼顾、坚持不懈，环境保护措施必须做到真落地、见实效。环保工作永远在路上，只有进行时，没有完成时，要把环保工作一如既往地抓在手上、落实在行动上、牢记在心上。</w:t>
      </w:r>
    </w:p>
    <w:p w14:paraId="4C16F150">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建议进一步加强对规划区企业的安全环保水平提升培训，以适应环境保护工作机制常态化、长效化的要求。进一步完善规划区环境管理能力、环境风险防控体系、预警体系、信息管理平台等，鼓励结合“大数据”、“云计算”创新环境管理工作，努力建设国内一流智慧化景区。</w:t>
      </w:r>
    </w:p>
    <w:p w14:paraId="66059214">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4、调整环境保护目标</w:t>
      </w:r>
    </w:p>
    <w:p w14:paraId="1474FBBC">
      <w:pPr>
        <w:pStyle w:val="704"/>
        <w:spacing w:line="360" w:lineRule="auto"/>
        <w:ind w:firstLine="480"/>
        <w:rPr>
          <w:rFonts w:hint="eastAsia"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波密县岗云杉林生态旅游景区总体规划暨控制性详细规划》（2025-2035年）建议生活污水执行《农村生活污水处理设施水污染物排放标准》（DB54/T0182-2019）与《污水综合排放标准》（GB8978-1996）一级标准，尾水不用于农田灌溉，处理达标后排入河流。</w:t>
      </w:r>
    </w:p>
    <w:p w14:paraId="0EBC9F60">
      <w:pPr>
        <w:pStyle w:val="704"/>
        <w:spacing w:line="360" w:lineRule="auto"/>
        <w:ind w:firstLine="480"/>
        <w:rPr>
          <w:rFonts w:hint="default" w:ascii="Times New Roman" w:hAnsi="Times New Roman" w:cs="Times New Roman"/>
          <w:color w:val="auto"/>
          <w:kern w:val="0"/>
          <w:sz w:val="24"/>
          <w:highlight w:val="none"/>
          <w:lang w:val="en-US" w:eastAsia="zh-CN"/>
        </w:rPr>
      </w:pPr>
      <w:r>
        <w:rPr>
          <w:rFonts w:hint="eastAsia" w:ascii="Times New Roman" w:hAnsi="Times New Roman" w:eastAsia="宋体" w:cs="Times New Roman"/>
          <w:color w:val="auto"/>
          <w:sz w:val="24"/>
          <w:szCs w:val="20"/>
          <w:highlight w:val="none"/>
          <w:lang w:val="en-US" w:eastAsia="zh-CN"/>
        </w:rPr>
        <w:t>《农村生活污水处理设施水污染物排放标准》（DB54/T0182-2019）中4.3：农村生活污水处理设施出水禁止直接排入GB3838中地表水II类及以上功能水域和封闭水体。且排放标准对应的排放水域均为</w:t>
      </w:r>
      <w:r>
        <w:rPr>
          <w:rFonts w:hint="eastAsia" w:ascii="宋体" w:hAnsi="宋体" w:eastAsia="宋体" w:cs="宋体"/>
          <w:color w:val="auto"/>
          <w:kern w:val="0"/>
          <w:sz w:val="24"/>
          <w:highlight w:val="none"/>
          <w:lang w:val="en-US" w:eastAsia="zh-CN"/>
        </w:rPr>
        <w:t>Ш</w:t>
      </w:r>
      <w:r>
        <w:rPr>
          <w:rFonts w:hint="eastAsia" w:ascii="Times New Roman" w:hAnsi="Times New Roman" w:cs="Times New Roman"/>
          <w:color w:val="auto"/>
          <w:kern w:val="0"/>
          <w:sz w:val="24"/>
          <w:highlight w:val="none"/>
          <w:lang w:val="en-US" w:eastAsia="zh-CN"/>
        </w:rPr>
        <w:t>类及以上的水域</w:t>
      </w:r>
      <w:r>
        <w:rPr>
          <w:rFonts w:hint="eastAsia" w:ascii="Times New Roman" w:hAnsi="Times New Roman" w:eastAsia="宋体" w:cs="Times New Roman"/>
          <w:color w:val="auto"/>
          <w:sz w:val="24"/>
          <w:szCs w:val="20"/>
          <w:highlight w:val="none"/>
          <w:lang w:val="en-US" w:eastAsia="zh-CN"/>
        </w:rPr>
        <w:t>。规划区附近的帕隆藏布为II类水域，不符合其排放水域要求。</w:t>
      </w:r>
    </w:p>
    <w:p w14:paraId="0C7A77D3">
      <w:pPr>
        <w:pStyle w:val="704"/>
        <w:spacing w:line="360" w:lineRule="auto"/>
        <w:ind w:firstLine="480"/>
        <w:rPr>
          <w:rFonts w:hint="eastAsia" w:ascii="Times New Roman" w:hAnsi="Times New Roman" w:cs="Times New Roman"/>
          <w:color w:val="auto"/>
          <w:kern w:val="0"/>
          <w:sz w:val="24"/>
          <w:highlight w:val="none"/>
          <w:lang w:val="en-US" w:eastAsia="zh-CN"/>
        </w:rPr>
      </w:pPr>
      <w:r>
        <w:rPr>
          <w:rFonts w:hint="eastAsia" w:ascii="Times New Roman" w:hAnsi="Times New Roman" w:eastAsia="宋体" w:cs="Times New Roman"/>
          <w:color w:val="auto"/>
          <w:sz w:val="24"/>
          <w:szCs w:val="20"/>
          <w:highlight w:val="none"/>
          <w:lang w:val="en-US" w:eastAsia="zh-CN"/>
        </w:rPr>
        <w:t>《波密县岗云杉林生态旅游景区总体规划暨控制性详细规划》（2025-2035年）设置的4个污水排放口有2个位于</w:t>
      </w:r>
      <w:r>
        <w:rPr>
          <w:rFonts w:hint="default" w:ascii="Times New Roman" w:hAnsi="Times New Roman" w:cs="Times New Roman"/>
          <w:color w:val="auto"/>
          <w:kern w:val="0"/>
          <w:sz w:val="24"/>
          <w:highlight w:val="none"/>
        </w:rPr>
        <w:t>西藏雅鲁藏布大峡谷国家级自然保护区</w:t>
      </w:r>
      <w:r>
        <w:rPr>
          <w:rFonts w:hint="eastAsia" w:ascii="Times New Roman" w:hAnsi="Times New Roman" w:cs="Times New Roman"/>
          <w:color w:val="auto"/>
          <w:kern w:val="0"/>
          <w:sz w:val="24"/>
          <w:highlight w:val="none"/>
          <w:lang w:val="en-US" w:eastAsia="zh-CN"/>
        </w:rPr>
        <w:t>的帕隆藏布内，其他排放口临近</w:t>
      </w:r>
      <w:r>
        <w:rPr>
          <w:rFonts w:hint="default" w:ascii="Times New Roman" w:hAnsi="Times New Roman" w:cs="Times New Roman"/>
          <w:color w:val="auto"/>
          <w:kern w:val="0"/>
          <w:sz w:val="24"/>
          <w:highlight w:val="none"/>
        </w:rPr>
        <w:t>自然保护区</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该区域的帕隆藏布为</w:t>
      </w:r>
      <w:r>
        <w:rPr>
          <w:rFonts w:hint="eastAsia" w:ascii="宋体" w:hAnsi="宋体" w:eastAsia="宋体" w:cs="宋体"/>
          <w:color w:val="auto"/>
          <w:kern w:val="0"/>
          <w:sz w:val="24"/>
          <w:highlight w:val="none"/>
          <w:lang w:val="en-US" w:eastAsia="zh-CN"/>
        </w:rPr>
        <w:t>Ⅱ</w:t>
      </w:r>
      <w:r>
        <w:rPr>
          <w:rFonts w:hint="eastAsia" w:ascii="Times New Roman" w:hAnsi="Times New Roman" w:cs="Times New Roman"/>
          <w:color w:val="auto"/>
          <w:kern w:val="0"/>
          <w:sz w:val="24"/>
          <w:highlight w:val="none"/>
          <w:lang w:val="en-US" w:eastAsia="zh-CN"/>
        </w:rPr>
        <w:t>类水域</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根据</w:t>
      </w:r>
      <w:r>
        <w:rPr>
          <w:rFonts w:hint="eastAsia" w:ascii="Times New Roman" w:hAnsi="Times New Roman" w:eastAsia="宋体" w:cs="Times New Roman"/>
          <w:color w:val="auto"/>
          <w:sz w:val="24"/>
          <w:szCs w:val="20"/>
          <w:highlight w:val="none"/>
          <w:lang w:val="en-US" w:eastAsia="zh-CN"/>
        </w:rPr>
        <w:t>《污水综合排放标准》（GB8978-1996）中4.1.5</w:t>
      </w:r>
      <w:r>
        <w:rPr>
          <w:rFonts w:hint="eastAsia" w:ascii="Times New Roman" w:hAnsi="Times New Roman" w:cs="Times New Roman"/>
          <w:color w:val="auto"/>
          <w:kern w:val="0"/>
          <w:sz w:val="24"/>
          <w:highlight w:val="none"/>
          <w:lang w:val="en-US" w:eastAsia="zh-CN"/>
        </w:rPr>
        <w:t>：GB3838中I、</w:t>
      </w:r>
      <w:r>
        <w:rPr>
          <w:rFonts w:hint="eastAsia" w:ascii="宋体" w:hAnsi="宋体" w:eastAsia="宋体" w:cs="宋体"/>
          <w:color w:val="auto"/>
          <w:kern w:val="0"/>
          <w:sz w:val="24"/>
          <w:highlight w:val="none"/>
          <w:lang w:val="en-US" w:eastAsia="zh-CN"/>
        </w:rPr>
        <w:t>Ⅱ</w:t>
      </w:r>
      <w:r>
        <w:rPr>
          <w:rFonts w:hint="eastAsia" w:ascii="Times New Roman" w:hAnsi="Times New Roman" w:cs="Times New Roman"/>
          <w:color w:val="auto"/>
          <w:kern w:val="0"/>
          <w:sz w:val="24"/>
          <w:highlight w:val="none"/>
          <w:lang w:val="en-US" w:eastAsia="zh-CN"/>
        </w:rPr>
        <w:t>类水域和</w:t>
      </w:r>
      <w:r>
        <w:rPr>
          <w:rFonts w:hint="eastAsia" w:ascii="宋体" w:hAnsi="宋体" w:eastAsia="宋体" w:cs="宋体"/>
          <w:color w:val="auto"/>
          <w:kern w:val="0"/>
          <w:sz w:val="24"/>
          <w:highlight w:val="none"/>
          <w:lang w:val="en-US" w:eastAsia="zh-CN"/>
        </w:rPr>
        <w:t>Ш</w:t>
      </w:r>
      <w:r>
        <w:rPr>
          <w:rFonts w:hint="eastAsia" w:ascii="Times New Roman" w:hAnsi="Times New Roman" w:cs="Times New Roman"/>
          <w:color w:val="auto"/>
          <w:kern w:val="0"/>
          <w:sz w:val="24"/>
          <w:highlight w:val="none"/>
          <w:lang w:val="en-US" w:eastAsia="zh-CN"/>
        </w:rPr>
        <w:t>类水域中划定的保护区，GB3097中一类海域，禁止新建排污口，现有排污口应按水体功能要求，实行污染物总量控制，以保证受纳水体水质符合规定用途的水质标准。</w:t>
      </w:r>
    </w:p>
    <w:p w14:paraId="69D78567">
      <w:pPr>
        <w:pStyle w:val="704"/>
        <w:spacing w:line="360" w:lineRule="auto"/>
        <w:ind w:firstLine="480"/>
        <w:rPr>
          <w:rFonts w:hint="default" w:ascii="Times New Roman" w:hAnsi="Times New Roman" w:cs="Times New Roman" w:eastAsiaTheme="minorEastAsia"/>
          <w:color w:val="auto"/>
          <w:sz w:val="24"/>
          <w:szCs w:val="20"/>
          <w:highlight w:val="none"/>
          <w:lang w:val="en-US" w:eastAsia="zh-CN"/>
        </w:rPr>
      </w:pPr>
      <w:r>
        <w:rPr>
          <w:rFonts w:hint="eastAsia" w:ascii="Times New Roman" w:hAnsi="Times New Roman" w:cs="Times New Roman"/>
          <w:color w:val="auto"/>
          <w:kern w:val="0"/>
          <w:sz w:val="24"/>
          <w:highlight w:val="none"/>
          <w:lang w:val="en-US" w:eastAsia="zh-CN"/>
        </w:rPr>
        <w:t>因此本次评价建议生活污水从严执行</w:t>
      </w:r>
      <w:r>
        <w:rPr>
          <w:rFonts w:hint="eastAsia" w:ascii="Times New Roman" w:hAnsi="Times New Roman" w:eastAsia="宋体" w:cs="Times New Roman"/>
          <w:color w:val="auto"/>
          <w:sz w:val="24"/>
          <w:szCs w:val="20"/>
          <w:highlight w:val="none"/>
          <w:lang w:val="en-US" w:eastAsia="zh-CN"/>
        </w:rPr>
        <w:t>《污水综合排放标准》（GB8978-1996）一级标准，但尾水处理达标后用作周边林草地、耕地施肥，不得排放进入周边地表水体。</w:t>
      </w:r>
    </w:p>
    <w:p w14:paraId="311422D4">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5、其他建议</w:t>
      </w:r>
    </w:p>
    <w:p w14:paraId="5845D7D4">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（1）规划区应大规模使用太阳能，如道路照明灯等设施多使用太阳能能源。规划实施后，在规划区应采用电、灌装石油液化气作为生活及餐饮企业能源，不得采用原煤做燃料，尽量减少大气污染物的排放量。</w:t>
      </w:r>
    </w:p>
    <w:p w14:paraId="55808184">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（2）规划区引入的主要是和旅游业相关产业相关的企业，禁止高能耗、高水耗、高污染项目入驻，要求入驻企业污染物总量控制，达标排放。</w:t>
      </w:r>
    </w:p>
    <w:p w14:paraId="5755EB72">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（3）评价建议规划区内的旅游产业应根据科学合理的预测和发展实际，规划规模与实际发展需求相配套，避免过度开发造成资源的浪费。</w:t>
      </w:r>
    </w:p>
    <w:p w14:paraId="2D8993AC">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（4）规划下一层次建设项目，应严格遵守</w:t>
      </w:r>
      <w:r>
        <w:rPr>
          <w:rFonts w:hint="default" w:ascii="Times New Roman" w:hAnsi="Times New Roman" w:eastAsia="宋体" w:cs="Times New Roman"/>
          <w:color w:val="auto"/>
          <w:sz w:val="24"/>
          <w:szCs w:val="20"/>
          <w:highlight w:val="none"/>
          <w:lang w:eastAsia="zh-CN"/>
        </w:rPr>
        <w:t>国家自然保护区、国家湿地公园、</w:t>
      </w:r>
      <w:r>
        <w:rPr>
          <w:rFonts w:hint="default" w:ascii="Times New Roman" w:hAnsi="Times New Roman" w:eastAsia="宋体" w:cs="Times New Roman"/>
          <w:color w:val="auto"/>
          <w:sz w:val="24"/>
          <w:szCs w:val="20"/>
          <w:highlight w:val="none"/>
        </w:rPr>
        <w:t>生态保护红线的要求。</w:t>
      </w:r>
    </w:p>
    <w:p w14:paraId="529CB094">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（5）对于建设活动造成重大生态破坏的，要暂停审批项目所在区域内建设项目环境影响评价文件，并依法追究相关单位和人员的责任。</w:t>
      </w:r>
    </w:p>
    <w:p w14:paraId="3F8B7C99">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（6）原则上未列入本规划的建设项目，不得建设实施。</w:t>
      </w:r>
    </w:p>
    <w:p w14:paraId="23A159D0">
      <w:pPr>
        <w:pStyle w:val="704"/>
        <w:spacing w:line="360" w:lineRule="auto"/>
        <w:ind w:firstLine="48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（7）若《</w:t>
      </w:r>
      <w:r>
        <w:rPr>
          <w:rFonts w:hint="default" w:ascii="Times New Roman" w:hAnsi="Times New Roman" w:eastAsia="宋体" w:cs="Times New Roman"/>
          <w:color w:val="auto"/>
          <w:sz w:val="24"/>
          <w:szCs w:val="20"/>
          <w:highlight w:val="none"/>
          <w:lang w:eastAsia="zh-CN"/>
        </w:rPr>
        <w:t>雅鲁藏布大峡谷国家级自然保护区</w:t>
      </w:r>
      <w:r>
        <w:rPr>
          <w:rFonts w:hint="default" w:ascii="Times New Roman" w:hAnsi="Times New Roman" w:eastAsia="宋体" w:cs="Times New Roman"/>
          <w:color w:val="auto"/>
          <w:sz w:val="24"/>
          <w:szCs w:val="20"/>
          <w:highlight w:val="none"/>
        </w:rPr>
        <w:t>总体规划》</w:t>
      </w:r>
      <w:r>
        <w:rPr>
          <w:rFonts w:hint="default" w:ascii="Times New Roman" w:hAnsi="Times New Roman" w:eastAsia="宋体" w:cs="Times New Roman"/>
          <w:color w:val="auto"/>
          <w:sz w:val="24"/>
          <w:szCs w:val="20"/>
          <w:highlight w:val="none"/>
          <w:lang w:eastAsia="zh-CN"/>
        </w:rPr>
        <w:t>《西藏嘎朗国家湿地公园》</w:t>
      </w:r>
      <w:r>
        <w:rPr>
          <w:rFonts w:hint="default" w:ascii="Times New Roman" w:hAnsi="Times New Roman" w:eastAsia="宋体" w:cs="Times New Roman"/>
          <w:color w:val="auto"/>
          <w:sz w:val="24"/>
          <w:szCs w:val="20"/>
          <w:highlight w:val="none"/>
        </w:rPr>
        <w:t>有最新版审批通过，规划区应进行自查调整，确保项目后期实施与该总体规划相符。</w:t>
      </w:r>
    </w:p>
    <w:p w14:paraId="5750860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0"/>
          <w:highlight w:val="none"/>
        </w:rPr>
        <w:t>（8）规划</w:t>
      </w:r>
      <w:r>
        <w:rPr>
          <w:rFonts w:hint="default" w:ascii="Times New Roman" w:hAnsi="Times New Roman" w:eastAsia="宋体" w:cs="Times New Roman"/>
          <w:color w:val="auto"/>
          <w:sz w:val="24"/>
          <w:szCs w:val="20"/>
          <w:highlight w:val="none"/>
          <w:lang w:val="en-US" w:eastAsia="zh-CN"/>
        </w:rPr>
        <w:t>区内的观光车、越野车等均需采用电驱</w:t>
      </w:r>
      <w:r>
        <w:rPr>
          <w:rFonts w:hint="default" w:ascii="Times New Roman" w:hAnsi="Times New Roman" w:eastAsia="宋体" w:cs="Times New Roman"/>
          <w:color w:val="auto"/>
          <w:sz w:val="24"/>
          <w:szCs w:val="20"/>
          <w:highlight w:val="none"/>
        </w:rPr>
        <w:t>。</w:t>
      </w:r>
    </w:p>
    <w:bookmarkEnd w:id="219"/>
    <w:p w14:paraId="2917D03B">
      <w:pPr>
        <w:pStyle w:val="3"/>
        <w:spacing w:before="156" w:after="156"/>
        <w:rPr>
          <w:rFonts w:hint="default" w:ascii="Times New Roman" w:hAnsi="Times New Roman" w:cs="Times New Roman"/>
          <w:color w:val="auto"/>
          <w:highlight w:val="none"/>
        </w:rPr>
      </w:pPr>
      <w:bookmarkStart w:id="239" w:name="_Toc36557517"/>
      <w:bookmarkStart w:id="240" w:name="_Toc21914"/>
      <w:bookmarkStart w:id="241" w:name="_Toc36557518"/>
      <w:r>
        <w:rPr>
          <w:rFonts w:hint="default" w:ascii="Times New Roman" w:hAnsi="Times New Roman" w:cs="Times New Roman"/>
          <w:color w:val="auto"/>
          <w:highlight w:val="none"/>
        </w:rPr>
        <w:t>生态环境保护方案及管控要求</w:t>
      </w:r>
      <w:bookmarkEnd w:id="239"/>
      <w:bookmarkEnd w:id="240"/>
    </w:p>
    <w:p w14:paraId="119C25A1">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生态环境保护方案</w:t>
      </w:r>
    </w:p>
    <w:p w14:paraId="2E5C3BD3">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大气环境</w:t>
      </w:r>
    </w:p>
    <w:p w14:paraId="236FD92F">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（1）改善能源结构，景区内推广使用太阳能、液化石油气、电能等清洁能源；禁止使用煤、木材做燃料，减少废气排放量。</w:t>
      </w:r>
    </w:p>
    <w:p w14:paraId="14EB972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餐饮服务业按照环保要求安装油烟净化设施，油烟废气经油烟净化设施处理后由专用烟道高于屋顶排放，并避开周围敏感建筑物。油烟净化设施净化效率大于85%，油烟排放浓度低于《饮食业油烟排放标准》（GB18483-2001）中油烟的最高允许排放浓度的标准限值要求，实现达标排放。</w:t>
      </w:r>
    </w:p>
    <w:p w14:paraId="2D1253B0">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（3）景区内旅游观光采用步行或</w:t>
      </w:r>
      <w:r>
        <w:rPr>
          <w:rFonts w:hint="default" w:ascii="Times New Roman" w:hAnsi="Times New Roman" w:cs="Times New Roman"/>
          <w:color w:val="auto"/>
          <w:spacing w:val="0"/>
          <w:kern w:val="24"/>
          <w:highlight w:val="none"/>
          <w:lang w:val="en-US" w:eastAsia="zh-CN"/>
        </w:rPr>
        <w:t>观光车</w:t>
      </w:r>
      <w:r>
        <w:rPr>
          <w:rFonts w:hint="default" w:ascii="Times New Roman" w:hAnsi="Times New Roman" w:cs="Times New Roman"/>
          <w:color w:val="auto"/>
          <w:spacing w:val="0"/>
          <w:kern w:val="24"/>
          <w:highlight w:val="none"/>
        </w:rPr>
        <w:t>的方式，禁止燃油汽车在景区观光道路行驶；严格控制进入景区的汽车数量，并限制车速，以减少汽车尾气污染；景区道路定期打扫、洒水抑尘，减缓道路扬尘，减轻区域大气污染。</w:t>
      </w:r>
    </w:p>
    <w:p w14:paraId="33215A5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（4）景区采用密闭专用垃圾桶收集，定期消毒、垃圾每日及时清运，通过合理安排作业时段，尽量避开人们出行时间。在夏季蚊蝇高繁殖季节，需定时喷洒药水进行消毒处理，控制大量蚊蝇滋生。</w:t>
      </w:r>
      <w:r>
        <w:rPr>
          <w:rFonts w:hint="default" w:ascii="Times New Roman" w:hAnsi="Times New Roman" w:cs="Times New Roman"/>
          <w:color w:val="auto"/>
          <w:spacing w:val="0"/>
          <w:kern w:val="24"/>
          <w:highlight w:val="none"/>
          <w:lang w:eastAsia="zh-CN"/>
        </w:rPr>
        <w:t>垃圾桶</w:t>
      </w:r>
      <w:r>
        <w:rPr>
          <w:rFonts w:hint="default" w:ascii="Times New Roman" w:hAnsi="Times New Roman" w:cs="Times New Roman"/>
          <w:color w:val="auto"/>
          <w:spacing w:val="0"/>
          <w:kern w:val="24"/>
          <w:highlight w:val="none"/>
        </w:rPr>
        <w:t>外围可设置绿化隔离带，同时室内投加生物除臭剂进行除臭处理；垃圾运输车均采用密闭式车辆，并安装垃圾渗滤液收集装置，运输过程中垃圾不外露，也不会遗洒垃圾和渗滤液。</w:t>
      </w:r>
    </w:p>
    <w:p w14:paraId="2B4DE186">
      <w:pPr>
        <w:pStyle w:val="720"/>
        <w:rPr>
          <w:rFonts w:hint="default" w:ascii="Times New Roman" w:hAnsi="Times New Roman" w:cs="Times New Roman"/>
          <w:color w:val="auto"/>
          <w:highlight w:val="none"/>
        </w:rPr>
      </w:pPr>
      <w:r>
        <w:rPr>
          <w:rFonts w:hint="default" w:ascii="Times New Roman" w:hAnsi="Times New Roman" w:cs="Times New Roman"/>
          <w:color w:val="auto"/>
          <w:highlight w:val="none"/>
        </w:rPr>
        <w:t>（5）禁止在景区内建设排放大气污染物的工业企业。</w:t>
      </w:r>
    </w:p>
    <w:p w14:paraId="65D1A60C">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水环境</w:t>
      </w:r>
    </w:p>
    <w:p w14:paraId="36DC086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（1）实施“清污分流、雨污分流”。居民、游客生活污水与先经隔油池预处理的餐饮废水汇同景区内其他生活污水进入</w:t>
      </w:r>
      <w:r>
        <w:rPr>
          <w:rFonts w:hint="default" w:ascii="Times New Roman" w:hAnsi="Times New Roman" w:cs="Times New Roman"/>
          <w:color w:val="auto"/>
          <w:spacing w:val="0"/>
          <w:kern w:val="24"/>
          <w:highlight w:val="none"/>
          <w:lang w:val="en-US" w:eastAsia="zh-CN"/>
        </w:rPr>
        <w:t>规划区内设置的一体化污水处理装置处理达标后用作周边林草地、耕地施肥</w:t>
      </w:r>
      <w:r>
        <w:rPr>
          <w:rFonts w:hint="default" w:ascii="Times New Roman" w:hAnsi="Times New Roman" w:cs="Times New Roman"/>
          <w:color w:val="auto"/>
          <w:spacing w:val="0"/>
          <w:kern w:val="24"/>
          <w:highlight w:val="none"/>
        </w:rPr>
        <w:t>，以减轻地表水体污染负荷。</w:t>
      </w:r>
    </w:p>
    <w:p w14:paraId="323C3748">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（2）建议景区使用环保型厕所，减少游客产生的生活污水量。</w:t>
      </w:r>
    </w:p>
    <w:p w14:paraId="4B219E6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（3）把地表水环境保护基础设施建设放在首位，完善各水域周边截污及污水导排措施，有效截断外源污染对景区水环境的直接影响。</w:t>
      </w:r>
    </w:p>
    <w:p w14:paraId="4EAA56F6">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4）景区应做好环保宣传教育，并安排专门管理人员对游客行为进行监督和劝阻，并设置专门的环保标志，提醒游客遵守景区管理，禁止乱丢废物；同时景区游览设施应定期检修维护，保证设备正常运行，防止污染物泄漏造成的水体污染。</w:t>
      </w:r>
    </w:p>
    <w:p w14:paraId="77D70CF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（5）严禁向河流偷排污水，景区内游客和居民的生活污水需做到有效收集和处理。</w:t>
      </w:r>
    </w:p>
    <w:p w14:paraId="1018FAE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（6）制订完善的水质监测方案，长期监测景区内水体水质，保证区域水质良好。</w:t>
      </w:r>
    </w:p>
    <w:p w14:paraId="295F53E7">
      <w:pPr>
        <w:pStyle w:val="545"/>
        <w:adjustRightInd/>
        <w:spacing w:line="360" w:lineRule="auto"/>
        <w:jc w:val="both"/>
        <w:rPr>
          <w:rFonts w:hint="default" w:ascii="Times New Roman" w:hAnsi="Times New Roman" w:cs="Times New Roman"/>
          <w:color w:val="auto"/>
          <w:spacing w:val="0"/>
          <w:kern w:val="0"/>
          <w:highlight w:val="none"/>
        </w:rPr>
      </w:pPr>
      <w:r>
        <w:rPr>
          <w:rFonts w:hint="default" w:ascii="Times New Roman" w:hAnsi="Times New Roman" w:cs="Times New Roman"/>
          <w:color w:val="auto"/>
          <w:spacing w:val="0"/>
          <w:kern w:val="0"/>
          <w:highlight w:val="none"/>
        </w:rPr>
        <w:t>对可能造成地下水污染的设施包括污水管道、</w:t>
      </w:r>
      <w:r>
        <w:rPr>
          <w:rFonts w:hint="default" w:ascii="Times New Roman" w:hAnsi="Times New Roman" w:cs="Times New Roman"/>
          <w:color w:val="auto"/>
          <w:spacing w:val="0"/>
          <w:kern w:val="0"/>
          <w:highlight w:val="none"/>
          <w:lang w:val="en-US" w:eastAsia="zh-CN"/>
        </w:rPr>
        <w:t>一体化污水处理设施</w:t>
      </w:r>
      <w:r>
        <w:rPr>
          <w:rFonts w:hint="default" w:ascii="Times New Roman" w:hAnsi="Times New Roman" w:cs="Times New Roman"/>
          <w:color w:val="auto"/>
          <w:spacing w:val="0"/>
          <w:kern w:val="0"/>
          <w:highlight w:val="none"/>
        </w:rPr>
        <w:t>等须做好防渗措施，避免污染物入渗污染地下水。</w:t>
      </w:r>
    </w:p>
    <w:p w14:paraId="49229DC8">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声环境</w:t>
      </w:r>
    </w:p>
    <w:p w14:paraId="500BEBD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1、交通噪声控制措施</w:t>
      </w:r>
    </w:p>
    <w:p w14:paraId="74630C9D">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随着旅游区的发展，交通量越来越大，交通噪声也越来越大，交通噪声得主要控制措施有：</w:t>
      </w:r>
    </w:p>
    <w:p w14:paraId="16E7D2C2">
      <w:pPr>
        <w:pStyle w:val="545"/>
        <w:adjustRightInd/>
        <w:spacing w:line="360" w:lineRule="auto"/>
        <w:ind w:firstLineChars="0"/>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（1）对进入景区内部的车辆，实行统一管理，在各路段按不同标准限速，并在主要路口和停车场安装监控设备，设立禁鸣标志，禁止车辆鸣笛。</w:t>
      </w:r>
    </w:p>
    <w:p w14:paraId="568D095C">
      <w:pPr>
        <w:pStyle w:val="545"/>
        <w:adjustRightInd/>
        <w:spacing w:line="360" w:lineRule="auto"/>
        <w:ind w:firstLineChars="0"/>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（2）加强路面保养，减少车辆颠簸振动噪声。控制车流量，做好交通规划，合理分配车流量。</w:t>
      </w:r>
    </w:p>
    <w:p w14:paraId="7BACE0B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（3）景区内部观光一律采用步行或</w:t>
      </w:r>
      <w:r>
        <w:rPr>
          <w:rFonts w:hint="default" w:ascii="Times New Roman" w:hAnsi="Times New Roman" w:cs="Times New Roman"/>
          <w:color w:val="auto"/>
          <w:spacing w:val="0"/>
          <w:kern w:val="24"/>
          <w:highlight w:val="none"/>
          <w:lang w:val="en-US" w:eastAsia="zh-CN"/>
        </w:rPr>
        <w:t>观光车</w:t>
      </w:r>
      <w:r>
        <w:rPr>
          <w:rFonts w:hint="default" w:ascii="Times New Roman" w:hAnsi="Times New Roman" w:cs="Times New Roman"/>
          <w:color w:val="auto"/>
          <w:spacing w:val="0"/>
          <w:kern w:val="24"/>
          <w:highlight w:val="none"/>
        </w:rPr>
        <w:t>的方式。</w:t>
      </w:r>
    </w:p>
    <w:p w14:paraId="3234D113">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（4）做好道路两侧的绿化，利用绿化带对噪声的散射和吸收作用，达到阻隔削减噪声的目的。</w:t>
      </w:r>
    </w:p>
    <w:p w14:paraId="2F459999">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（5）合理规划布局规划区住户房屋，保证住户房屋与交通干道之间合理的距离，预留一定距离的缓冲带。</w:t>
      </w:r>
    </w:p>
    <w:p w14:paraId="1C22584D">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2、旅游活动噪声控制措施</w:t>
      </w:r>
    </w:p>
    <w:p w14:paraId="6CA25404">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（1）入驻商户，禁止使用高音喇叭；</w:t>
      </w:r>
    </w:p>
    <w:p w14:paraId="2A7E19B0">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（2）宣传公共区域保持安静，树立提示标牌，宣传文明旅游；</w:t>
      </w:r>
    </w:p>
    <w:p w14:paraId="42AC2EB5">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（3）管理服务设施及接待服务设施、游客中心大型风机、泵等设备应购置低噪、高效设备，并在噪声设备上加减震装置和修建隔声间等。</w:t>
      </w:r>
    </w:p>
    <w:p w14:paraId="6288B151">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固体废物</w:t>
      </w:r>
    </w:p>
    <w:p w14:paraId="310748E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1、生活垃圾</w:t>
      </w:r>
    </w:p>
    <w:p w14:paraId="7F8526B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（1）建立生活垃圾分类收集与回收网络体系，对生活垃圾进行分类收集，加强对资源的回收利用；生活垃圾清运率和无害化处理率达到100%。禁止在自然山体、绿地上倾倒生活垃圾。</w:t>
      </w:r>
    </w:p>
    <w:p w14:paraId="322A9E3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（2）各类公共设施、广场、停车场等的出入口附近应设置</w:t>
      </w:r>
      <w:r>
        <w:rPr>
          <w:rFonts w:hint="default" w:ascii="Times New Roman" w:hAnsi="Times New Roman" w:cs="Times New Roman"/>
          <w:color w:val="auto"/>
          <w:spacing w:val="0"/>
          <w:kern w:val="24"/>
          <w:highlight w:val="none"/>
          <w:lang w:eastAsia="zh-CN"/>
        </w:rPr>
        <w:t>垃圾桶</w:t>
      </w:r>
      <w:r>
        <w:rPr>
          <w:rFonts w:hint="default" w:ascii="Times New Roman" w:hAnsi="Times New Roman" w:cs="Times New Roman"/>
          <w:color w:val="auto"/>
          <w:spacing w:val="0"/>
          <w:kern w:val="24"/>
          <w:highlight w:val="none"/>
        </w:rPr>
        <w:t>，方便游客投放垃圾。</w:t>
      </w:r>
    </w:p>
    <w:p w14:paraId="28052B5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（3）制定景区环境管理制度，加强对居民和游客的宣传教育，用传单、标语、解说等形式引导游客文明游览，不得随地吐痰、乱扔垃圾。</w:t>
      </w:r>
    </w:p>
    <w:p w14:paraId="695D077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（4）安排专人随时清理景区内的垃圾，打捞水体飘污物，以确保环境整洁。</w:t>
      </w:r>
    </w:p>
    <w:p w14:paraId="30F35B89">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（5）设专职卫生管理机构，做好各功能区、景点和游览路途的卫生。</w:t>
      </w:r>
    </w:p>
    <w:p w14:paraId="030B5650">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（6）景区管理人员对景区产生的垃圾及时清理后，当天送往生活垃圾填埋场填埋处置。</w:t>
      </w:r>
    </w:p>
    <w:p w14:paraId="64FAEFBC">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2、餐厨垃圾及废油</w:t>
      </w:r>
    </w:p>
    <w:p w14:paraId="09CBF3B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食品监管部门对景区内餐饮经营服务单位负责人进行《食品安全法》、《食品生产经营单位废弃食用油脂管理的规定》等法律法规的教育培训，提高餐饮经营服务单位对废弃食用油脂管理的认识和自律经营意识。</w:t>
      </w:r>
    </w:p>
    <w:p w14:paraId="70526E7A">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（2）餐厨垃圾收集后运送至专门处理餐厨垃圾的地方进行统一处置，餐厨垃圾管理及运输根据地方政府相关规定执行。</w:t>
      </w:r>
    </w:p>
    <w:p w14:paraId="478F5F63">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土壤环境</w:t>
      </w:r>
    </w:p>
    <w:p w14:paraId="624B265D">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1、禁止在农用地排放、倾倒、使用污泥、清淤底泥等可能对土壤造成污染的固体废物。</w:t>
      </w:r>
    </w:p>
    <w:p w14:paraId="780BAFF9">
      <w:pPr>
        <w:pStyle w:val="545"/>
        <w:spacing w:line="360" w:lineRule="auto"/>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2、景区运营管理部门需加强区内文明旅游的宣传工作，引导游客文明出行旅游，禁止踩踏地表植被，禁止随意丢弃不易降解的塑料袋、易拉罐、塑料瓶等。</w:t>
      </w:r>
    </w:p>
    <w:p w14:paraId="736ADCC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3、健全景区环境管理制度，加强景区内部环保治理设施正常运转，防止污水管网</w:t>
      </w:r>
      <w:r>
        <w:rPr>
          <w:rFonts w:hint="default" w:ascii="Times New Roman" w:hAnsi="Times New Roman" w:cs="Times New Roman"/>
          <w:color w:val="auto"/>
          <w:spacing w:val="0"/>
          <w:kern w:val="24"/>
          <w:highlight w:val="none"/>
          <w:lang w:val="en-US" w:eastAsia="zh-CN"/>
        </w:rPr>
        <w:t>一体化污水处理装置</w:t>
      </w:r>
      <w:r>
        <w:rPr>
          <w:rFonts w:hint="default" w:ascii="Times New Roman" w:hAnsi="Times New Roman" w:cs="Times New Roman"/>
          <w:color w:val="auto"/>
          <w:spacing w:val="0"/>
          <w:kern w:val="24"/>
          <w:highlight w:val="none"/>
        </w:rPr>
        <w:t>破裂等事故状况下，未经处理的污水对土壤造成污染。</w:t>
      </w:r>
    </w:p>
    <w:p w14:paraId="65A4280A">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4、加强区域绿化，合理配置指示性植物。在区域绿化过程中，应多选择可以对污染物具有指示性的植物，在对区域进行绿化的同时，也可起到生物监测作用。</w:t>
      </w:r>
    </w:p>
    <w:p w14:paraId="65A0E391">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生态环境</w:t>
      </w:r>
    </w:p>
    <w:p w14:paraId="68472D01">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加大规划区管理力度，重点防止人为影响因素的破坏。</w:t>
      </w:r>
    </w:p>
    <w:p w14:paraId="0D967ED2">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该地区在做好保护和管理工作的同时，可开放这些景点，发展旅游业及民族手工业，拓宽收入渠道，从而减少环境的生产压力，减小过渡放牧对环境的破坏。</w:t>
      </w:r>
    </w:p>
    <w:p w14:paraId="618BF0A4">
      <w:pPr>
        <w:pStyle w:val="4"/>
        <w:spacing w:before="156" w:after="156"/>
        <w:rPr>
          <w:rFonts w:hint="default" w:ascii="Times New Roman" w:hAnsi="Times New Roman" w:cs="Times New Roman"/>
          <w:color w:val="auto"/>
          <w:highlight w:val="none"/>
        </w:rPr>
      </w:pPr>
      <w:r>
        <w:rPr>
          <w:rFonts w:hint="default" w:ascii="Times New Roman" w:hAnsi="Times New Roman" w:cs="Times New Roman"/>
          <w:color w:val="auto"/>
          <w:highlight w:val="none"/>
        </w:rPr>
        <w:t>管控要求</w:t>
      </w:r>
    </w:p>
    <w:p w14:paraId="509B9FD0">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空间管控</w:t>
      </w:r>
    </w:p>
    <w:p w14:paraId="7FFEB98F">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（1）已建区——为村庄建设用地以及已建旅游设施用地。</w:t>
      </w:r>
    </w:p>
    <w:p w14:paraId="6A21AB3E">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（2）适建区——包括地形地势条件优越，紧邻现状村庄及已建旅游设施的区域。</w:t>
      </w:r>
    </w:p>
    <w:p w14:paraId="28B352F3">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（3）限建区——包括地质灾害易发区、地形较复杂场地工程造价较高区域，主要指一般农田、林地、园地以及设施农用地。</w:t>
      </w:r>
    </w:p>
    <w:p w14:paraId="4AB3ABBB">
      <w:pPr>
        <w:pStyle w:val="545"/>
        <w:adjustRightInd/>
        <w:spacing w:line="360" w:lineRule="auto"/>
        <w:jc w:val="both"/>
        <w:rPr>
          <w:rFonts w:hint="default" w:ascii="Times New Roman" w:hAnsi="Times New Roman" w:cs="Times New Roman"/>
          <w:color w:val="auto"/>
          <w:spacing w:val="0"/>
          <w:kern w:val="24"/>
          <w:highlight w:val="none"/>
        </w:rPr>
      </w:pPr>
      <w:r>
        <w:rPr>
          <w:rFonts w:hint="default" w:ascii="Times New Roman" w:hAnsi="Times New Roman" w:cs="Times New Roman"/>
          <w:color w:val="auto"/>
          <w:spacing w:val="0"/>
          <w:kern w:val="24"/>
          <w:highlight w:val="none"/>
        </w:rPr>
        <w:t>（4）禁建区——</w:t>
      </w:r>
      <w:r>
        <w:rPr>
          <w:rFonts w:hint="default" w:ascii="Times New Roman" w:hAnsi="Times New Roman" w:cs="Times New Roman" w:eastAsiaTheme="minorEastAsia"/>
          <w:color w:val="auto"/>
          <w:sz w:val="24"/>
          <w:highlight w:val="none"/>
          <w:lang w:eastAsia="zh-CN"/>
        </w:rPr>
        <w:t>《中华人民共和国自然保护区条例》、《国家湿地公园管理办法》（林湿规〔2022〕3号）、《关于加强生态保护红线管理的通知（试行）》（自然资发〔2022〕142号）、《生态保护红线生态环境监督办法（试行）》（国环规生态〔2022〕2号）</w:t>
      </w:r>
      <w:r>
        <w:rPr>
          <w:rFonts w:hint="default" w:ascii="Times New Roman" w:hAnsi="Times New Roman" w:cs="Times New Roman"/>
          <w:color w:val="auto"/>
          <w:spacing w:val="0"/>
          <w:kern w:val="24"/>
          <w:highlight w:val="none"/>
        </w:rPr>
        <w:t>等</w:t>
      </w:r>
      <w:r>
        <w:rPr>
          <w:rFonts w:hint="default" w:ascii="Times New Roman" w:hAnsi="Times New Roman" w:cs="Times New Roman"/>
          <w:color w:val="auto"/>
          <w:spacing w:val="0"/>
          <w:kern w:val="24"/>
          <w:highlight w:val="none"/>
          <w:lang w:val="en-US" w:eastAsia="zh-CN"/>
        </w:rPr>
        <w:t>规定的禁止建设区</w:t>
      </w:r>
      <w:r>
        <w:rPr>
          <w:rFonts w:hint="default" w:ascii="Times New Roman" w:hAnsi="Times New Roman" w:cs="Times New Roman"/>
          <w:color w:val="auto"/>
          <w:spacing w:val="0"/>
          <w:kern w:val="24"/>
          <w:highlight w:val="none"/>
        </w:rPr>
        <w:t>。此外，考虑到景观、生态环境以及开发建设成本的因素。</w:t>
      </w:r>
    </w:p>
    <w:p w14:paraId="69D00BF5">
      <w:pPr>
        <w:pStyle w:val="5"/>
        <w:spacing w:before="156" w:after="156"/>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“准入清单”管控</w:t>
      </w:r>
    </w:p>
    <w:p w14:paraId="6D67ACD6">
      <w:pPr>
        <w:spacing w:line="360" w:lineRule="auto"/>
        <w:ind w:firstLine="480" w:firstLineChars="200"/>
        <w:rPr>
          <w:rFonts w:hint="default" w:ascii="Times New Roman" w:hAnsi="Times New Roman" w:cs="Times New Roman"/>
          <w:color w:val="auto"/>
          <w:kern w:val="24"/>
          <w:sz w:val="24"/>
          <w:highlight w:val="none"/>
        </w:rPr>
      </w:pPr>
      <w:r>
        <w:rPr>
          <w:rFonts w:hint="default" w:ascii="Times New Roman" w:hAnsi="Times New Roman" w:cs="Times New Roman"/>
          <w:color w:val="auto"/>
          <w:kern w:val="24"/>
          <w:sz w:val="24"/>
          <w:highlight w:val="none"/>
        </w:rPr>
        <w:t>为保障规划区旅游有序发展，本次评价结合规划区环境敏感区特征、区域资源环境承载能力以及环境保护目标及环境保护相关要求，设置“生态环境准入清单”，严禁不符合产业政策、污染型工业项目及其他可能破坏生态环境的项目建设，限制影响环境功能或资源、能源承载力的项目建设，保证规划的实施环境质量不下降，资源能源可承载。清单详见表7.4-1。</w:t>
      </w:r>
    </w:p>
    <w:p w14:paraId="3D5E9118">
      <w:pPr>
        <w:pStyle w:val="3"/>
        <w:spacing w:before="156" w:after="156"/>
        <w:rPr>
          <w:rFonts w:hint="default" w:ascii="Times New Roman" w:hAnsi="Times New Roman" w:cs="Times New Roman"/>
          <w:color w:val="auto"/>
          <w:highlight w:val="none"/>
        </w:rPr>
      </w:pPr>
      <w:bookmarkStart w:id="242" w:name="_Toc26140"/>
      <w:r>
        <w:rPr>
          <w:rFonts w:hint="default" w:ascii="Times New Roman" w:hAnsi="Times New Roman" w:cs="Times New Roman"/>
          <w:color w:val="auto"/>
          <w:highlight w:val="none"/>
        </w:rPr>
        <w:t>具体建设项目环境影响评价重点及简化建议</w:t>
      </w:r>
      <w:bookmarkEnd w:id="241"/>
      <w:bookmarkEnd w:id="242"/>
    </w:p>
    <w:p w14:paraId="6FF1093A">
      <w:pPr>
        <w:spacing w:line="360" w:lineRule="auto"/>
        <w:ind w:firstLine="480" w:firstLineChars="200"/>
        <w:rPr>
          <w:rStyle w:val="63"/>
          <w:rFonts w:hint="default" w:ascii="Times New Roman" w:hAnsi="Times New Roman" w:cs="Times New Roman"/>
          <w:b w:val="0"/>
          <w:bCs w:val="0"/>
          <w:color w:val="auto"/>
          <w:sz w:val="24"/>
          <w:highlight w:val="none"/>
        </w:rPr>
      </w:pPr>
      <w:r>
        <w:rPr>
          <w:rFonts w:hint="default" w:ascii="Times New Roman" w:hAnsi="Times New Roman" w:cs="Times New Roman"/>
          <w:color w:val="auto"/>
          <w:sz w:val="24"/>
          <w:highlight w:val="none"/>
        </w:rPr>
        <w:t>对照《建设项目环境影响评价分类管理名录》，</w:t>
      </w:r>
      <w:r>
        <w:rPr>
          <w:rFonts w:hint="default" w:ascii="Times New Roman" w:hAnsi="Times New Roman" w:cs="Times New Roman"/>
          <w:color w:val="auto"/>
          <w:kern w:val="0"/>
          <w:sz w:val="24"/>
          <w:highlight w:val="none"/>
          <w:lang w:eastAsia="zh-CN"/>
        </w:rPr>
        <w:t>岗云杉林</w:t>
      </w:r>
      <w:r>
        <w:rPr>
          <w:rFonts w:hint="default" w:ascii="Times New Roman" w:hAnsi="Times New Roman" w:cs="Times New Roman"/>
          <w:color w:val="auto"/>
          <w:kern w:val="0"/>
          <w:sz w:val="24"/>
          <w:highlight w:val="none"/>
        </w:rPr>
        <w:t>旅游景区控制性详细规划</w:t>
      </w:r>
      <w:r>
        <w:rPr>
          <w:rFonts w:hint="default" w:ascii="Times New Roman" w:hAnsi="Times New Roman" w:cs="Times New Roman"/>
          <w:color w:val="auto"/>
          <w:sz w:val="24"/>
          <w:highlight w:val="none"/>
        </w:rPr>
        <w:t>中所包含的建设项目中，无需要编制环境影响报告书项目，住宿、餐饮服务类项目需填报环境影响登记表。结合规划区及旅游项目特点，具体建设项目环评可以简化的内容包括：区域环境现状调查与分析、选址选线、规模分析、依托基础设施分析、公参的程序和形式等。</w:t>
      </w:r>
    </w:p>
    <w:p w14:paraId="0CFBE92A">
      <w:pPr>
        <w:pStyle w:val="3"/>
        <w:spacing w:before="156" w:after="156"/>
        <w:rPr>
          <w:rFonts w:hint="default" w:ascii="Times New Roman" w:hAnsi="Times New Roman" w:cs="Times New Roman"/>
          <w:color w:val="auto"/>
          <w:highlight w:val="none"/>
        </w:rPr>
      </w:pPr>
      <w:bookmarkStart w:id="243" w:name="_Toc36557519"/>
      <w:bookmarkStart w:id="244" w:name="_Toc16437"/>
      <w:r>
        <w:rPr>
          <w:rFonts w:hint="default" w:ascii="Times New Roman" w:hAnsi="Times New Roman" w:cs="Times New Roman"/>
          <w:color w:val="auto"/>
          <w:highlight w:val="none"/>
        </w:rPr>
        <w:t>环境影响跟踪评价</w:t>
      </w:r>
      <w:bookmarkEnd w:id="243"/>
      <w:r>
        <w:rPr>
          <w:rFonts w:hint="default" w:ascii="Times New Roman" w:hAnsi="Times New Roman" w:cs="Times New Roman"/>
          <w:color w:val="auto"/>
          <w:highlight w:val="none"/>
        </w:rPr>
        <w:t>计划</w:t>
      </w:r>
      <w:bookmarkEnd w:id="244"/>
    </w:p>
    <w:p w14:paraId="372CA3BC">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主要评价内容包括：规划实施及开发强度对比、区域生态环境演变趋势、公众意见调查、生态环境影响对比评估及对策措施有效性分析、生态环境管理优化建议。</w:t>
      </w:r>
    </w:p>
    <w:p w14:paraId="469234F8">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本次评价要求景区设置专门的环境管理部门，制定并落实环境管理制度，按环境监测计划执行环境质量和污染源监测工作。</w:t>
      </w:r>
    </w:p>
    <w:p w14:paraId="7206E77B">
      <w:pPr>
        <w:pStyle w:val="3"/>
        <w:spacing w:before="156" w:after="156"/>
        <w:rPr>
          <w:rFonts w:hint="default" w:ascii="Times New Roman" w:hAnsi="Times New Roman" w:cs="Times New Roman"/>
          <w:color w:val="auto"/>
          <w:highlight w:val="none"/>
        </w:rPr>
      </w:pPr>
      <w:bookmarkStart w:id="245" w:name="_Toc36557520"/>
      <w:bookmarkStart w:id="246" w:name="_Toc22584"/>
      <w:r>
        <w:rPr>
          <w:rFonts w:hint="default" w:ascii="Times New Roman" w:hAnsi="Times New Roman" w:cs="Times New Roman"/>
          <w:color w:val="auto"/>
          <w:highlight w:val="none"/>
        </w:rPr>
        <w:t>公众</w:t>
      </w:r>
      <w:bookmarkEnd w:id="245"/>
      <w:r>
        <w:rPr>
          <w:rFonts w:hint="default" w:ascii="Times New Roman" w:hAnsi="Times New Roman" w:cs="Times New Roman"/>
          <w:color w:val="auto"/>
          <w:highlight w:val="none"/>
        </w:rPr>
        <w:t>意见的回复和采纳情况</w:t>
      </w:r>
      <w:bookmarkEnd w:id="246"/>
    </w:p>
    <w:p w14:paraId="0DEB4E47">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根据《环境影响评价公众参与办法》（生态环境部令第4号）相关规定，建设单位在环评报告编制期间组织了两次信息公示。公示期间建设单位和评价单位未收到关于本规划的信件、电子邮件、电话等反馈信息。</w:t>
      </w:r>
    </w:p>
    <w:p w14:paraId="17269F2F">
      <w:pPr>
        <w:pStyle w:val="3"/>
        <w:spacing w:before="156" w:after="156"/>
        <w:rPr>
          <w:rFonts w:hint="default" w:ascii="Times New Roman" w:hAnsi="Times New Roman" w:cs="Times New Roman"/>
          <w:color w:val="auto"/>
          <w:highlight w:val="none"/>
        </w:rPr>
      </w:pPr>
      <w:bookmarkStart w:id="247" w:name="_Toc437"/>
      <w:bookmarkStart w:id="248" w:name="_Toc36557521"/>
      <w:r>
        <w:rPr>
          <w:rFonts w:hint="default" w:ascii="Times New Roman" w:hAnsi="Times New Roman" w:cs="Times New Roman"/>
          <w:color w:val="auto"/>
          <w:highlight w:val="none"/>
        </w:rPr>
        <w:t>总结论</w:t>
      </w:r>
      <w:bookmarkEnd w:id="247"/>
      <w:bookmarkEnd w:id="248"/>
    </w:p>
    <w:p w14:paraId="3FB59A0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岗云杉林</w:t>
      </w:r>
      <w:r>
        <w:rPr>
          <w:rFonts w:hint="default" w:ascii="Times New Roman" w:hAnsi="Times New Roman" w:cs="Times New Roman"/>
          <w:color w:val="auto"/>
          <w:kern w:val="0"/>
          <w:sz w:val="24"/>
          <w:highlight w:val="none"/>
        </w:rPr>
        <w:t>旅游景区控制性详细规划”按照</w:t>
      </w:r>
      <w:r>
        <w:rPr>
          <w:rFonts w:hint="default" w:ascii="Times New Roman" w:hAnsi="Times New Roman" w:cs="Times New Roman"/>
          <w:color w:val="auto"/>
          <w:sz w:val="24"/>
          <w:highlight w:val="none"/>
        </w:rPr>
        <w:t>本报告进行优化调整后符合国家和西藏自治区产业政策，满足自治区和</w:t>
      </w:r>
      <w:r>
        <w:rPr>
          <w:rFonts w:hint="default" w:ascii="Times New Roman" w:hAnsi="Times New Roman" w:cs="Times New Roman"/>
          <w:color w:val="auto"/>
          <w:sz w:val="24"/>
          <w:highlight w:val="none"/>
          <w:lang w:eastAsia="zh-CN"/>
        </w:rPr>
        <w:t>林芝市</w:t>
      </w:r>
      <w:r>
        <w:rPr>
          <w:rFonts w:hint="default" w:ascii="Times New Roman" w:hAnsi="Times New Roman" w:cs="Times New Roman"/>
          <w:color w:val="auto"/>
          <w:sz w:val="24"/>
          <w:highlight w:val="none"/>
        </w:rPr>
        <w:t>“三线一单”管控要求，</w:t>
      </w:r>
      <w:r>
        <w:rPr>
          <w:rStyle w:val="103"/>
          <w:rFonts w:hint="default" w:ascii="Times New Roman" w:hAnsi="Times New Roman" w:cs="Times New Roman"/>
          <w:color w:val="auto"/>
          <w:highlight w:val="none"/>
        </w:rPr>
        <w:t>符合各级旅游发展规划及主体功能区划和生态功能区划要求，</w:t>
      </w:r>
      <w:r>
        <w:rPr>
          <w:rFonts w:hint="default" w:ascii="Times New Roman" w:hAnsi="Times New Roman" w:cs="Times New Roman"/>
          <w:color w:val="auto"/>
          <w:kern w:val="0"/>
          <w:sz w:val="24"/>
          <w:highlight w:val="none"/>
        </w:rPr>
        <w:t>满足旅游、文物保护、风景名胜区管理、生态环境保护等相关法规、政策要求，</w:t>
      </w:r>
      <w:r>
        <w:rPr>
          <w:rFonts w:hint="default" w:ascii="Times New Roman" w:hAnsi="Times New Roman" w:cs="Times New Roman"/>
          <w:color w:val="auto"/>
          <w:sz w:val="24"/>
          <w:highlight w:val="none"/>
        </w:rPr>
        <w:t>与相关规划相协调。规划</w:t>
      </w:r>
      <w:r>
        <w:rPr>
          <w:rStyle w:val="103"/>
          <w:rFonts w:hint="default" w:ascii="Times New Roman" w:hAnsi="Times New Roman" w:cs="Times New Roman"/>
          <w:color w:val="auto"/>
          <w:highlight w:val="none"/>
        </w:rPr>
        <w:t>定位、规模、布局、结构</w:t>
      </w:r>
      <w:r>
        <w:rPr>
          <w:rFonts w:hint="default" w:ascii="Times New Roman" w:hAnsi="Times New Roman" w:cs="Times New Roman"/>
          <w:color w:val="auto"/>
          <w:sz w:val="24"/>
          <w:highlight w:val="none"/>
        </w:rPr>
        <w:t>较合理，规划区生态环境质量良好。</w:t>
      </w:r>
    </w:p>
    <w:p w14:paraId="34E3C59B">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在认真落实规划和本报告提出的各项环境保护措施和要求后，可以有效减缓规划实施产生的环境污染和生态破坏，对当地生态环境影响可接受。同时，规划实施</w:t>
      </w:r>
      <w:r>
        <w:rPr>
          <w:rFonts w:hint="default" w:ascii="Times New Roman" w:hAnsi="Times New Roman" w:cs="Times New Roman"/>
          <w:color w:val="auto"/>
          <w:kern w:val="0"/>
          <w:sz w:val="24"/>
          <w:highlight w:val="none"/>
        </w:rPr>
        <w:t>对提升</w:t>
      </w:r>
      <w:r>
        <w:rPr>
          <w:rFonts w:hint="default" w:ascii="Times New Roman" w:hAnsi="Times New Roman" w:cs="Times New Roman"/>
          <w:color w:val="auto"/>
          <w:kern w:val="0"/>
          <w:sz w:val="24"/>
          <w:highlight w:val="none"/>
          <w:lang w:eastAsia="zh-CN"/>
        </w:rPr>
        <w:t>林芝市</w:t>
      </w:r>
      <w:r>
        <w:rPr>
          <w:rFonts w:hint="default" w:ascii="Times New Roman" w:hAnsi="Times New Roman" w:cs="Times New Roman"/>
          <w:color w:val="auto"/>
          <w:kern w:val="0"/>
          <w:sz w:val="24"/>
          <w:highlight w:val="none"/>
        </w:rPr>
        <w:t>旅游文化地位、促进当地经济繁荣有重要作用。</w:t>
      </w:r>
    </w:p>
    <w:p w14:paraId="21209FD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综上所述，从环境保护角度分析，“</w:t>
      </w:r>
      <w:r>
        <w:rPr>
          <w:rFonts w:hint="default" w:ascii="Times New Roman" w:hAnsi="Times New Roman" w:cs="Times New Roman"/>
          <w:color w:val="auto"/>
          <w:sz w:val="24"/>
          <w:highlight w:val="none"/>
          <w:lang w:eastAsia="zh-CN"/>
        </w:rPr>
        <w:t>林芝市</w:t>
      </w:r>
      <w:r>
        <w:rPr>
          <w:rFonts w:hint="default" w:ascii="Times New Roman" w:hAnsi="Times New Roman" w:cs="Times New Roman"/>
          <w:color w:val="auto"/>
          <w:kern w:val="0"/>
          <w:sz w:val="24"/>
          <w:highlight w:val="none"/>
          <w:lang w:eastAsia="zh-CN"/>
        </w:rPr>
        <w:t>岗云杉林</w:t>
      </w:r>
      <w:r>
        <w:rPr>
          <w:rFonts w:hint="default" w:ascii="Times New Roman" w:hAnsi="Times New Roman" w:cs="Times New Roman"/>
          <w:color w:val="auto"/>
          <w:kern w:val="0"/>
          <w:sz w:val="24"/>
          <w:highlight w:val="none"/>
        </w:rPr>
        <w:t>旅游景区控制性详细规划</w:t>
      </w:r>
      <w:r>
        <w:rPr>
          <w:rFonts w:hint="default" w:ascii="Times New Roman" w:hAnsi="Times New Roman" w:cs="Times New Roman"/>
          <w:color w:val="auto"/>
          <w:sz w:val="24"/>
          <w:highlight w:val="none"/>
        </w:rPr>
        <w:t>”合理可行。规划实施过程应严格遵照国土空间规划，并按相关要求征得相关部门同意，依法办理土地等相关手续。</w:t>
      </w:r>
    </w:p>
    <w:p w14:paraId="11FA0AA9">
      <w:pPr>
        <w:spacing w:line="360" w:lineRule="auto"/>
        <w:ind w:firstLine="480" w:firstLineChars="200"/>
        <w:rPr>
          <w:rFonts w:hint="default" w:ascii="Times New Roman" w:hAnsi="Times New Roman" w:cs="Times New Roman"/>
          <w:color w:val="auto"/>
          <w:sz w:val="24"/>
          <w:highlight w:val="none"/>
        </w:rPr>
      </w:pPr>
    </w:p>
    <w:sectPr>
      <w:pgSz w:w="11906" w:h="16838"/>
      <w:pgMar w:top="1474" w:right="1474" w:bottom="1474" w:left="1474" w:header="1134" w:footer="850" w:gutter="0"/>
      <w:pgBorders>
        <w:top w:val="none" w:sz="0" w:space="0"/>
        <w:left w:val="none" w:sz="0" w:space="0"/>
        <w:bottom w:val="none" w:sz="0" w:space="0"/>
        <w:right w:val="none" w:sz="0" w:space="0"/>
      </w:pgBorders>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2">
      <wne:acd wne:acdName="acd0"/>
    </wne:keymap>
    <wne:keymap wne:kcmPrimary="0233">
      <wne:acd wne:acdName="acd1"/>
    </wne:keymap>
    <wne:keymap wne:kcmPrimary="0234">
      <wne:acd wne:acdName="acd2"/>
    </wne:keymap>
  </wne:keymaps>
  <wne:toolbars>
    <wne:toolbarData r:id="rId1"/>
  </wne:toolbars>
  <wne:acds>
    <wne:acd wne:argValue="AQAAAAIA" wne:acdName="acd0" wne:fciIndexBasedOn="0065"/>
    <wne:acd wne:argValue="AQAAAAMA" wne:acdName="acd1" wne:fciIndexBasedOn="0065"/>
    <wne:acd wne:argValue="AQAAAAQA" wne:acdName="acd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panose1 w:val="02010609000101010101"/>
    <w:charset w:val="88"/>
    <w:family w:val="modern"/>
    <w:pitch w:val="default"/>
    <w:sig w:usb0="80000001" w:usb1="28091800" w:usb2="00000016" w:usb3="00000000" w:csb0="00100001" w:csb1="00000000"/>
  </w:font>
  <w:font w:name="Sylfaen">
    <w:panose1 w:val="010A0502050306030303"/>
    <w:charset w:val="00"/>
    <w:family w:val="roman"/>
    <w:pitch w:val="default"/>
    <w:sig w:usb0="04000687" w:usb1="00000000" w:usb2="00000000" w:usb3="00000000" w:csb0="2000009F" w:csb1="00000000"/>
  </w:font>
  <w:font w:name="Century Gothic">
    <w:panose1 w:val="020B0502020202020204"/>
    <w:charset w:val="00"/>
    <w:family w:val="swiss"/>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TimesNewRomanPSMT">
    <w:altName w:val="黑体"/>
    <w:panose1 w:val="00000000000000000000"/>
    <w:charset w:val="00"/>
    <w:family w:val="roman"/>
    <w:pitch w:val="default"/>
    <w:sig w:usb0="00000000" w:usb1="00000000" w:usb2="00000010" w:usb3="00000000" w:csb0="00060001" w:csb1="00000000"/>
  </w:font>
  <w:font w:name="Microsoft YaHei UI">
    <w:panose1 w:val="020B0503020204020204"/>
    <w:charset w:val="86"/>
    <w:family w:val="swiss"/>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abon">
    <w:altName w:val="Times New Roman"/>
    <w:panose1 w:val="00000000000000000000"/>
    <w:charset w:val="00"/>
    <w:family w:val="roman"/>
    <w:pitch w:val="default"/>
    <w:sig w:usb0="00000000" w:usb1="00000000" w:usb2="00000000" w:usb3="00000000" w:csb0="0000009F" w:csb1="00000000"/>
  </w:font>
  <w:font w:name="华文楷体">
    <w:panose1 w:val="02010600040101010101"/>
    <w:charset w:val="86"/>
    <w:family w:val="auto"/>
    <w:pitch w:val="default"/>
    <w:sig w:usb0="00000287" w:usb1="080F0000" w:usb2="00000000" w:usb3="00000000" w:csb0="0004009F" w:csb1="DFD70000"/>
  </w:font>
  <w:font w:name="Romantic">
    <w:panose1 w:val="00000400000000000000"/>
    <w:charset w:val="02"/>
    <w:family w:val="auto"/>
    <w:pitch w:val="default"/>
    <w:sig w:usb0="00000000" w:usb1="00000000" w:usb2="00000000" w:usb3="00000000" w:csb0="00000000" w:csb1="00000000"/>
  </w:font>
  <w:font w:name="文鼎CS书宋二">
    <w:altName w:val="宋体"/>
    <w:panose1 w:val="00000000000000000000"/>
    <w:charset w:val="86"/>
    <w:family w:val="modern"/>
    <w:pitch w:val="default"/>
    <w:sig w:usb0="00000000" w:usb1="00000000" w:usb2="00000010" w:usb3="00000000" w:csb0="00040000" w:csb1="00000000"/>
  </w:font>
  <w:font w:name="PMingLiU">
    <w:altName w:val="MingLiU"/>
    <w:panose1 w:val="02010601000101010101"/>
    <w:charset w:val="88"/>
    <w:family w:val="roman"/>
    <w:pitch w:val="default"/>
    <w:sig w:usb0="00000000" w:usb1="00000000" w:usb2="00000016" w:usb3="00000000" w:csb0="00100001" w:csb1="00000000"/>
  </w:font>
  <w:font w:name="方正宋三简体">
    <w:panose1 w:val="02000000000000000000"/>
    <w:charset w:val="86"/>
    <w:family w:val="auto"/>
    <w:pitch w:val="default"/>
    <w:sig w:usb0="00000001" w:usb1="08000000" w:usb2="00000000" w:usb3="00000000" w:csb0="00040000" w:csb1="00000000"/>
  </w:font>
  <w:font w:name="CG Times">
    <w:altName w:val="AMGDT"/>
    <w:panose1 w:val="00000000000000000000"/>
    <w:charset w:val="00"/>
    <w:family w:val="roman"/>
    <w:pitch w:val="default"/>
    <w:sig w:usb0="00000000" w:usb1="00000000" w:usb2="00000000" w:usb3="00000000" w:csb0="00000093" w:csb1="00000000"/>
  </w:font>
  <w:font w:name="AMGDT">
    <w:panose1 w:val="02000400000000000000"/>
    <w:charset w:val="00"/>
    <w:family w:val="auto"/>
    <w:pitch w:val="default"/>
    <w:sig w:usb0="80000003" w:usb1="1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華康中楷體">
    <w:altName w:val="Arial Unicode MS"/>
    <w:panose1 w:val="00000000000000000000"/>
    <w:charset w:val="88"/>
    <w:family w:val="modern"/>
    <w:pitch w:val="default"/>
    <w:sig w:usb0="00000000" w:usb1="00000000" w:usb2="00000010" w:usb3="00000000" w:csb0="00100000" w:csb1="0000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方正黑体_GBK">
    <w:panose1 w:val="02010600010101010101"/>
    <w:charset w:val="86"/>
    <w:family w:val="script"/>
    <w:pitch w:val="default"/>
    <w:sig w:usb0="00000001" w:usb1="080E0000" w:usb2="00000000" w:usb3="00000000" w:csb0="00040000" w:csb1="00000000"/>
  </w:font>
  <w:font w:name="方正仿宋_GBK">
    <w:panose1 w:val="02000000000000000000"/>
    <w:charset w:val="86"/>
    <w:family w:val="roman"/>
    <w:pitch w:val="default"/>
    <w:sig w:usb0="A00002BF" w:usb1="38CF7CFA" w:usb2="00082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Courier">
    <w:altName w:val="Courier New"/>
    <w:panose1 w:val="02070409020205020404"/>
    <w:charset w:val="00"/>
    <w:family w:val="modern"/>
    <w:pitch w:val="default"/>
    <w:sig w:usb0="00000000" w:usb1="00000000" w:usb2="00000000" w:usb3="00000000" w:csb0="00000093" w:csb1="00000000"/>
  </w:font>
  <w:font w:name="Lucida Console">
    <w:panose1 w:val="020B0609040504020204"/>
    <w:charset w:val="00"/>
    <w:family w:val="modern"/>
    <w:pitch w:val="default"/>
    <w:sig w:usb0="8000028F" w:usb1="00001800" w:usb2="00000000" w:usb3="00000000" w:csb0="0000001F" w:csb1="D7D7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Wingdings 3">
    <w:panose1 w:val="050401020108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D046B">
    <w:pPr>
      <w:pStyle w:val="36"/>
      <w:pBdr>
        <w:top w:val="thinThickSmallGap" w:color="auto" w:sz="12" w:space="1"/>
      </w:pBdr>
      <w:jc w:val="center"/>
    </w:pPr>
    <w:sdt>
      <w:sdtPr>
        <w:id w:val="143871162"/>
      </w:sdtPr>
      <w:sdtContent>
        <w:r>
          <w:fldChar w:fldCharType="begin"/>
        </w:r>
        <w:r>
          <w:instrText xml:space="preserve">PAGE   \* MERGEFORMAT</w:instrText>
        </w:r>
        <w:r>
          <w:fldChar w:fldCharType="separate"/>
        </w:r>
        <w:r>
          <w:t>II</w:t>
        </w:r>
        <w: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BA643">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5654E">
    <w:pPr>
      <w:pStyle w:val="36"/>
      <w:pBdr>
        <w:top w:val="thinThickSmallGap" w:color="auto" w:sz="12" w:space="1"/>
      </w:pBdr>
      <w:rPr>
        <w:rFonts w:hint="eastAsia" w:ascii="华文新魏" w:eastAsia="楷体_GB2312"/>
        <w:b/>
        <w:color w:val="auto"/>
        <w:lang w:eastAsia="zh-CN"/>
      </w:rPr>
    </w:pPr>
    <w:r>
      <w:rPr>
        <w:rFonts w:ascii="楷体_GB2312" w:eastAsia="楷体_GB2312"/>
        <w:color w:val="auto"/>
        <w:sz w:val="21"/>
        <w:szCs w:val="21"/>
        <w:lang w:val="en-US"/>
      </w:rPr>
      <w:drawing>
        <wp:inline distT="0" distB="0" distL="0" distR="0">
          <wp:extent cx="266700" cy="104775"/>
          <wp:effectExtent l="0" t="0" r="0" b="0"/>
          <wp:docPr id="1993021876" name="图片 1993021876" descr="图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21876" name="图片 1993021876" descr="图标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66700" cy="104775"/>
                  </a:xfrm>
                  <a:prstGeom prst="rect">
                    <a:avLst/>
                  </a:prstGeom>
                  <a:noFill/>
                  <a:ln>
                    <a:noFill/>
                  </a:ln>
                </pic:spPr>
              </pic:pic>
            </a:graphicData>
          </a:graphic>
        </wp:inline>
      </w:drawing>
    </w:r>
    <w:r>
      <w:rPr>
        <w:rFonts w:hint="eastAsia" w:ascii="华文新魏" w:eastAsia="华文新魏"/>
        <w:b/>
        <w:color w:val="auto"/>
        <w:lang w:eastAsia="zh-CN"/>
      </w:rPr>
      <w:t>西藏璞匠农林生态工程有限公司</w:t>
    </w:r>
  </w:p>
  <w:p w14:paraId="08AC5CE5">
    <w:pPr>
      <w:pStyle w:val="36"/>
      <w:pBdr>
        <w:top w:val="thinThickSmallGap" w:color="auto" w:sz="12" w:space="1"/>
      </w:pBdr>
      <w:jc w:val="center"/>
      <w:rPr>
        <w:color w:val="auto"/>
      </w:rPr>
    </w:pPr>
    <w:r>
      <w:rPr>
        <w:color w:val="auto"/>
      </w:rPr>
      <w:fldChar w:fldCharType="begin"/>
    </w:r>
    <w:r>
      <w:rPr>
        <w:color w:val="auto"/>
      </w:rPr>
      <w:instrText xml:space="preserve">PAGE   \* MERGEFORMAT</w:instrText>
    </w:r>
    <w:r>
      <w:rPr>
        <w:color w:val="auto"/>
      </w:rPr>
      <w:fldChar w:fldCharType="separate"/>
    </w:r>
    <w:r>
      <w:rPr>
        <w:color w:val="auto"/>
      </w:rPr>
      <w:t>77</w:t>
    </w:r>
    <w:r>
      <w:rPr>
        <w:color w:val="auto"/>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A7B41">
    <w:pPr>
      <w:pStyle w:val="36"/>
      <w:pBdr>
        <w:top w:val="thinThickSmallGap" w:color="auto" w:sz="12" w:space="1"/>
      </w:pBdr>
      <w:rPr>
        <w:rFonts w:hint="eastAsia" w:ascii="华文新魏" w:eastAsia="楷体_GB2312"/>
        <w:b/>
        <w:lang w:eastAsia="zh-CN"/>
      </w:rPr>
    </w:pPr>
    <w:r>
      <w:rPr>
        <w:rFonts w:ascii="楷体_GB2312" w:eastAsia="楷体_GB2312"/>
        <w:sz w:val="21"/>
        <w:szCs w:val="21"/>
        <w:lang w:val="en-US"/>
      </w:rPr>
      <w:drawing>
        <wp:inline distT="0" distB="0" distL="0" distR="0">
          <wp:extent cx="266700" cy="104775"/>
          <wp:effectExtent l="0" t="0" r="7620" b="1905"/>
          <wp:docPr id="6" name="图片 6" descr="图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标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66700" cy="104775"/>
                  </a:xfrm>
                  <a:prstGeom prst="rect">
                    <a:avLst/>
                  </a:prstGeom>
                  <a:noFill/>
                  <a:ln>
                    <a:noFill/>
                  </a:ln>
                </pic:spPr>
              </pic:pic>
            </a:graphicData>
          </a:graphic>
        </wp:inline>
      </w:drawing>
    </w:r>
    <w:r>
      <w:rPr>
        <w:rFonts w:hint="eastAsia" w:ascii="华文新魏" w:eastAsia="华文新魏"/>
        <w:b/>
        <w:lang w:eastAsia="zh-CN"/>
      </w:rPr>
      <w:t>西藏璞匠农林生态工程有限公司</w:t>
    </w:r>
  </w:p>
  <w:p w14:paraId="69F622E1">
    <w:pPr>
      <w:pStyle w:val="36"/>
      <w:pBdr>
        <w:top w:val="thinThickSmallGap" w:color="auto" w:sz="12" w:space="1"/>
      </w:pBdr>
      <w:jc w:val="center"/>
    </w:pPr>
    <w:r>
      <w:fldChar w:fldCharType="begin"/>
    </w:r>
    <w:r>
      <w:instrText xml:space="preserve">PAGE   \* MERGEFORMAT</w:instrText>
    </w:r>
    <w:r>
      <w:fldChar w:fldCharType="separate"/>
    </w:r>
    <w:r>
      <w:t>176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9DAF">
    <w:pPr>
      <w:pStyle w:val="36"/>
      <w:pBdr>
        <w:top w:val="thinThickSmallGap" w:color="auto" w:sz="12" w:space="1"/>
      </w:pBdr>
      <w:rPr>
        <w:rFonts w:hint="eastAsia" w:ascii="华文新魏" w:eastAsia="楷体_GB2312"/>
        <w:b/>
        <w:lang w:eastAsia="zh-CN"/>
      </w:rPr>
    </w:pPr>
    <w:r>
      <w:rPr>
        <w:rFonts w:ascii="楷体_GB2312" w:eastAsia="楷体_GB2312"/>
        <w:sz w:val="21"/>
        <w:szCs w:val="21"/>
        <w:lang w:val="en-US"/>
      </w:rPr>
      <w:drawing>
        <wp:inline distT="0" distB="0" distL="0" distR="0">
          <wp:extent cx="266700" cy="104775"/>
          <wp:effectExtent l="0" t="0" r="7620" b="1905"/>
          <wp:docPr id="1673484436" name="图片 1673484436" descr="图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84436" name="图片 1673484436" descr="图标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66700" cy="104775"/>
                  </a:xfrm>
                  <a:prstGeom prst="rect">
                    <a:avLst/>
                  </a:prstGeom>
                  <a:noFill/>
                  <a:ln>
                    <a:noFill/>
                  </a:ln>
                </pic:spPr>
              </pic:pic>
            </a:graphicData>
          </a:graphic>
        </wp:inline>
      </w:drawing>
    </w:r>
    <w:r>
      <w:rPr>
        <w:rFonts w:hint="eastAsia" w:ascii="华文新魏" w:eastAsia="华文新魏"/>
        <w:b/>
        <w:lang w:eastAsia="zh-CN"/>
      </w:rPr>
      <w:t>西藏璞匠农林生态工程有限公司</w:t>
    </w:r>
  </w:p>
  <w:p w14:paraId="503C3CEE">
    <w:pPr>
      <w:pStyle w:val="36"/>
      <w:pBdr>
        <w:top w:val="thinThickSmallGap" w:color="auto" w:sz="12" w:space="1"/>
      </w:pBdr>
      <w:jc w:val="center"/>
    </w:pPr>
    <w:r>
      <w:fldChar w:fldCharType="begin"/>
    </w:r>
    <w:r>
      <w:instrText xml:space="preserve">PAGE   \* MERGEFORMAT</w:instrText>
    </w:r>
    <w:r>
      <w:fldChar w:fldCharType="separate"/>
    </w:r>
    <w:r>
      <w:t>176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34588">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B5616">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6A9B0">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D6B8E">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7AC20">
    <w:pPr>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EFBDD">
    <w:pPr>
      <w:pStyle w:val="37"/>
      <w:pBdr>
        <w:bottom w:val="thickThinSmallGap" w:color="auto" w:sz="12" w:space="1"/>
      </w:pBdr>
      <w:rPr>
        <w:rFonts w:ascii="华文新魏" w:eastAsia="华文新魏"/>
        <w:b/>
      </w:rPr>
    </w:pPr>
    <w:r>
      <w:rPr>
        <w:rFonts w:hint="eastAsia" w:ascii="华文新魏" w:eastAsia="华文新魏"/>
        <w:b/>
        <w:lang w:val="en-US" w:eastAsia="zh-CN"/>
      </w:rPr>
      <w:t>波密县岗云杉林旅游景区创建4A级规划</w:t>
    </w:r>
    <w:r>
      <w:rPr>
        <w:rFonts w:ascii="华文新魏" w:eastAsia="华文新魏"/>
        <w:b/>
        <w:lang w:val="en-US"/>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CE75D">
    <w:pPr>
      <w:pStyle w:val="37"/>
      <w:pBdr>
        <w:bottom w:val="thickThinSmallGap" w:color="auto" w:sz="12" w:space="1"/>
      </w:pBdr>
      <w:rPr>
        <w:rFonts w:ascii="华文新魏" w:eastAsia="华文新魏"/>
        <w:b/>
      </w:rPr>
    </w:pPr>
    <w:r>
      <w:rPr>
        <w:rFonts w:hint="eastAsia" w:ascii="华文新魏" w:eastAsia="华文新魏"/>
        <w:b/>
        <w:lang w:val="en-US"/>
      </w:rPr>
      <w:t>曲松县拉加里王宫景区旅游总体规划暨重点片区控制性详细规划（2026-2035）</w:t>
    </w:r>
    <w:r>
      <w:rPr>
        <w:rFonts w:ascii="华文新魏" w:eastAsia="华文新魏"/>
        <w:b/>
        <w:lang w:val="en-US"/>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B3EE0">
    <w:pPr>
      <w:pStyle w:val="37"/>
      <w:pBdr>
        <w:bottom w:val="thickThinSmallGap" w:color="auto" w:sz="12" w:space="1"/>
      </w:pBdr>
      <w:rPr>
        <w:rFonts w:ascii="华文新魏" w:eastAsia="华文新魏"/>
        <w:b/>
      </w:rPr>
    </w:pPr>
    <w:r>
      <w:rPr>
        <w:rFonts w:hint="eastAsia" w:ascii="华文新魏" w:eastAsia="华文新魏"/>
        <w:b/>
        <w:lang w:val="en-US" w:eastAsia="zh-CN"/>
      </w:rPr>
      <w:t>波密县岗云杉林旅游景区创建4A级规划</w:t>
    </w:r>
    <w:r>
      <w:rPr>
        <w:rFonts w:ascii="华文新魏" w:eastAsia="华文新魏"/>
        <w:b/>
        <w:lang w:val="en-US"/>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6A2A5">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4856A">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DC3B8">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2B82D">
    <w:pPr>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DB638">
    <w:pPr>
      <w:ind w:firstLine="48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586E0">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BBF45"/>
    <w:multiLevelType w:val="multilevel"/>
    <w:tmpl w:val="AB7BBF45"/>
    <w:lvl w:ilvl="0" w:tentative="0">
      <w:start w:val="1"/>
      <w:numFmt w:val="decimal"/>
      <w:pStyle w:val="2"/>
      <w:lvlText w:val="%1."/>
      <w:lvlJc w:val="left"/>
      <w:pPr>
        <w:ind w:left="432" w:hanging="432"/>
      </w:pPr>
      <w:rPr>
        <w:rFonts w:hint="default" w:ascii="Times New Roman" w:hAnsi="Times New Roman" w:eastAsia="宋体" w:cs="宋体"/>
        <w:sz w:val="36"/>
        <w:szCs w:val="36"/>
      </w:rPr>
    </w:lvl>
    <w:lvl w:ilvl="1" w:tentative="0">
      <w:start w:val="1"/>
      <w:numFmt w:val="decimal"/>
      <w:pStyle w:val="3"/>
      <w:lvlText w:val="%1.%2"/>
      <w:lvlJc w:val="left"/>
      <w:pPr>
        <w:ind w:left="575" w:hanging="575"/>
      </w:pPr>
      <w:rPr>
        <w:rFonts w:hint="default" w:ascii="Times New Roman" w:hAnsi="Times New Roman" w:eastAsia="宋体" w:cs="宋体"/>
        <w:sz w:val="28"/>
      </w:rPr>
    </w:lvl>
    <w:lvl w:ilvl="2" w:tentative="0">
      <w:start w:val="1"/>
      <w:numFmt w:val="decimal"/>
      <w:pStyle w:val="4"/>
      <w:lvlText w:val="%1.%2.%3"/>
      <w:lvlJc w:val="left"/>
      <w:pPr>
        <w:ind w:left="720" w:hanging="720"/>
      </w:pPr>
      <w:rPr>
        <w:rFonts w:hint="default" w:ascii="Times New Roman" w:hAnsi="Times New Roman" w:eastAsia="宋体" w:cs="宋体"/>
        <w:sz w:val="24"/>
      </w:rPr>
    </w:lvl>
    <w:lvl w:ilvl="3" w:tentative="0">
      <w:start w:val="1"/>
      <w:numFmt w:val="decimal"/>
      <w:pStyle w:val="5"/>
      <w:lvlText w:val="%1.%2.%3.%4"/>
      <w:lvlJc w:val="left"/>
      <w:pPr>
        <w:ind w:left="864" w:hanging="864"/>
      </w:pPr>
      <w:rPr>
        <w:rFonts w:hint="default" w:ascii="Times New Roman" w:hAnsi="Times New Roman" w:eastAsia="宋体" w:cs="宋体"/>
        <w:sz w:val="21"/>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F5C64091"/>
    <w:multiLevelType w:val="singleLevel"/>
    <w:tmpl w:val="F5C64091"/>
    <w:lvl w:ilvl="0" w:tentative="0">
      <w:start w:val="1"/>
      <w:numFmt w:val="chineseCounting"/>
      <w:suff w:val="nothing"/>
      <w:lvlText w:val="（%1）"/>
      <w:lvlJc w:val="left"/>
      <w:rPr>
        <w:rFonts w:hint="eastAsia"/>
      </w:rPr>
    </w:lvl>
  </w:abstractNum>
  <w:abstractNum w:abstractNumId="2">
    <w:nsid w:val="54FFE98C"/>
    <w:multiLevelType w:val="singleLevel"/>
    <w:tmpl w:val="54FFE98C"/>
    <w:lvl w:ilvl="0" w:tentative="0">
      <w:start w:val="1"/>
      <w:numFmt w:val="decimal"/>
      <w:pStyle w:val="645"/>
      <w:suff w:val="nothing"/>
      <w:lvlText w:val="(%1)"/>
      <w:lvlJc w:val="left"/>
    </w:lvl>
  </w:abstractNum>
  <w:abstractNum w:abstractNumId="3">
    <w:nsid w:val="662C7399"/>
    <w:multiLevelType w:val="multilevel"/>
    <w:tmpl w:val="662C7399"/>
    <w:lvl w:ilvl="0" w:tentative="0">
      <w:start w:val="1"/>
      <w:numFmt w:val="decimal"/>
      <w:pStyle w:val="710"/>
      <w:lvlText w:val="(%1)"/>
      <w:lvlJc w:val="left"/>
      <w:pPr>
        <w:ind w:left="1230" w:hanging="75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2"/>
    <w:lvlOverride w:ilvl="0">
      <w:startOverride w:val="1"/>
    </w:lvlOverride>
  </w:num>
  <w:num w:numId="3">
    <w:abstractNumId w:val="3"/>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isplayBackgroundShape w:val="1"/>
  <w:bordersDoNotSurroundHeader w:val="0"/>
  <w:bordersDoNotSurroundFooter w:val="0"/>
  <w:hideSpellingErrors/>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27AD"/>
    <w:rsid w:val="0000026E"/>
    <w:rsid w:val="0000083C"/>
    <w:rsid w:val="00001072"/>
    <w:rsid w:val="00001784"/>
    <w:rsid w:val="00001928"/>
    <w:rsid w:val="0000264E"/>
    <w:rsid w:val="000027BE"/>
    <w:rsid w:val="000029EE"/>
    <w:rsid w:val="0000302B"/>
    <w:rsid w:val="000035C0"/>
    <w:rsid w:val="0000400E"/>
    <w:rsid w:val="000044B3"/>
    <w:rsid w:val="00004AEF"/>
    <w:rsid w:val="00004E03"/>
    <w:rsid w:val="00005543"/>
    <w:rsid w:val="00005C08"/>
    <w:rsid w:val="00005FCE"/>
    <w:rsid w:val="00006896"/>
    <w:rsid w:val="00006E52"/>
    <w:rsid w:val="000070E4"/>
    <w:rsid w:val="000072FE"/>
    <w:rsid w:val="0000793B"/>
    <w:rsid w:val="00007AE4"/>
    <w:rsid w:val="00010901"/>
    <w:rsid w:val="000109EF"/>
    <w:rsid w:val="00010F91"/>
    <w:rsid w:val="00010FC2"/>
    <w:rsid w:val="000112CD"/>
    <w:rsid w:val="000113B9"/>
    <w:rsid w:val="00011F02"/>
    <w:rsid w:val="0001231E"/>
    <w:rsid w:val="000123D9"/>
    <w:rsid w:val="00012834"/>
    <w:rsid w:val="00012D8D"/>
    <w:rsid w:val="00013578"/>
    <w:rsid w:val="00013748"/>
    <w:rsid w:val="0001397A"/>
    <w:rsid w:val="00014584"/>
    <w:rsid w:val="00014980"/>
    <w:rsid w:val="00014C5B"/>
    <w:rsid w:val="00015669"/>
    <w:rsid w:val="00015A0B"/>
    <w:rsid w:val="000162EA"/>
    <w:rsid w:val="00016383"/>
    <w:rsid w:val="00016680"/>
    <w:rsid w:val="000166E8"/>
    <w:rsid w:val="000167A4"/>
    <w:rsid w:val="000168B5"/>
    <w:rsid w:val="000171A6"/>
    <w:rsid w:val="00017D81"/>
    <w:rsid w:val="00017F8C"/>
    <w:rsid w:val="00020237"/>
    <w:rsid w:val="000205A7"/>
    <w:rsid w:val="000205FD"/>
    <w:rsid w:val="00020781"/>
    <w:rsid w:val="000209AB"/>
    <w:rsid w:val="00020C70"/>
    <w:rsid w:val="000215B1"/>
    <w:rsid w:val="00021A68"/>
    <w:rsid w:val="00021F7A"/>
    <w:rsid w:val="00022008"/>
    <w:rsid w:val="0002228C"/>
    <w:rsid w:val="000226CA"/>
    <w:rsid w:val="00022949"/>
    <w:rsid w:val="00022FD4"/>
    <w:rsid w:val="00023167"/>
    <w:rsid w:val="00023302"/>
    <w:rsid w:val="00023346"/>
    <w:rsid w:val="00023553"/>
    <w:rsid w:val="00023915"/>
    <w:rsid w:val="00023CD0"/>
    <w:rsid w:val="00023D8C"/>
    <w:rsid w:val="00024152"/>
    <w:rsid w:val="000242B3"/>
    <w:rsid w:val="000244AB"/>
    <w:rsid w:val="00024C18"/>
    <w:rsid w:val="00024F95"/>
    <w:rsid w:val="00025005"/>
    <w:rsid w:val="00025B4C"/>
    <w:rsid w:val="00025F6B"/>
    <w:rsid w:val="00026089"/>
    <w:rsid w:val="00026185"/>
    <w:rsid w:val="000264EC"/>
    <w:rsid w:val="0002712B"/>
    <w:rsid w:val="000314F3"/>
    <w:rsid w:val="00031A96"/>
    <w:rsid w:val="00033AD1"/>
    <w:rsid w:val="00034186"/>
    <w:rsid w:val="000342D4"/>
    <w:rsid w:val="000347E6"/>
    <w:rsid w:val="00034AC8"/>
    <w:rsid w:val="00035740"/>
    <w:rsid w:val="00035E59"/>
    <w:rsid w:val="000360A3"/>
    <w:rsid w:val="000368AD"/>
    <w:rsid w:val="00036C7D"/>
    <w:rsid w:val="00036C8C"/>
    <w:rsid w:val="00036D9D"/>
    <w:rsid w:val="00036FB5"/>
    <w:rsid w:val="0003722D"/>
    <w:rsid w:val="000378C0"/>
    <w:rsid w:val="00037E87"/>
    <w:rsid w:val="00037F74"/>
    <w:rsid w:val="0004040C"/>
    <w:rsid w:val="00040C7D"/>
    <w:rsid w:val="00041179"/>
    <w:rsid w:val="00041684"/>
    <w:rsid w:val="0004179D"/>
    <w:rsid w:val="00041C12"/>
    <w:rsid w:val="00041F63"/>
    <w:rsid w:val="000421DC"/>
    <w:rsid w:val="0004222D"/>
    <w:rsid w:val="000431F3"/>
    <w:rsid w:val="00043CC6"/>
    <w:rsid w:val="00044070"/>
    <w:rsid w:val="0004497D"/>
    <w:rsid w:val="00044AB4"/>
    <w:rsid w:val="0004571C"/>
    <w:rsid w:val="000458A1"/>
    <w:rsid w:val="00045E29"/>
    <w:rsid w:val="00045EA9"/>
    <w:rsid w:val="00046558"/>
    <w:rsid w:val="0004691A"/>
    <w:rsid w:val="0004708E"/>
    <w:rsid w:val="00050267"/>
    <w:rsid w:val="00050639"/>
    <w:rsid w:val="0005082E"/>
    <w:rsid w:val="00050844"/>
    <w:rsid w:val="00050BFB"/>
    <w:rsid w:val="00050FBB"/>
    <w:rsid w:val="000515DB"/>
    <w:rsid w:val="00051E76"/>
    <w:rsid w:val="0005237A"/>
    <w:rsid w:val="00052571"/>
    <w:rsid w:val="00053BB5"/>
    <w:rsid w:val="00053C50"/>
    <w:rsid w:val="00054037"/>
    <w:rsid w:val="000540BF"/>
    <w:rsid w:val="00054318"/>
    <w:rsid w:val="000549CE"/>
    <w:rsid w:val="000549EE"/>
    <w:rsid w:val="000554A5"/>
    <w:rsid w:val="00056165"/>
    <w:rsid w:val="00056B11"/>
    <w:rsid w:val="00060298"/>
    <w:rsid w:val="000602DB"/>
    <w:rsid w:val="000607FE"/>
    <w:rsid w:val="00061145"/>
    <w:rsid w:val="00061204"/>
    <w:rsid w:val="000612AB"/>
    <w:rsid w:val="000613CF"/>
    <w:rsid w:val="00061A37"/>
    <w:rsid w:val="0006252A"/>
    <w:rsid w:val="00062BA0"/>
    <w:rsid w:val="00063B40"/>
    <w:rsid w:val="00063EF6"/>
    <w:rsid w:val="0006437D"/>
    <w:rsid w:val="000646DF"/>
    <w:rsid w:val="00064B46"/>
    <w:rsid w:val="00064D45"/>
    <w:rsid w:val="000650C2"/>
    <w:rsid w:val="00065279"/>
    <w:rsid w:val="0006539D"/>
    <w:rsid w:val="000654CA"/>
    <w:rsid w:val="00065CFA"/>
    <w:rsid w:val="00067439"/>
    <w:rsid w:val="0006755B"/>
    <w:rsid w:val="0007036D"/>
    <w:rsid w:val="00070412"/>
    <w:rsid w:val="00071793"/>
    <w:rsid w:val="00071F50"/>
    <w:rsid w:val="0007319C"/>
    <w:rsid w:val="000732D6"/>
    <w:rsid w:val="0007468C"/>
    <w:rsid w:val="000748DE"/>
    <w:rsid w:val="00074B77"/>
    <w:rsid w:val="00074F4A"/>
    <w:rsid w:val="00075097"/>
    <w:rsid w:val="0007589D"/>
    <w:rsid w:val="00076C0F"/>
    <w:rsid w:val="00076DCC"/>
    <w:rsid w:val="000770BF"/>
    <w:rsid w:val="00077204"/>
    <w:rsid w:val="000773C8"/>
    <w:rsid w:val="00077662"/>
    <w:rsid w:val="0008044A"/>
    <w:rsid w:val="00080B70"/>
    <w:rsid w:val="0008167F"/>
    <w:rsid w:val="0008238B"/>
    <w:rsid w:val="00082411"/>
    <w:rsid w:val="0008271F"/>
    <w:rsid w:val="00082795"/>
    <w:rsid w:val="00082BE1"/>
    <w:rsid w:val="00083845"/>
    <w:rsid w:val="00083C0D"/>
    <w:rsid w:val="00084214"/>
    <w:rsid w:val="00084B4E"/>
    <w:rsid w:val="00084DF6"/>
    <w:rsid w:val="00084E8A"/>
    <w:rsid w:val="0008528E"/>
    <w:rsid w:val="00085A21"/>
    <w:rsid w:val="00086F4B"/>
    <w:rsid w:val="000876FC"/>
    <w:rsid w:val="00087B84"/>
    <w:rsid w:val="00087F03"/>
    <w:rsid w:val="000901F8"/>
    <w:rsid w:val="00090723"/>
    <w:rsid w:val="000910AB"/>
    <w:rsid w:val="000911AD"/>
    <w:rsid w:val="0009145D"/>
    <w:rsid w:val="00091C3D"/>
    <w:rsid w:val="00091E84"/>
    <w:rsid w:val="00093524"/>
    <w:rsid w:val="0009357B"/>
    <w:rsid w:val="00093ED5"/>
    <w:rsid w:val="00094015"/>
    <w:rsid w:val="00094266"/>
    <w:rsid w:val="000947D4"/>
    <w:rsid w:val="00094BE1"/>
    <w:rsid w:val="0009547B"/>
    <w:rsid w:val="00095591"/>
    <w:rsid w:val="00095C67"/>
    <w:rsid w:val="000960BF"/>
    <w:rsid w:val="00097EF0"/>
    <w:rsid w:val="000A01A4"/>
    <w:rsid w:val="000A03C9"/>
    <w:rsid w:val="000A0DFA"/>
    <w:rsid w:val="000A11A9"/>
    <w:rsid w:val="000A1698"/>
    <w:rsid w:val="000A20C2"/>
    <w:rsid w:val="000A2985"/>
    <w:rsid w:val="000A2A26"/>
    <w:rsid w:val="000A2AB0"/>
    <w:rsid w:val="000A2F83"/>
    <w:rsid w:val="000A3931"/>
    <w:rsid w:val="000A3C6D"/>
    <w:rsid w:val="000A42F6"/>
    <w:rsid w:val="000A45DA"/>
    <w:rsid w:val="000A4AF1"/>
    <w:rsid w:val="000A4F9D"/>
    <w:rsid w:val="000A4FC5"/>
    <w:rsid w:val="000A5016"/>
    <w:rsid w:val="000A5435"/>
    <w:rsid w:val="000A55DB"/>
    <w:rsid w:val="000A5777"/>
    <w:rsid w:val="000A5C5E"/>
    <w:rsid w:val="000A5F52"/>
    <w:rsid w:val="000A601B"/>
    <w:rsid w:val="000A66B6"/>
    <w:rsid w:val="000A68FE"/>
    <w:rsid w:val="000A69D1"/>
    <w:rsid w:val="000A6B4F"/>
    <w:rsid w:val="000A6CC1"/>
    <w:rsid w:val="000A6CEF"/>
    <w:rsid w:val="000A6F0B"/>
    <w:rsid w:val="000A711D"/>
    <w:rsid w:val="000A7796"/>
    <w:rsid w:val="000A7ADD"/>
    <w:rsid w:val="000B0228"/>
    <w:rsid w:val="000B0FD8"/>
    <w:rsid w:val="000B202C"/>
    <w:rsid w:val="000B209D"/>
    <w:rsid w:val="000B3299"/>
    <w:rsid w:val="000B35B1"/>
    <w:rsid w:val="000B3E90"/>
    <w:rsid w:val="000B4EDA"/>
    <w:rsid w:val="000B4FD6"/>
    <w:rsid w:val="000B534C"/>
    <w:rsid w:val="000B58E2"/>
    <w:rsid w:val="000B602A"/>
    <w:rsid w:val="000B61BA"/>
    <w:rsid w:val="000B69EF"/>
    <w:rsid w:val="000B7188"/>
    <w:rsid w:val="000B788B"/>
    <w:rsid w:val="000B7AA4"/>
    <w:rsid w:val="000C00C1"/>
    <w:rsid w:val="000C00CF"/>
    <w:rsid w:val="000C0528"/>
    <w:rsid w:val="000C056A"/>
    <w:rsid w:val="000C09AC"/>
    <w:rsid w:val="000C10BC"/>
    <w:rsid w:val="000C128B"/>
    <w:rsid w:val="000C129A"/>
    <w:rsid w:val="000C1667"/>
    <w:rsid w:val="000C19DF"/>
    <w:rsid w:val="000C1A79"/>
    <w:rsid w:val="000C1BB0"/>
    <w:rsid w:val="000C2983"/>
    <w:rsid w:val="000C2AC2"/>
    <w:rsid w:val="000C2BFD"/>
    <w:rsid w:val="000C30EE"/>
    <w:rsid w:val="000C3DF0"/>
    <w:rsid w:val="000C3FDA"/>
    <w:rsid w:val="000C465D"/>
    <w:rsid w:val="000C47D6"/>
    <w:rsid w:val="000C4843"/>
    <w:rsid w:val="000C4D52"/>
    <w:rsid w:val="000C53E0"/>
    <w:rsid w:val="000C5506"/>
    <w:rsid w:val="000C55B6"/>
    <w:rsid w:val="000C609F"/>
    <w:rsid w:val="000C6657"/>
    <w:rsid w:val="000C68E8"/>
    <w:rsid w:val="000C6D56"/>
    <w:rsid w:val="000C7697"/>
    <w:rsid w:val="000C7890"/>
    <w:rsid w:val="000C7A18"/>
    <w:rsid w:val="000D03F4"/>
    <w:rsid w:val="000D12D3"/>
    <w:rsid w:val="000D13EB"/>
    <w:rsid w:val="000D2299"/>
    <w:rsid w:val="000D27E5"/>
    <w:rsid w:val="000D2B37"/>
    <w:rsid w:val="000D2B4F"/>
    <w:rsid w:val="000D2D9F"/>
    <w:rsid w:val="000D3847"/>
    <w:rsid w:val="000D41D3"/>
    <w:rsid w:val="000D467A"/>
    <w:rsid w:val="000D49DA"/>
    <w:rsid w:val="000D4A92"/>
    <w:rsid w:val="000D4E07"/>
    <w:rsid w:val="000D5209"/>
    <w:rsid w:val="000D5B95"/>
    <w:rsid w:val="000D6C59"/>
    <w:rsid w:val="000D6C9A"/>
    <w:rsid w:val="000D7892"/>
    <w:rsid w:val="000E0985"/>
    <w:rsid w:val="000E0A9E"/>
    <w:rsid w:val="000E0AA8"/>
    <w:rsid w:val="000E0B5B"/>
    <w:rsid w:val="000E1283"/>
    <w:rsid w:val="000E1BE0"/>
    <w:rsid w:val="000E1FCC"/>
    <w:rsid w:val="000E226B"/>
    <w:rsid w:val="000E24E9"/>
    <w:rsid w:val="000E256A"/>
    <w:rsid w:val="000E2C84"/>
    <w:rsid w:val="000E3081"/>
    <w:rsid w:val="000E39A5"/>
    <w:rsid w:val="000E3C4F"/>
    <w:rsid w:val="000E4638"/>
    <w:rsid w:val="000E469E"/>
    <w:rsid w:val="000E48B4"/>
    <w:rsid w:val="000E4E1D"/>
    <w:rsid w:val="000E4F2B"/>
    <w:rsid w:val="000E4F57"/>
    <w:rsid w:val="000E514E"/>
    <w:rsid w:val="000E5909"/>
    <w:rsid w:val="000E6E2C"/>
    <w:rsid w:val="000E6EF8"/>
    <w:rsid w:val="000E7C81"/>
    <w:rsid w:val="000F010C"/>
    <w:rsid w:val="000F07B5"/>
    <w:rsid w:val="000F0BFB"/>
    <w:rsid w:val="000F0C13"/>
    <w:rsid w:val="000F1033"/>
    <w:rsid w:val="000F18C8"/>
    <w:rsid w:val="000F1C1C"/>
    <w:rsid w:val="000F1F9C"/>
    <w:rsid w:val="000F20F9"/>
    <w:rsid w:val="000F28C2"/>
    <w:rsid w:val="000F2CF8"/>
    <w:rsid w:val="000F2FC8"/>
    <w:rsid w:val="000F31A3"/>
    <w:rsid w:val="000F39D7"/>
    <w:rsid w:val="000F4E33"/>
    <w:rsid w:val="000F4FF8"/>
    <w:rsid w:val="000F522F"/>
    <w:rsid w:val="000F74E5"/>
    <w:rsid w:val="000F763B"/>
    <w:rsid w:val="000F7FE0"/>
    <w:rsid w:val="001003DC"/>
    <w:rsid w:val="00100870"/>
    <w:rsid w:val="00100D55"/>
    <w:rsid w:val="00100D84"/>
    <w:rsid w:val="00100E5B"/>
    <w:rsid w:val="00100FC2"/>
    <w:rsid w:val="00101092"/>
    <w:rsid w:val="00101A2D"/>
    <w:rsid w:val="001024AF"/>
    <w:rsid w:val="001025E3"/>
    <w:rsid w:val="00102D25"/>
    <w:rsid w:val="00103126"/>
    <w:rsid w:val="001039D8"/>
    <w:rsid w:val="00103B4E"/>
    <w:rsid w:val="001040C1"/>
    <w:rsid w:val="001047B7"/>
    <w:rsid w:val="00104A68"/>
    <w:rsid w:val="00104AC9"/>
    <w:rsid w:val="001057D5"/>
    <w:rsid w:val="00105987"/>
    <w:rsid w:val="00105E26"/>
    <w:rsid w:val="00105E62"/>
    <w:rsid w:val="00105F9E"/>
    <w:rsid w:val="00106ACE"/>
    <w:rsid w:val="00106E28"/>
    <w:rsid w:val="0010763C"/>
    <w:rsid w:val="00110A18"/>
    <w:rsid w:val="00110DFA"/>
    <w:rsid w:val="001111CA"/>
    <w:rsid w:val="001111D5"/>
    <w:rsid w:val="001116C8"/>
    <w:rsid w:val="001116F8"/>
    <w:rsid w:val="00111DF7"/>
    <w:rsid w:val="00112656"/>
    <w:rsid w:val="00113A14"/>
    <w:rsid w:val="00113D67"/>
    <w:rsid w:val="00113F9C"/>
    <w:rsid w:val="00114506"/>
    <w:rsid w:val="0011472A"/>
    <w:rsid w:val="00114881"/>
    <w:rsid w:val="0011622F"/>
    <w:rsid w:val="0011637E"/>
    <w:rsid w:val="00116417"/>
    <w:rsid w:val="001166BB"/>
    <w:rsid w:val="001170EB"/>
    <w:rsid w:val="0011724C"/>
    <w:rsid w:val="00117315"/>
    <w:rsid w:val="001173AF"/>
    <w:rsid w:val="001173CF"/>
    <w:rsid w:val="0012064D"/>
    <w:rsid w:val="00120B46"/>
    <w:rsid w:val="00120B82"/>
    <w:rsid w:val="00121B51"/>
    <w:rsid w:val="00123557"/>
    <w:rsid w:val="00123ADC"/>
    <w:rsid w:val="00123B05"/>
    <w:rsid w:val="00123B0F"/>
    <w:rsid w:val="00123C6E"/>
    <w:rsid w:val="00123D0F"/>
    <w:rsid w:val="00123DC9"/>
    <w:rsid w:val="0012467E"/>
    <w:rsid w:val="001246B8"/>
    <w:rsid w:val="00124A6F"/>
    <w:rsid w:val="00125466"/>
    <w:rsid w:val="001254A6"/>
    <w:rsid w:val="00125962"/>
    <w:rsid w:val="00125A96"/>
    <w:rsid w:val="00125C9A"/>
    <w:rsid w:val="00125D8A"/>
    <w:rsid w:val="00125DC3"/>
    <w:rsid w:val="00125EEC"/>
    <w:rsid w:val="001262FA"/>
    <w:rsid w:val="0012682A"/>
    <w:rsid w:val="001268DC"/>
    <w:rsid w:val="001269B0"/>
    <w:rsid w:val="00126EDB"/>
    <w:rsid w:val="00126F43"/>
    <w:rsid w:val="00126FCF"/>
    <w:rsid w:val="00127260"/>
    <w:rsid w:val="00127770"/>
    <w:rsid w:val="00127A27"/>
    <w:rsid w:val="001319C7"/>
    <w:rsid w:val="001320C5"/>
    <w:rsid w:val="0013227E"/>
    <w:rsid w:val="00132589"/>
    <w:rsid w:val="00132F12"/>
    <w:rsid w:val="00133D0E"/>
    <w:rsid w:val="00133EBA"/>
    <w:rsid w:val="001347C5"/>
    <w:rsid w:val="00134F21"/>
    <w:rsid w:val="0013527D"/>
    <w:rsid w:val="001355DE"/>
    <w:rsid w:val="00136482"/>
    <w:rsid w:val="00136579"/>
    <w:rsid w:val="00136D90"/>
    <w:rsid w:val="00137379"/>
    <w:rsid w:val="00137676"/>
    <w:rsid w:val="00137A02"/>
    <w:rsid w:val="00137DB4"/>
    <w:rsid w:val="00140607"/>
    <w:rsid w:val="001407DC"/>
    <w:rsid w:val="00140DD7"/>
    <w:rsid w:val="001414D5"/>
    <w:rsid w:val="001416C1"/>
    <w:rsid w:val="001416E8"/>
    <w:rsid w:val="001417D4"/>
    <w:rsid w:val="00141AAD"/>
    <w:rsid w:val="00141C12"/>
    <w:rsid w:val="00141E11"/>
    <w:rsid w:val="00141EB2"/>
    <w:rsid w:val="00142331"/>
    <w:rsid w:val="001425DF"/>
    <w:rsid w:val="00142966"/>
    <w:rsid w:val="00142D1D"/>
    <w:rsid w:val="00143056"/>
    <w:rsid w:val="001431A7"/>
    <w:rsid w:val="00143A08"/>
    <w:rsid w:val="00144195"/>
    <w:rsid w:val="001442EC"/>
    <w:rsid w:val="0014433F"/>
    <w:rsid w:val="00144CA6"/>
    <w:rsid w:val="00144F8B"/>
    <w:rsid w:val="001452E8"/>
    <w:rsid w:val="0014556E"/>
    <w:rsid w:val="00145850"/>
    <w:rsid w:val="00145F47"/>
    <w:rsid w:val="00146D27"/>
    <w:rsid w:val="00146E91"/>
    <w:rsid w:val="00147716"/>
    <w:rsid w:val="0014780B"/>
    <w:rsid w:val="00147DBD"/>
    <w:rsid w:val="0015000A"/>
    <w:rsid w:val="0015009F"/>
    <w:rsid w:val="0015014B"/>
    <w:rsid w:val="00150B36"/>
    <w:rsid w:val="00150B63"/>
    <w:rsid w:val="00150B6B"/>
    <w:rsid w:val="001510FE"/>
    <w:rsid w:val="00151189"/>
    <w:rsid w:val="00151270"/>
    <w:rsid w:val="00151369"/>
    <w:rsid w:val="001513CD"/>
    <w:rsid w:val="001513D4"/>
    <w:rsid w:val="00151A2D"/>
    <w:rsid w:val="00152637"/>
    <w:rsid w:val="0015317C"/>
    <w:rsid w:val="001532E1"/>
    <w:rsid w:val="0015340A"/>
    <w:rsid w:val="00154820"/>
    <w:rsid w:val="001552A2"/>
    <w:rsid w:val="001555DC"/>
    <w:rsid w:val="00155715"/>
    <w:rsid w:val="00155A75"/>
    <w:rsid w:val="00155EF1"/>
    <w:rsid w:val="00156140"/>
    <w:rsid w:val="001564E2"/>
    <w:rsid w:val="0015708B"/>
    <w:rsid w:val="001574C1"/>
    <w:rsid w:val="001576C6"/>
    <w:rsid w:val="00157923"/>
    <w:rsid w:val="00157BDF"/>
    <w:rsid w:val="00157E56"/>
    <w:rsid w:val="00157F5A"/>
    <w:rsid w:val="00160497"/>
    <w:rsid w:val="00160AC7"/>
    <w:rsid w:val="00160FB6"/>
    <w:rsid w:val="001611BB"/>
    <w:rsid w:val="00161427"/>
    <w:rsid w:val="00161618"/>
    <w:rsid w:val="001616E1"/>
    <w:rsid w:val="0016184B"/>
    <w:rsid w:val="001618B9"/>
    <w:rsid w:val="0016192F"/>
    <w:rsid w:val="00161B58"/>
    <w:rsid w:val="00162A26"/>
    <w:rsid w:val="00163512"/>
    <w:rsid w:val="001635EC"/>
    <w:rsid w:val="0016398C"/>
    <w:rsid w:val="00163A47"/>
    <w:rsid w:val="00163AFD"/>
    <w:rsid w:val="00163DE5"/>
    <w:rsid w:val="00164844"/>
    <w:rsid w:val="00164C6C"/>
    <w:rsid w:val="00165152"/>
    <w:rsid w:val="00165C2B"/>
    <w:rsid w:val="001666FC"/>
    <w:rsid w:val="00166B63"/>
    <w:rsid w:val="001671AE"/>
    <w:rsid w:val="00170517"/>
    <w:rsid w:val="00170552"/>
    <w:rsid w:val="001706A6"/>
    <w:rsid w:val="001711A4"/>
    <w:rsid w:val="00171CF2"/>
    <w:rsid w:val="001723A7"/>
    <w:rsid w:val="0017258D"/>
    <w:rsid w:val="0017287B"/>
    <w:rsid w:val="001729FB"/>
    <w:rsid w:val="00172B6F"/>
    <w:rsid w:val="00172CFA"/>
    <w:rsid w:val="00172DC0"/>
    <w:rsid w:val="001731DE"/>
    <w:rsid w:val="001732C7"/>
    <w:rsid w:val="00173362"/>
    <w:rsid w:val="0017338B"/>
    <w:rsid w:val="0017403A"/>
    <w:rsid w:val="00174227"/>
    <w:rsid w:val="00174512"/>
    <w:rsid w:val="00174817"/>
    <w:rsid w:val="0017492D"/>
    <w:rsid w:val="001749A5"/>
    <w:rsid w:val="0017518E"/>
    <w:rsid w:val="00175CDB"/>
    <w:rsid w:val="00175DE6"/>
    <w:rsid w:val="001765EA"/>
    <w:rsid w:val="00176786"/>
    <w:rsid w:val="00176904"/>
    <w:rsid w:val="00176D28"/>
    <w:rsid w:val="00176D42"/>
    <w:rsid w:val="00176EC4"/>
    <w:rsid w:val="00177746"/>
    <w:rsid w:val="00177B75"/>
    <w:rsid w:val="00177B79"/>
    <w:rsid w:val="00177FA5"/>
    <w:rsid w:val="0018021B"/>
    <w:rsid w:val="001802B5"/>
    <w:rsid w:val="001811E7"/>
    <w:rsid w:val="001812D7"/>
    <w:rsid w:val="0018132F"/>
    <w:rsid w:val="00181F1C"/>
    <w:rsid w:val="00183D54"/>
    <w:rsid w:val="00183FBC"/>
    <w:rsid w:val="0018438A"/>
    <w:rsid w:val="0018494F"/>
    <w:rsid w:val="00184AE8"/>
    <w:rsid w:val="00184E44"/>
    <w:rsid w:val="00185DAD"/>
    <w:rsid w:val="001861A0"/>
    <w:rsid w:val="00186204"/>
    <w:rsid w:val="00186ACB"/>
    <w:rsid w:val="00186B27"/>
    <w:rsid w:val="00186B6A"/>
    <w:rsid w:val="00186F0F"/>
    <w:rsid w:val="00187035"/>
    <w:rsid w:val="00187D94"/>
    <w:rsid w:val="00187F9B"/>
    <w:rsid w:val="00190087"/>
    <w:rsid w:val="00191043"/>
    <w:rsid w:val="0019106D"/>
    <w:rsid w:val="0019190C"/>
    <w:rsid w:val="00191E93"/>
    <w:rsid w:val="00191FCD"/>
    <w:rsid w:val="001923ED"/>
    <w:rsid w:val="00192413"/>
    <w:rsid w:val="0019307D"/>
    <w:rsid w:val="00193E2A"/>
    <w:rsid w:val="00194DCE"/>
    <w:rsid w:val="00194E94"/>
    <w:rsid w:val="001951E2"/>
    <w:rsid w:val="00195950"/>
    <w:rsid w:val="0019598C"/>
    <w:rsid w:val="00195BED"/>
    <w:rsid w:val="001961CB"/>
    <w:rsid w:val="001964C9"/>
    <w:rsid w:val="00197371"/>
    <w:rsid w:val="001974A8"/>
    <w:rsid w:val="0019778E"/>
    <w:rsid w:val="0019792B"/>
    <w:rsid w:val="00197A75"/>
    <w:rsid w:val="001A0180"/>
    <w:rsid w:val="001A0351"/>
    <w:rsid w:val="001A0505"/>
    <w:rsid w:val="001A111E"/>
    <w:rsid w:val="001A1495"/>
    <w:rsid w:val="001A14E4"/>
    <w:rsid w:val="001A167F"/>
    <w:rsid w:val="001A2676"/>
    <w:rsid w:val="001A2F25"/>
    <w:rsid w:val="001A33A8"/>
    <w:rsid w:val="001A3865"/>
    <w:rsid w:val="001A4111"/>
    <w:rsid w:val="001A411D"/>
    <w:rsid w:val="001A4595"/>
    <w:rsid w:val="001A4624"/>
    <w:rsid w:val="001A46ED"/>
    <w:rsid w:val="001A4761"/>
    <w:rsid w:val="001A48E0"/>
    <w:rsid w:val="001A49E7"/>
    <w:rsid w:val="001A5169"/>
    <w:rsid w:val="001A5627"/>
    <w:rsid w:val="001A5CB1"/>
    <w:rsid w:val="001A5E03"/>
    <w:rsid w:val="001A5EA7"/>
    <w:rsid w:val="001A5EFB"/>
    <w:rsid w:val="001A60C2"/>
    <w:rsid w:val="001A6443"/>
    <w:rsid w:val="001A6610"/>
    <w:rsid w:val="001A78B4"/>
    <w:rsid w:val="001A7D45"/>
    <w:rsid w:val="001B02B6"/>
    <w:rsid w:val="001B0A4F"/>
    <w:rsid w:val="001B11E5"/>
    <w:rsid w:val="001B14C5"/>
    <w:rsid w:val="001B1BD3"/>
    <w:rsid w:val="001B1F4C"/>
    <w:rsid w:val="001B2469"/>
    <w:rsid w:val="001B2E45"/>
    <w:rsid w:val="001B359A"/>
    <w:rsid w:val="001B3A67"/>
    <w:rsid w:val="001B42F0"/>
    <w:rsid w:val="001B58C6"/>
    <w:rsid w:val="001B6045"/>
    <w:rsid w:val="001B60BF"/>
    <w:rsid w:val="001B6873"/>
    <w:rsid w:val="001B6B51"/>
    <w:rsid w:val="001B6C8F"/>
    <w:rsid w:val="001B6CAB"/>
    <w:rsid w:val="001B6CFC"/>
    <w:rsid w:val="001B70A2"/>
    <w:rsid w:val="001B72FA"/>
    <w:rsid w:val="001B73AE"/>
    <w:rsid w:val="001C034C"/>
    <w:rsid w:val="001C0706"/>
    <w:rsid w:val="001C0B2F"/>
    <w:rsid w:val="001C0F35"/>
    <w:rsid w:val="001C1080"/>
    <w:rsid w:val="001C1273"/>
    <w:rsid w:val="001C1E97"/>
    <w:rsid w:val="001C20F4"/>
    <w:rsid w:val="001C23E5"/>
    <w:rsid w:val="001C2593"/>
    <w:rsid w:val="001C2A20"/>
    <w:rsid w:val="001C3FB9"/>
    <w:rsid w:val="001C41DF"/>
    <w:rsid w:val="001C4566"/>
    <w:rsid w:val="001C481A"/>
    <w:rsid w:val="001C48B6"/>
    <w:rsid w:val="001C4A47"/>
    <w:rsid w:val="001C4B78"/>
    <w:rsid w:val="001C4B95"/>
    <w:rsid w:val="001C5B2B"/>
    <w:rsid w:val="001C6556"/>
    <w:rsid w:val="001C68CE"/>
    <w:rsid w:val="001C6983"/>
    <w:rsid w:val="001C6A11"/>
    <w:rsid w:val="001C6B4C"/>
    <w:rsid w:val="001C7486"/>
    <w:rsid w:val="001C76A2"/>
    <w:rsid w:val="001C7730"/>
    <w:rsid w:val="001D066B"/>
    <w:rsid w:val="001D07F8"/>
    <w:rsid w:val="001D0A03"/>
    <w:rsid w:val="001D0B63"/>
    <w:rsid w:val="001D10BA"/>
    <w:rsid w:val="001D1331"/>
    <w:rsid w:val="001D1669"/>
    <w:rsid w:val="001D2EAE"/>
    <w:rsid w:val="001D302C"/>
    <w:rsid w:val="001D3F20"/>
    <w:rsid w:val="001D4DBF"/>
    <w:rsid w:val="001D5D39"/>
    <w:rsid w:val="001D5DB7"/>
    <w:rsid w:val="001D5E75"/>
    <w:rsid w:val="001D60A5"/>
    <w:rsid w:val="001D610F"/>
    <w:rsid w:val="001D6673"/>
    <w:rsid w:val="001D67BA"/>
    <w:rsid w:val="001D68E0"/>
    <w:rsid w:val="001D763A"/>
    <w:rsid w:val="001D790D"/>
    <w:rsid w:val="001D7E23"/>
    <w:rsid w:val="001E02C2"/>
    <w:rsid w:val="001E087C"/>
    <w:rsid w:val="001E0C26"/>
    <w:rsid w:val="001E0EB7"/>
    <w:rsid w:val="001E1662"/>
    <w:rsid w:val="001E196A"/>
    <w:rsid w:val="001E1A6E"/>
    <w:rsid w:val="001E1CDD"/>
    <w:rsid w:val="001E1E56"/>
    <w:rsid w:val="001E21E4"/>
    <w:rsid w:val="001E2373"/>
    <w:rsid w:val="001E274A"/>
    <w:rsid w:val="001E28F1"/>
    <w:rsid w:val="001E2E18"/>
    <w:rsid w:val="001E3032"/>
    <w:rsid w:val="001E354F"/>
    <w:rsid w:val="001E3B2D"/>
    <w:rsid w:val="001E3BB3"/>
    <w:rsid w:val="001E40FB"/>
    <w:rsid w:val="001E425F"/>
    <w:rsid w:val="001E4768"/>
    <w:rsid w:val="001E4B80"/>
    <w:rsid w:val="001E4D16"/>
    <w:rsid w:val="001E4DC2"/>
    <w:rsid w:val="001E4F76"/>
    <w:rsid w:val="001E5819"/>
    <w:rsid w:val="001E5852"/>
    <w:rsid w:val="001E6518"/>
    <w:rsid w:val="001E68A3"/>
    <w:rsid w:val="001E6AF2"/>
    <w:rsid w:val="001E6C67"/>
    <w:rsid w:val="001E731C"/>
    <w:rsid w:val="001E7A58"/>
    <w:rsid w:val="001E7A9D"/>
    <w:rsid w:val="001E7AEF"/>
    <w:rsid w:val="001E7BC7"/>
    <w:rsid w:val="001E7DC9"/>
    <w:rsid w:val="001E7DFA"/>
    <w:rsid w:val="001E7EFC"/>
    <w:rsid w:val="001E7F0A"/>
    <w:rsid w:val="001F02C8"/>
    <w:rsid w:val="001F060C"/>
    <w:rsid w:val="001F11A0"/>
    <w:rsid w:val="001F161E"/>
    <w:rsid w:val="001F1848"/>
    <w:rsid w:val="001F19AB"/>
    <w:rsid w:val="001F1EAB"/>
    <w:rsid w:val="001F212D"/>
    <w:rsid w:val="001F2383"/>
    <w:rsid w:val="001F26C5"/>
    <w:rsid w:val="001F2CB4"/>
    <w:rsid w:val="001F31FB"/>
    <w:rsid w:val="001F36EA"/>
    <w:rsid w:val="001F3B43"/>
    <w:rsid w:val="001F4737"/>
    <w:rsid w:val="001F4B64"/>
    <w:rsid w:val="001F4BA5"/>
    <w:rsid w:val="001F4D36"/>
    <w:rsid w:val="001F5A8E"/>
    <w:rsid w:val="001F5C05"/>
    <w:rsid w:val="001F5C0A"/>
    <w:rsid w:val="001F600C"/>
    <w:rsid w:val="001F62C5"/>
    <w:rsid w:val="001F6446"/>
    <w:rsid w:val="001F6A6E"/>
    <w:rsid w:val="001F6D6C"/>
    <w:rsid w:val="001F6D89"/>
    <w:rsid w:val="001F75D3"/>
    <w:rsid w:val="00200533"/>
    <w:rsid w:val="002007FE"/>
    <w:rsid w:val="002008AF"/>
    <w:rsid w:val="002009EB"/>
    <w:rsid w:val="00200D77"/>
    <w:rsid w:val="00201391"/>
    <w:rsid w:val="00201D7C"/>
    <w:rsid w:val="00202B6F"/>
    <w:rsid w:val="00202EAD"/>
    <w:rsid w:val="00202F30"/>
    <w:rsid w:val="00203432"/>
    <w:rsid w:val="00203705"/>
    <w:rsid w:val="00203AB5"/>
    <w:rsid w:val="00203CD0"/>
    <w:rsid w:val="002041EB"/>
    <w:rsid w:val="00204414"/>
    <w:rsid w:val="002045BA"/>
    <w:rsid w:val="0020498D"/>
    <w:rsid w:val="00204A93"/>
    <w:rsid w:val="00204DEC"/>
    <w:rsid w:val="00205079"/>
    <w:rsid w:val="002051D6"/>
    <w:rsid w:val="00205202"/>
    <w:rsid w:val="00205F3D"/>
    <w:rsid w:val="002067F6"/>
    <w:rsid w:val="00206818"/>
    <w:rsid w:val="00206B0F"/>
    <w:rsid w:val="00206DED"/>
    <w:rsid w:val="00206E0C"/>
    <w:rsid w:val="002079E0"/>
    <w:rsid w:val="00207DD2"/>
    <w:rsid w:val="00210582"/>
    <w:rsid w:val="00210A68"/>
    <w:rsid w:val="00210D2D"/>
    <w:rsid w:val="00210EEA"/>
    <w:rsid w:val="00212272"/>
    <w:rsid w:val="0021279F"/>
    <w:rsid w:val="00212910"/>
    <w:rsid w:val="0021307B"/>
    <w:rsid w:val="0021323D"/>
    <w:rsid w:val="002134B5"/>
    <w:rsid w:val="00213585"/>
    <w:rsid w:val="00214574"/>
    <w:rsid w:val="0021478C"/>
    <w:rsid w:val="002153D2"/>
    <w:rsid w:val="0021558B"/>
    <w:rsid w:val="00216343"/>
    <w:rsid w:val="00216863"/>
    <w:rsid w:val="00216A8C"/>
    <w:rsid w:val="00216E05"/>
    <w:rsid w:val="002173A8"/>
    <w:rsid w:val="002174FD"/>
    <w:rsid w:val="002175F6"/>
    <w:rsid w:val="002179D9"/>
    <w:rsid w:val="00217A6A"/>
    <w:rsid w:val="00217D2A"/>
    <w:rsid w:val="00220AD1"/>
    <w:rsid w:val="002210FD"/>
    <w:rsid w:val="00221251"/>
    <w:rsid w:val="00221F2E"/>
    <w:rsid w:val="002224A4"/>
    <w:rsid w:val="002226CB"/>
    <w:rsid w:val="002229CC"/>
    <w:rsid w:val="00222E59"/>
    <w:rsid w:val="00223300"/>
    <w:rsid w:val="002239A0"/>
    <w:rsid w:val="00223B10"/>
    <w:rsid w:val="00223B74"/>
    <w:rsid w:val="00223E46"/>
    <w:rsid w:val="00223F41"/>
    <w:rsid w:val="002247D4"/>
    <w:rsid w:val="00224A14"/>
    <w:rsid w:val="00224FCF"/>
    <w:rsid w:val="00225127"/>
    <w:rsid w:val="002260C5"/>
    <w:rsid w:val="00226516"/>
    <w:rsid w:val="00226AE7"/>
    <w:rsid w:val="00227051"/>
    <w:rsid w:val="00227F1D"/>
    <w:rsid w:val="002302E0"/>
    <w:rsid w:val="0023039B"/>
    <w:rsid w:val="002306C1"/>
    <w:rsid w:val="00230C6C"/>
    <w:rsid w:val="00230E12"/>
    <w:rsid w:val="00232365"/>
    <w:rsid w:val="002324E7"/>
    <w:rsid w:val="002328FC"/>
    <w:rsid w:val="00232C04"/>
    <w:rsid w:val="00232FF0"/>
    <w:rsid w:val="0023306E"/>
    <w:rsid w:val="00233194"/>
    <w:rsid w:val="002334BB"/>
    <w:rsid w:val="00233779"/>
    <w:rsid w:val="002338B5"/>
    <w:rsid w:val="002339E1"/>
    <w:rsid w:val="00233E2C"/>
    <w:rsid w:val="00234A1E"/>
    <w:rsid w:val="00234A62"/>
    <w:rsid w:val="002351D1"/>
    <w:rsid w:val="00235626"/>
    <w:rsid w:val="00235BD3"/>
    <w:rsid w:val="00235D3E"/>
    <w:rsid w:val="002368F0"/>
    <w:rsid w:val="002369EB"/>
    <w:rsid w:val="00236C85"/>
    <w:rsid w:val="00237647"/>
    <w:rsid w:val="00237A83"/>
    <w:rsid w:val="00237FD5"/>
    <w:rsid w:val="00240065"/>
    <w:rsid w:val="00240467"/>
    <w:rsid w:val="002405CD"/>
    <w:rsid w:val="00240E11"/>
    <w:rsid w:val="00241126"/>
    <w:rsid w:val="002412FB"/>
    <w:rsid w:val="00241787"/>
    <w:rsid w:val="00241B57"/>
    <w:rsid w:val="00241E7E"/>
    <w:rsid w:val="002422FE"/>
    <w:rsid w:val="002425A9"/>
    <w:rsid w:val="00243567"/>
    <w:rsid w:val="002435C1"/>
    <w:rsid w:val="0024478D"/>
    <w:rsid w:val="002447EA"/>
    <w:rsid w:val="00244B0B"/>
    <w:rsid w:val="0024551B"/>
    <w:rsid w:val="0024596F"/>
    <w:rsid w:val="00245BB1"/>
    <w:rsid w:val="00245EC7"/>
    <w:rsid w:val="00246153"/>
    <w:rsid w:val="00246197"/>
    <w:rsid w:val="0024636A"/>
    <w:rsid w:val="0024663E"/>
    <w:rsid w:val="00246BC8"/>
    <w:rsid w:val="00246BDB"/>
    <w:rsid w:val="00246D3D"/>
    <w:rsid w:val="00246D83"/>
    <w:rsid w:val="00247263"/>
    <w:rsid w:val="002478B6"/>
    <w:rsid w:val="002479A0"/>
    <w:rsid w:val="00247E58"/>
    <w:rsid w:val="002500F2"/>
    <w:rsid w:val="00250211"/>
    <w:rsid w:val="002503CF"/>
    <w:rsid w:val="00250871"/>
    <w:rsid w:val="002508F4"/>
    <w:rsid w:val="002512CA"/>
    <w:rsid w:val="00251443"/>
    <w:rsid w:val="0025185F"/>
    <w:rsid w:val="0025190B"/>
    <w:rsid w:val="00251E4C"/>
    <w:rsid w:val="00252354"/>
    <w:rsid w:val="00252B5C"/>
    <w:rsid w:val="00252DEB"/>
    <w:rsid w:val="00252EAE"/>
    <w:rsid w:val="00253C11"/>
    <w:rsid w:val="00254134"/>
    <w:rsid w:val="0025464B"/>
    <w:rsid w:val="00254693"/>
    <w:rsid w:val="002546BA"/>
    <w:rsid w:val="002557C8"/>
    <w:rsid w:val="00255835"/>
    <w:rsid w:val="00255B7F"/>
    <w:rsid w:val="002567B2"/>
    <w:rsid w:val="002567F4"/>
    <w:rsid w:val="002567F6"/>
    <w:rsid w:val="00256853"/>
    <w:rsid w:val="00256916"/>
    <w:rsid w:val="00256EC5"/>
    <w:rsid w:val="00257408"/>
    <w:rsid w:val="002574E4"/>
    <w:rsid w:val="00257A0C"/>
    <w:rsid w:val="0026058C"/>
    <w:rsid w:val="00260714"/>
    <w:rsid w:val="00260C3C"/>
    <w:rsid w:val="00260F60"/>
    <w:rsid w:val="002612E5"/>
    <w:rsid w:val="00262279"/>
    <w:rsid w:val="0026240D"/>
    <w:rsid w:val="0026272A"/>
    <w:rsid w:val="00262C20"/>
    <w:rsid w:val="002642D5"/>
    <w:rsid w:val="0026517A"/>
    <w:rsid w:val="002651E7"/>
    <w:rsid w:val="002653CD"/>
    <w:rsid w:val="002654E4"/>
    <w:rsid w:val="00265514"/>
    <w:rsid w:val="00265D41"/>
    <w:rsid w:val="0026644E"/>
    <w:rsid w:val="002665EA"/>
    <w:rsid w:val="00266B5D"/>
    <w:rsid w:val="00266C4D"/>
    <w:rsid w:val="00267239"/>
    <w:rsid w:val="00267FEB"/>
    <w:rsid w:val="00270633"/>
    <w:rsid w:val="00270704"/>
    <w:rsid w:val="00271902"/>
    <w:rsid w:val="00271986"/>
    <w:rsid w:val="00271E7E"/>
    <w:rsid w:val="002720EC"/>
    <w:rsid w:val="00272AA3"/>
    <w:rsid w:val="002731A6"/>
    <w:rsid w:val="00273D11"/>
    <w:rsid w:val="002740CA"/>
    <w:rsid w:val="00275CDC"/>
    <w:rsid w:val="00276346"/>
    <w:rsid w:val="002769EB"/>
    <w:rsid w:val="00276ACC"/>
    <w:rsid w:val="00276AE8"/>
    <w:rsid w:val="00276CEF"/>
    <w:rsid w:val="00277B66"/>
    <w:rsid w:val="00277D40"/>
    <w:rsid w:val="00277E90"/>
    <w:rsid w:val="00280709"/>
    <w:rsid w:val="00280760"/>
    <w:rsid w:val="0028148A"/>
    <w:rsid w:val="00281905"/>
    <w:rsid w:val="002820DF"/>
    <w:rsid w:val="002824C6"/>
    <w:rsid w:val="00282882"/>
    <w:rsid w:val="00283675"/>
    <w:rsid w:val="00283A7D"/>
    <w:rsid w:val="00283D88"/>
    <w:rsid w:val="002841CB"/>
    <w:rsid w:val="002846C8"/>
    <w:rsid w:val="00284946"/>
    <w:rsid w:val="00285150"/>
    <w:rsid w:val="002854AC"/>
    <w:rsid w:val="002854BD"/>
    <w:rsid w:val="0028642C"/>
    <w:rsid w:val="00286448"/>
    <w:rsid w:val="00286BFD"/>
    <w:rsid w:val="00287193"/>
    <w:rsid w:val="0028798D"/>
    <w:rsid w:val="00287A7E"/>
    <w:rsid w:val="00290597"/>
    <w:rsid w:val="0029063F"/>
    <w:rsid w:val="00290E9F"/>
    <w:rsid w:val="002912B0"/>
    <w:rsid w:val="00291573"/>
    <w:rsid w:val="00291612"/>
    <w:rsid w:val="002921CA"/>
    <w:rsid w:val="002925A2"/>
    <w:rsid w:val="00292704"/>
    <w:rsid w:val="002927FD"/>
    <w:rsid w:val="00293313"/>
    <w:rsid w:val="0029342F"/>
    <w:rsid w:val="002938C1"/>
    <w:rsid w:val="00294495"/>
    <w:rsid w:val="00294BF2"/>
    <w:rsid w:val="00294ED0"/>
    <w:rsid w:val="0029559C"/>
    <w:rsid w:val="0029581B"/>
    <w:rsid w:val="002965A0"/>
    <w:rsid w:val="00296646"/>
    <w:rsid w:val="00296649"/>
    <w:rsid w:val="00296864"/>
    <w:rsid w:val="00296C6C"/>
    <w:rsid w:val="00296FEB"/>
    <w:rsid w:val="00297BDA"/>
    <w:rsid w:val="002A033B"/>
    <w:rsid w:val="002A0944"/>
    <w:rsid w:val="002A172A"/>
    <w:rsid w:val="002A1763"/>
    <w:rsid w:val="002A17AD"/>
    <w:rsid w:val="002A1A06"/>
    <w:rsid w:val="002A1E7E"/>
    <w:rsid w:val="002A27D8"/>
    <w:rsid w:val="002A2A01"/>
    <w:rsid w:val="002A2E45"/>
    <w:rsid w:val="002A312C"/>
    <w:rsid w:val="002A3923"/>
    <w:rsid w:val="002A3ADE"/>
    <w:rsid w:val="002A3BFE"/>
    <w:rsid w:val="002A4CA8"/>
    <w:rsid w:val="002A4EA5"/>
    <w:rsid w:val="002A55EC"/>
    <w:rsid w:val="002A573D"/>
    <w:rsid w:val="002A59AE"/>
    <w:rsid w:val="002A606C"/>
    <w:rsid w:val="002A6869"/>
    <w:rsid w:val="002A6AC3"/>
    <w:rsid w:val="002A6DE0"/>
    <w:rsid w:val="002A6F4B"/>
    <w:rsid w:val="002A703D"/>
    <w:rsid w:val="002A7649"/>
    <w:rsid w:val="002A7A82"/>
    <w:rsid w:val="002A7C5B"/>
    <w:rsid w:val="002B00EE"/>
    <w:rsid w:val="002B037F"/>
    <w:rsid w:val="002B0A21"/>
    <w:rsid w:val="002B0AAC"/>
    <w:rsid w:val="002B1044"/>
    <w:rsid w:val="002B2662"/>
    <w:rsid w:val="002B280F"/>
    <w:rsid w:val="002B29C4"/>
    <w:rsid w:val="002B2AA6"/>
    <w:rsid w:val="002B2D44"/>
    <w:rsid w:val="002B2DFE"/>
    <w:rsid w:val="002B301B"/>
    <w:rsid w:val="002B30F9"/>
    <w:rsid w:val="002B3C60"/>
    <w:rsid w:val="002B41CE"/>
    <w:rsid w:val="002B4542"/>
    <w:rsid w:val="002B46DC"/>
    <w:rsid w:val="002B4820"/>
    <w:rsid w:val="002B4A7D"/>
    <w:rsid w:val="002B614F"/>
    <w:rsid w:val="002B6E19"/>
    <w:rsid w:val="002B6F77"/>
    <w:rsid w:val="002B70AA"/>
    <w:rsid w:val="002C01D0"/>
    <w:rsid w:val="002C01FB"/>
    <w:rsid w:val="002C0206"/>
    <w:rsid w:val="002C0320"/>
    <w:rsid w:val="002C0A24"/>
    <w:rsid w:val="002C12BB"/>
    <w:rsid w:val="002C1E77"/>
    <w:rsid w:val="002C227F"/>
    <w:rsid w:val="002C2751"/>
    <w:rsid w:val="002C2C1B"/>
    <w:rsid w:val="002C2D2A"/>
    <w:rsid w:val="002C330D"/>
    <w:rsid w:val="002C37DE"/>
    <w:rsid w:val="002C3840"/>
    <w:rsid w:val="002C3D8E"/>
    <w:rsid w:val="002C4BD2"/>
    <w:rsid w:val="002C4F38"/>
    <w:rsid w:val="002C518A"/>
    <w:rsid w:val="002C5247"/>
    <w:rsid w:val="002C54CD"/>
    <w:rsid w:val="002C5C44"/>
    <w:rsid w:val="002C690D"/>
    <w:rsid w:val="002C6B28"/>
    <w:rsid w:val="002C6F95"/>
    <w:rsid w:val="002C780C"/>
    <w:rsid w:val="002D0929"/>
    <w:rsid w:val="002D124E"/>
    <w:rsid w:val="002D15AD"/>
    <w:rsid w:val="002D15F6"/>
    <w:rsid w:val="002D2049"/>
    <w:rsid w:val="002D213A"/>
    <w:rsid w:val="002D2F8D"/>
    <w:rsid w:val="002D36ED"/>
    <w:rsid w:val="002D386E"/>
    <w:rsid w:val="002D3FAA"/>
    <w:rsid w:val="002D48CF"/>
    <w:rsid w:val="002D4CFC"/>
    <w:rsid w:val="002D4F5D"/>
    <w:rsid w:val="002D522D"/>
    <w:rsid w:val="002D558B"/>
    <w:rsid w:val="002D5672"/>
    <w:rsid w:val="002D56E6"/>
    <w:rsid w:val="002D5A15"/>
    <w:rsid w:val="002D5AE6"/>
    <w:rsid w:val="002D62A5"/>
    <w:rsid w:val="002D6F26"/>
    <w:rsid w:val="002D7999"/>
    <w:rsid w:val="002D7BC3"/>
    <w:rsid w:val="002D7CB5"/>
    <w:rsid w:val="002D7FE0"/>
    <w:rsid w:val="002E08CB"/>
    <w:rsid w:val="002E091C"/>
    <w:rsid w:val="002E0ABD"/>
    <w:rsid w:val="002E0E60"/>
    <w:rsid w:val="002E0EC2"/>
    <w:rsid w:val="002E1205"/>
    <w:rsid w:val="002E1502"/>
    <w:rsid w:val="002E17B3"/>
    <w:rsid w:val="002E182A"/>
    <w:rsid w:val="002E1831"/>
    <w:rsid w:val="002E2592"/>
    <w:rsid w:val="002E2732"/>
    <w:rsid w:val="002E3BEC"/>
    <w:rsid w:val="002E3C69"/>
    <w:rsid w:val="002E4177"/>
    <w:rsid w:val="002E43F2"/>
    <w:rsid w:val="002E481B"/>
    <w:rsid w:val="002E54B6"/>
    <w:rsid w:val="002E566C"/>
    <w:rsid w:val="002E5B40"/>
    <w:rsid w:val="002E5E50"/>
    <w:rsid w:val="002E6F35"/>
    <w:rsid w:val="002E7147"/>
    <w:rsid w:val="002E74F1"/>
    <w:rsid w:val="002E76EE"/>
    <w:rsid w:val="002E7C53"/>
    <w:rsid w:val="002E7DCF"/>
    <w:rsid w:val="002F0003"/>
    <w:rsid w:val="002F0167"/>
    <w:rsid w:val="002F0723"/>
    <w:rsid w:val="002F0F18"/>
    <w:rsid w:val="002F123E"/>
    <w:rsid w:val="002F1715"/>
    <w:rsid w:val="002F1EC4"/>
    <w:rsid w:val="002F24D3"/>
    <w:rsid w:val="002F2B1E"/>
    <w:rsid w:val="002F41FA"/>
    <w:rsid w:val="002F442E"/>
    <w:rsid w:val="002F4A31"/>
    <w:rsid w:val="002F4DFC"/>
    <w:rsid w:val="002F5611"/>
    <w:rsid w:val="002F5A4C"/>
    <w:rsid w:val="002F5A65"/>
    <w:rsid w:val="002F5CBE"/>
    <w:rsid w:val="002F5D7A"/>
    <w:rsid w:val="002F6D6D"/>
    <w:rsid w:val="002F73E1"/>
    <w:rsid w:val="002F78AD"/>
    <w:rsid w:val="00300461"/>
    <w:rsid w:val="00300F3D"/>
    <w:rsid w:val="00300F6D"/>
    <w:rsid w:val="00301F68"/>
    <w:rsid w:val="0030265C"/>
    <w:rsid w:val="00302F5D"/>
    <w:rsid w:val="00303145"/>
    <w:rsid w:val="00303553"/>
    <w:rsid w:val="00303697"/>
    <w:rsid w:val="00303B71"/>
    <w:rsid w:val="00304456"/>
    <w:rsid w:val="0030459F"/>
    <w:rsid w:val="003052B4"/>
    <w:rsid w:val="0030578F"/>
    <w:rsid w:val="00305E72"/>
    <w:rsid w:val="003071AF"/>
    <w:rsid w:val="00307FA0"/>
    <w:rsid w:val="0031032A"/>
    <w:rsid w:val="00310B10"/>
    <w:rsid w:val="00310EBE"/>
    <w:rsid w:val="0031152E"/>
    <w:rsid w:val="00311555"/>
    <w:rsid w:val="00311A54"/>
    <w:rsid w:val="00312118"/>
    <w:rsid w:val="0031286B"/>
    <w:rsid w:val="00312D5F"/>
    <w:rsid w:val="0031350F"/>
    <w:rsid w:val="003135E8"/>
    <w:rsid w:val="00313C8B"/>
    <w:rsid w:val="00313D55"/>
    <w:rsid w:val="003144B5"/>
    <w:rsid w:val="0031491F"/>
    <w:rsid w:val="00314B47"/>
    <w:rsid w:val="00314B94"/>
    <w:rsid w:val="00314F8B"/>
    <w:rsid w:val="003153C6"/>
    <w:rsid w:val="00315665"/>
    <w:rsid w:val="003158BB"/>
    <w:rsid w:val="00315912"/>
    <w:rsid w:val="00315AB7"/>
    <w:rsid w:val="00315B10"/>
    <w:rsid w:val="003160EC"/>
    <w:rsid w:val="003163FE"/>
    <w:rsid w:val="00317B04"/>
    <w:rsid w:val="00317B48"/>
    <w:rsid w:val="00317CF2"/>
    <w:rsid w:val="00317D5A"/>
    <w:rsid w:val="003204F5"/>
    <w:rsid w:val="00320737"/>
    <w:rsid w:val="00320A18"/>
    <w:rsid w:val="00320A38"/>
    <w:rsid w:val="0032161D"/>
    <w:rsid w:val="0032166B"/>
    <w:rsid w:val="00321749"/>
    <w:rsid w:val="00321A10"/>
    <w:rsid w:val="00321D59"/>
    <w:rsid w:val="003222BB"/>
    <w:rsid w:val="0032237D"/>
    <w:rsid w:val="00322681"/>
    <w:rsid w:val="00322841"/>
    <w:rsid w:val="003228AA"/>
    <w:rsid w:val="00323416"/>
    <w:rsid w:val="00324094"/>
    <w:rsid w:val="003245D4"/>
    <w:rsid w:val="003246CF"/>
    <w:rsid w:val="003251AE"/>
    <w:rsid w:val="00325DF8"/>
    <w:rsid w:val="00326309"/>
    <w:rsid w:val="00326737"/>
    <w:rsid w:val="003267B1"/>
    <w:rsid w:val="00327067"/>
    <w:rsid w:val="003272F5"/>
    <w:rsid w:val="00327C8C"/>
    <w:rsid w:val="0033006C"/>
    <w:rsid w:val="003305C0"/>
    <w:rsid w:val="00331016"/>
    <w:rsid w:val="003310CC"/>
    <w:rsid w:val="0033141A"/>
    <w:rsid w:val="003319B7"/>
    <w:rsid w:val="00331B02"/>
    <w:rsid w:val="00332BC4"/>
    <w:rsid w:val="00333052"/>
    <w:rsid w:val="00333CAA"/>
    <w:rsid w:val="00333D89"/>
    <w:rsid w:val="003340C5"/>
    <w:rsid w:val="003342F1"/>
    <w:rsid w:val="00334323"/>
    <w:rsid w:val="00334CFC"/>
    <w:rsid w:val="00334F51"/>
    <w:rsid w:val="00335278"/>
    <w:rsid w:val="00335370"/>
    <w:rsid w:val="003358B5"/>
    <w:rsid w:val="0033599D"/>
    <w:rsid w:val="00335A03"/>
    <w:rsid w:val="00335BA5"/>
    <w:rsid w:val="00335D0F"/>
    <w:rsid w:val="00335F51"/>
    <w:rsid w:val="00336193"/>
    <w:rsid w:val="0033624F"/>
    <w:rsid w:val="003362A9"/>
    <w:rsid w:val="00336521"/>
    <w:rsid w:val="0033663F"/>
    <w:rsid w:val="00336665"/>
    <w:rsid w:val="00336EC7"/>
    <w:rsid w:val="00337430"/>
    <w:rsid w:val="0033777B"/>
    <w:rsid w:val="00337FBC"/>
    <w:rsid w:val="003401F6"/>
    <w:rsid w:val="0034078F"/>
    <w:rsid w:val="003407A7"/>
    <w:rsid w:val="003407C6"/>
    <w:rsid w:val="00340B58"/>
    <w:rsid w:val="0034143A"/>
    <w:rsid w:val="00341C3A"/>
    <w:rsid w:val="0034202E"/>
    <w:rsid w:val="0034220E"/>
    <w:rsid w:val="00342B5C"/>
    <w:rsid w:val="00342D00"/>
    <w:rsid w:val="00342D51"/>
    <w:rsid w:val="003435A6"/>
    <w:rsid w:val="00343603"/>
    <w:rsid w:val="00343798"/>
    <w:rsid w:val="00344680"/>
    <w:rsid w:val="0034568F"/>
    <w:rsid w:val="00345E0F"/>
    <w:rsid w:val="00345FC5"/>
    <w:rsid w:val="003468A6"/>
    <w:rsid w:val="00346C49"/>
    <w:rsid w:val="00346D59"/>
    <w:rsid w:val="00346EB7"/>
    <w:rsid w:val="003472C0"/>
    <w:rsid w:val="0034770D"/>
    <w:rsid w:val="00347915"/>
    <w:rsid w:val="00350539"/>
    <w:rsid w:val="00350B0E"/>
    <w:rsid w:val="00350B41"/>
    <w:rsid w:val="00350C13"/>
    <w:rsid w:val="00350DB9"/>
    <w:rsid w:val="003515CE"/>
    <w:rsid w:val="0035186E"/>
    <w:rsid w:val="0035191E"/>
    <w:rsid w:val="0035199C"/>
    <w:rsid w:val="00351CE9"/>
    <w:rsid w:val="003521F8"/>
    <w:rsid w:val="00352370"/>
    <w:rsid w:val="003529F0"/>
    <w:rsid w:val="00352D17"/>
    <w:rsid w:val="00352F2B"/>
    <w:rsid w:val="00352F74"/>
    <w:rsid w:val="00353010"/>
    <w:rsid w:val="003534D7"/>
    <w:rsid w:val="00353A89"/>
    <w:rsid w:val="00353B68"/>
    <w:rsid w:val="00354147"/>
    <w:rsid w:val="00354674"/>
    <w:rsid w:val="00354E67"/>
    <w:rsid w:val="00355208"/>
    <w:rsid w:val="00355344"/>
    <w:rsid w:val="00355B24"/>
    <w:rsid w:val="00355D38"/>
    <w:rsid w:val="00355DA8"/>
    <w:rsid w:val="003570F7"/>
    <w:rsid w:val="00360344"/>
    <w:rsid w:val="0036158C"/>
    <w:rsid w:val="00361B8B"/>
    <w:rsid w:val="00361C81"/>
    <w:rsid w:val="00361EF9"/>
    <w:rsid w:val="003621DC"/>
    <w:rsid w:val="00362465"/>
    <w:rsid w:val="003639AB"/>
    <w:rsid w:val="00363CFF"/>
    <w:rsid w:val="003645D6"/>
    <w:rsid w:val="003647BA"/>
    <w:rsid w:val="00364DC4"/>
    <w:rsid w:val="003653BA"/>
    <w:rsid w:val="003654B9"/>
    <w:rsid w:val="00365C8A"/>
    <w:rsid w:val="00366C7B"/>
    <w:rsid w:val="0036716A"/>
    <w:rsid w:val="00367595"/>
    <w:rsid w:val="003675C2"/>
    <w:rsid w:val="00367962"/>
    <w:rsid w:val="00370273"/>
    <w:rsid w:val="00370B1A"/>
    <w:rsid w:val="00370D1C"/>
    <w:rsid w:val="00370DD6"/>
    <w:rsid w:val="00371EE3"/>
    <w:rsid w:val="00371F52"/>
    <w:rsid w:val="00372123"/>
    <w:rsid w:val="0037219B"/>
    <w:rsid w:val="00372708"/>
    <w:rsid w:val="00373428"/>
    <w:rsid w:val="0037361C"/>
    <w:rsid w:val="00373D86"/>
    <w:rsid w:val="003750CE"/>
    <w:rsid w:val="0037516B"/>
    <w:rsid w:val="0037559C"/>
    <w:rsid w:val="003755A7"/>
    <w:rsid w:val="00375AC4"/>
    <w:rsid w:val="003762CF"/>
    <w:rsid w:val="00377279"/>
    <w:rsid w:val="0037735F"/>
    <w:rsid w:val="00377458"/>
    <w:rsid w:val="003778FC"/>
    <w:rsid w:val="0038072F"/>
    <w:rsid w:val="00380AEE"/>
    <w:rsid w:val="00380C9C"/>
    <w:rsid w:val="003811C9"/>
    <w:rsid w:val="00381BDC"/>
    <w:rsid w:val="00381FA6"/>
    <w:rsid w:val="00382121"/>
    <w:rsid w:val="00382B1F"/>
    <w:rsid w:val="00382BDE"/>
    <w:rsid w:val="00382C53"/>
    <w:rsid w:val="00382DE0"/>
    <w:rsid w:val="00383959"/>
    <w:rsid w:val="00383AC7"/>
    <w:rsid w:val="00383ED6"/>
    <w:rsid w:val="00384409"/>
    <w:rsid w:val="00384E6D"/>
    <w:rsid w:val="00385144"/>
    <w:rsid w:val="003855A9"/>
    <w:rsid w:val="00385747"/>
    <w:rsid w:val="00385E5C"/>
    <w:rsid w:val="00385E8C"/>
    <w:rsid w:val="00386072"/>
    <w:rsid w:val="003868B8"/>
    <w:rsid w:val="003868FC"/>
    <w:rsid w:val="0038699B"/>
    <w:rsid w:val="00386AF3"/>
    <w:rsid w:val="00386BA8"/>
    <w:rsid w:val="00386CD7"/>
    <w:rsid w:val="00386E7A"/>
    <w:rsid w:val="00387143"/>
    <w:rsid w:val="003872BA"/>
    <w:rsid w:val="00387C50"/>
    <w:rsid w:val="00387C7E"/>
    <w:rsid w:val="00387D27"/>
    <w:rsid w:val="0039023C"/>
    <w:rsid w:val="00390FC3"/>
    <w:rsid w:val="00391535"/>
    <w:rsid w:val="003918A6"/>
    <w:rsid w:val="00391D9A"/>
    <w:rsid w:val="00391E48"/>
    <w:rsid w:val="00391EC7"/>
    <w:rsid w:val="00392322"/>
    <w:rsid w:val="00392673"/>
    <w:rsid w:val="00392A2C"/>
    <w:rsid w:val="00393329"/>
    <w:rsid w:val="00393416"/>
    <w:rsid w:val="003934EA"/>
    <w:rsid w:val="00393CFA"/>
    <w:rsid w:val="00394475"/>
    <w:rsid w:val="003948B3"/>
    <w:rsid w:val="003948F4"/>
    <w:rsid w:val="00394E24"/>
    <w:rsid w:val="00395943"/>
    <w:rsid w:val="00395B1C"/>
    <w:rsid w:val="00395B47"/>
    <w:rsid w:val="00395C28"/>
    <w:rsid w:val="00395FCC"/>
    <w:rsid w:val="00396424"/>
    <w:rsid w:val="00397D3E"/>
    <w:rsid w:val="003A016D"/>
    <w:rsid w:val="003A04A7"/>
    <w:rsid w:val="003A055C"/>
    <w:rsid w:val="003A0CE3"/>
    <w:rsid w:val="003A1CC7"/>
    <w:rsid w:val="003A2181"/>
    <w:rsid w:val="003A2369"/>
    <w:rsid w:val="003A2584"/>
    <w:rsid w:val="003A29F6"/>
    <w:rsid w:val="003A2D16"/>
    <w:rsid w:val="003A2FB9"/>
    <w:rsid w:val="003A39F7"/>
    <w:rsid w:val="003A3E2E"/>
    <w:rsid w:val="003A41F7"/>
    <w:rsid w:val="003A4500"/>
    <w:rsid w:val="003A45FA"/>
    <w:rsid w:val="003A469F"/>
    <w:rsid w:val="003A5077"/>
    <w:rsid w:val="003A5814"/>
    <w:rsid w:val="003A5CD0"/>
    <w:rsid w:val="003A5F36"/>
    <w:rsid w:val="003A5F64"/>
    <w:rsid w:val="003A6E4D"/>
    <w:rsid w:val="003A71E1"/>
    <w:rsid w:val="003A74BF"/>
    <w:rsid w:val="003A75A6"/>
    <w:rsid w:val="003B03F3"/>
    <w:rsid w:val="003B07AF"/>
    <w:rsid w:val="003B0AC5"/>
    <w:rsid w:val="003B1D93"/>
    <w:rsid w:val="003B1F91"/>
    <w:rsid w:val="003B229C"/>
    <w:rsid w:val="003B2630"/>
    <w:rsid w:val="003B2803"/>
    <w:rsid w:val="003B36F8"/>
    <w:rsid w:val="003B387D"/>
    <w:rsid w:val="003B3949"/>
    <w:rsid w:val="003B4308"/>
    <w:rsid w:val="003B44CE"/>
    <w:rsid w:val="003B49D3"/>
    <w:rsid w:val="003B4AF4"/>
    <w:rsid w:val="003B4E3F"/>
    <w:rsid w:val="003B5359"/>
    <w:rsid w:val="003B5370"/>
    <w:rsid w:val="003B5A1B"/>
    <w:rsid w:val="003B61FE"/>
    <w:rsid w:val="003B65C7"/>
    <w:rsid w:val="003B6B55"/>
    <w:rsid w:val="003B6C61"/>
    <w:rsid w:val="003B6F1E"/>
    <w:rsid w:val="003B7761"/>
    <w:rsid w:val="003C0050"/>
    <w:rsid w:val="003C068B"/>
    <w:rsid w:val="003C109A"/>
    <w:rsid w:val="003C11D5"/>
    <w:rsid w:val="003C1764"/>
    <w:rsid w:val="003C1AB0"/>
    <w:rsid w:val="003C1CAF"/>
    <w:rsid w:val="003C224F"/>
    <w:rsid w:val="003C2D35"/>
    <w:rsid w:val="003C34D7"/>
    <w:rsid w:val="003C398D"/>
    <w:rsid w:val="003C4071"/>
    <w:rsid w:val="003C41FD"/>
    <w:rsid w:val="003C43F5"/>
    <w:rsid w:val="003C4D79"/>
    <w:rsid w:val="003C5624"/>
    <w:rsid w:val="003C5D9A"/>
    <w:rsid w:val="003C62E1"/>
    <w:rsid w:val="003C63E7"/>
    <w:rsid w:val="003C6EE7"/>
    <w:rsid w:val="003C718A"/>
    <w:rsid w:val="003C722B"/>
    <w:rsid w:val="003C725A"/>
    <w:rsid w:val="003C7748"/>
    <w:rsid w:val="003C791D"/>
    <w:rsid w:val="003C7B3C"/>
    <w:rsid w:val="003D13B2"/>
    <w:rsid w:val="003D13D8"/>
    <w:rsid w:val="003D286D"/>
    <w:rsid w:val="003D2DE9"/>
    <w:rsid w:val="003D2E13"/>
    <w:rsid w:val="003D3958"/>
    <w:rsid w:val="003D397A"/>
    <w:rsid w:val="003D4ABB"/>
    <w:rsid w:val="003D4DCA"/>
    <w:rsid w:val="003D51F4"/>
    <w:rsid w:val="003D56CE"/>
    <w:rsid w:val="003D5FCA"/>
    <w:rsid w:val="003D64F1"/>
    <w:rsid w:val="003D7C54"/>
    <w:rsid w:val="003D7D15"/>
    <w:rsid w:val="003E01B9"/>
    <w:rsid w:val="003E0BD9"/>
    <w:rsid w:val="003E0F9B"/>
    <w:rsid w:val="003E16AA"/>
    <w:rsid w:val="003E17FE"/>
    <w:rsid w:val="003E1A57"/>
    <w:rsid w:val="003E1E48"/>
    <w:rsid w:val="003E1F30"/>
    <w:rsid w:val="003E1F8C"/>
    <w:rsid w:val="003E3278"/>
    <w:rsid w:val="003E3784"/>
    <w:rsid w:val="003E3B74"/>
    <w:rsid w:val="003E4737"/>
    <w:rsid w:val="003E4F78"/>
    <w:rsid w:val="003E550B"/>
    <w:rsid w:val="003E5868"/>
    <w:rsid w:val="003E65BC"/>
    <w:rsid w:val="003E682A"/>
    <w:rsid w:val="003E7212"/>
    <w:rsid w:val="003E7900"/>
    <w:rsid w:val="003E7CD9"/>
    <w:rsid w:val="003F00DC"/>
    <w:rsid w:val="003F0357"/>
    <w:rsid w:val="003F0623"/>
    <w:rsid w:val="003F0E8B"/>
    <w:rsid w:val="003F1AB9"/>
    <w:rsid w:val="003F1D31"/>
    <w:rsid w:val="003F1E9C"/>
    <w:rsid w:val="003F1FA1"/>
    <w:rsid w:val="003F3209"/>
    <w:rsid w:val="003F3B81"/>
    <w:rsid w:val="003F3FCF"/>
    <w:rsid w:val="003F3FE5"/>
    <w:rsid w:val="003F42C4"/>
    <w:rsid w:val="003F4450"/>
    <w:rsid w:val="003F4D5E"/>
    <w:rsid w:val="003F4E2B"/>
    <w:rsid w:val="003F52A5"/>
    <w:rsid w:val="003F575C"/>
    <w:rsid w:val="003F5A7E"/>
    <w:rsid w:val="003F5A8A"/>
    <w:rsid w:val="003F5A9A"/>
    <w:rsid w:val="003F5B2C"/>
    <w:rsid w:val="003F5E4A"/>
    <w:rsid w:val="003F65D2"/>
    <w:rsid w:val="003F664A"/>
    <w:rsid w:val="003F6887"/>
    <w:rsid w:val="003F6A0D"/>
    <w:rsid w:val="003F6C8C"/>
    <w:rsid w:val="003F6EE7"/>
    <w:rsid w:val="003F6FA4"/>
    <w:rsid w:val="003F7191"/>
    <w:rsid w:val="003F73F8"/>
    <w:rsid w:val="003F766F"/>
    <w:rsid w:val="003F787B"/>
    <w:rsid w:val="003F7981"/>
    <w:rsid w:val="003F7B74"/>
    <w:rsid w:val="0040024A"/>
    <w:rsid w:val="00400321"/>
    <w:rsid w:val="00400379"/>
    <w:rsid w:val="00400CEF"/>
    <w:rsid w:val="00401073"/>
    <w:rsid w:val="004015EC"/>
    <w:rsid w:val="00401657"/>
    <w:rsid w:val="00401713"/>
    <w:rsid w:val="00401A40"/>
    <w:rsid w:val="00402504"/>
    <w:rsid w:val="00402DA1"/>
    <w:rsid w:val="00403542"/>
    <w:rsid w:val="0040363E"/>
    <w:rsid w:val="00403E07"/>
    <w:rsid w:val="00404588"/>
    <w:rsid w:val="00404C6F"/>
    <w:rsid w:val="00404EE6"/>
    <w:rsid w:val="00404EFA"/>
    <w:rsid w:val="00405613"/>
    <w:rsid w:val="004056A8"/>
    <w:rsid w:val="004057D4"/>
    <w:rsid w:val="00405855"/>
    <w:rsid w:val="00406DBA"/>
    <w:rsid w:val="004070C4"/>
    <w:rsid w:val="0040765D"/>
    <w:rsid w:val="00407BA7"/>
    <w:rsid w:val="00407CDA"/>
    <w:rsid w:val="004102E0"/>
    <w:rsid w:val="004107EB"/>
    <w:rsid w:val="00410E52"/>
    <w:rsid w:val="00410EF5"/>
    <w:rsid w:val="004111BE"/>
    <w:rsid w:val="00411A67"/>
    <w:rsid w:val="00411E52"/>
    <w:rsid w:val="00412862"/>
    <w:rsid w:val="00412C3F"/>
    <w:rsid w:val="004130F4"/>
    <w:rsid w:val="004130F7"/>
    <w:rsid w:val="0041321A"/>
    <w:rsid w:val="004137F8"/>
    <w:rsid w:val="004139A4"/>
    <w:rsid w:val="004139B2"/>
    <w:rsid w:val="00413ACC"/>
    <w:rsid w:val="00413C24"/>
    <w:rsid w:val="00413CAB"/>
    <w:rsid w:val="00413DE8"/>
    <w:rsid w:val="00414A02"/>
    <w:rsid w:val="00414FD0"/>
    <w:rsid w:val="004151FD"/>
    <w:rsid w:val="004153AA"/>
    <w:rsid w:val="004156B4"/>
    <w:rsid w:val="00416039"/>
    <w:rsid w:val="004161E7"/>
    <w:rsid w:val="004164E0"/>
    <w:rsid w:val="0041651C"/>
    <w:rsid w:val="00416A20"/>
    <w:rsid w:val="00416E73"/>
    <w:rsid w:val="00416FCA"/>
    <w:rsid w:val="00416FEE"/>
    <w:rsid w:val="004178E1"/>
    <w:rsid w:val="00417ECF"/>
    <w:rsid w:val="0042018A"/>
    <w:rsid w:val="004201E1"/>
    <w:rsid w:val="004208CF"/>
    <w:rsid w:val="00420C95"/>
    <w:rsid w:val="00420D86"/>
    <w:rsid w:val="00420F78"/>
    <w:rsid w:val="00421113"/>
    <w:rsid w:val="00421520"/>
    <w:rsid w:val="004219BA"/>
    <w:rsid w:val="004220F7"/>
    <w:rsid w:val="00422309"/>
    <w:rsid w:val="00422A27"/>
    <w:rsid w:val="00422CE3"/>
    <w:rsid w:val="00422D7D"/>
    <w:rsid w:val="00422E99"/>
    <w:rsid w:val="00422EC6"/>
    <w:rsid w:val="00422F9B"/>
    <w:rsid w:val="004231F3"/>
    <w:rsid w:val="004234C8"/>
    <w:rsid w:val="004238CF"/>
    <w:rsid w:val="00424A85"/>
    <w:rsid w:val="00424AD7"/>
    <w:rsid w:val="00424C47"/>
    <w:rsid w:val="00424C4A"/>
    <w:rsid w:val="00424E8A"/>
    <w:rsid w:val="00425101"/>
    <w:rsid w:val="00425251"/>
    <w:rsid w:val="0042547D"/>
    <w:rsid w:val="004254C9"/>
    <w:rsid w:val="00425665"/>
    <w:rsid w:val="00425881"/>
    <w:rsid w:val="00425A45"/>
    <w:rsid w:val="00425CAE"/>
    <w:rsid w:val="00425DF7"/>
    <w:rsid w:val="00425FFB"/>
    <w:rsid w:val="0042608B"/>
    <w:rsid w:val="00426B18"/>
    <w:rsid w:val="00426D39"/>
    <w:rsid w:val="00426E35"/>
    <w:rsid w:val="00426E69"/>
    <w:rsid w:val="00426F78"/>
    <w:rsid w:val="004273D4"/>
    <w:rsid w:val="004276F0"/>
    <w:rsid w:val="00427AE8"/>
    <w:rsid w:val="00427D92"/>
    <w:rsid w:val="004301BE"/>
    <w:rsid w:val="00430862"/>
    <w:rsid w:val="00430E44"/>
    <w:rsid w:val="004311FB"/>
    <w:rsid w:val="00432914"/>
    <w:rsid w:val="00432B0D"/>
    <w:rsid w:val="00432D41"/>
    <w:rsid w:val="0043313E"/>
    <w:rsid w:val="00433D98"/>
    <w:rsid w:val="00433E6F"/>
    <w:rsid w:val="00433E74"/>
    <w:rsid w:val="00434204"/>
    <w:rsid w:val="00434768"/>
    <w:rsid w:val="004347C7"/>
    <w:rsid w:val="00434A20"/>
    <w:rsid w:val="004354B1"/>
    <w:rsid w:val="00435B67"/>
    <w:rsid w:val="00435C2B"/>
    <w:rsid w:val="00436749"/>
    <w:rsid w:val="004369E0"/>
    <w:rsid w:val="00436A33"/>
    <w:rsid w:val="00436B8D"/>
    <w:rsid w:val="0043732A"/>
    <w:rsid w:val="00437863"/>
    <w:rsid w:val="00437B56"/>
    <w:rsid w:val="00437F68"/>
    <w:rsid w:val="0044037A"/>
    <w:rsid w:val="004406F8"/>
    <w:rsid w:val="004408A0"/>
    <w:rsid w:val="00440B25"/>
    <w:rsid w:val="00441FA0"/>
    <w:rsid w:val="00442232"/>
    <w:rsid w:val="0044260A"/>
    <w:rsid w:val="00442F4B"/>
    <w:rsid w:val="00443CC4"/>
    <w:rsid w:val="00443E05"/>
    <w:rsid w:val="00444011"/>
    <w:rsid w:val="00444052"/>
    <w:rsid w:val="004442B8"/>
    <w:rsid w:val="00444999"/>
    <w:rsid w:val="00445129"/>
    <w:rsid w:val="00445F65"/>
    <w:rsid w:val="00446088"/>
    <w:rsid w:val="0044621E"/>
    <w:rsid w:val="00446724"/>
    <w:rsid w:val="00447393"/>
    <w:rsid w:val="00447C70"/>
    <w:rsid w:val="00450002"/>
    <w:rsid w:val="00452485"/>
    <w:rsid w:val="004529FD"/>
    <w:rsid w:val="00452A89"/>
    <w:rsid w:val="00452E69"/>
    <w:rsid w:val="004531C3"/>
    <w:rsid w:val="00453615"/>
    <w:rsid w:val="00453897"/>
    <w:rsid w:val="00453CF3"/>
    <w:rsid w:val="00453CFC"/>
    <w:rsid w:val="00454C04"/>
    <w:rsid w:val="00454D84"/>
    <w:rsid w:val="004553CE"/>
    <w:rsid w:val="004555C1"/>
    <w:rsid w:val="0045582A"/>
    <w:rsid w:val="00455C0C"/>
    <w:rsid w:val="00455EFA"/>
    <w:rsid w:val="004560C4"/>
    <w:rsid w:val="00456F1F"/>
    <w:rsid w:val="00457A1E"/>
    <w:rsid w:val="00457D70"/>
    <w:rsid w:val="00457F83"/>
    <w:rsid w:val="00460153"/>
    <w:rsid w:val="00460197"/>
    <w:rsid w:val="0046050D"/>
    <w:rsid w:val="004606E5"/>
    <w:rsid w:val="00460C9D"/>
    <w:rsid w:val="00461573"/>
    <w:rsid w:val="00461813"/>
    <w:rsid w:val="00461D9F"/>
    <w:rsid w:val="00461EC9"/>
    <w:rsid w:val="004627F1"/>
    <w:rsid w:val="0046285E"/>
    <w:rsid w:val="00462C6B"/>
    <w:rsid w:val="004630EE"/>
    <w:rsid w:val="0046350D"/>
    <w:rsid w:val="004639EF"/>
    <w:rsid w:val="00463EDB"/>
    <w:rsid w:val="0046425D"/>
    <w:rsid w:val="00464881"/>
    <w:rsid w:val="00464932"/>
    <w:rsid w:val="0046497A"/>
    <w:rsid w:val="00464F8A"/>
    <w:rsid w:val="0046574A"/>
    <w:rsid w:val="00465D43"/>
    <w:rsid w:val="00465EBA"/>
    <w:rsid w:val="00465F7F"/>
    <w:rsid w:val="00466302"/>
    <w:rsid w:val="00466316"/>
    <w:rsid w:val="0046639B"/>
    <w:rsid w:val="00466673"/>
    <w:rsid w:val="0047026D"/>
    <w:rsid w:val="0047122D"/>
    <w:rsid w:val="004713F9"/>
    <w:rsid w:val="00471473"/>
    <w:rsid w:val="004716EC"/>
    <w:rsid w:val="00471BB4"/>
    <w:rsid w:val="00471C73"/>
    <w:rsid w:val="00471D51"/>
    <w:rsid w:val="0047207C"/>
    <w:rsid w:val="004728EF"/>
    <w:rsid w:val="00472C70"/>
    <w:rsid w:val="00473494"/>
    <w:rsid w:val="00473785"/>
    <w:rsid w:val="00473A61"/>
    <w:rsid w:val="00473B5D"/>
    <w:rsid w:val="00473B7C"/>
    <w:rsid w:val="0047414D"/>
    <w:rsid w:val="00474F38"/>
    <w:rsid w:val="004756E1"/>
    <w:rsid w:val="004759AB"/>
    <w:rsid w:val="00475DB5"/>
    <w:rsid w:val="004764AD"/>
    <w:rsid w:val="00476658"/>
    <w:rsid w:val="004768A6"/>
    <w:rsid w:val="00476A9F"/>
    <w:rsid w:val="00477434"/>
    <w:rsid w:val="004803F5"/>
    <w:rsid w:val="004807CB"/>
    <w:rsid w:val="00480B98"/>
    <w:rsid w:val="00480D18"/>
    <w:rsid w:val="0048124B"/>
    <w:rsid w:val="00481487"/>
    <w:rsid w:val="00481D96"/>
    <w:rsid w:val="004821EA"/>
    <w:rsid w:val="00482591"/>
    <w:rsid w:val="00482A7D"/>
    <w:rsid w:val="00482E59"/>
    <w:rsid w:val="004845CB"/>
    <w:rsid w:val="00484665"/>
    <w:rsid w:val="004846B8"/>
    <w:rsid w:val="00484D7A"/>
    <w:rsid w:val="00484E08"/>
    <w:rsid w:val="00485FDA"/>
    <w:rsid w:val="00486581"/>
    <w:rsid w:val="00486F2D"/>
    <w:rsid w:val="00487121"/>
    <w:rsid w:val="004872BC"/>
    <w:rsid w:val="004875A3"/>
    <w:rsid w:val="004876CC"/>
    <w:rsid w:val="004877B0"/>
    <w:rsid w:val="00490836"/>
    <w:rsid w:val="00490AA2"/>
    <w:rsid w:val="00490D2E"/>
    <w:rsid w:val="00490DE2"/>
    <w:rsid w:val="00490F66"/>
    <w:rsid w:val="00491301"/>
    <w:rsid w:val="004915EF"/>
    <w:rsid w:val="0049160F"/>
    <w:rsid w:val="0049172A"/>
    <w:rsid w:val="00491B35"/>
    <w:rsid w:val="00491E83"/>
    <w:rsid w:val="00492455"/>
    <w:rsid w:val="00492642"/>
    <w:rsid w:val="00492668"/>
    <w:rsid w:val="0049278B"/>
    <w:rsid w:val="00492912"/>
    <w:rsid w:val="00492B87"/>
    <w:rsid w:val="00493199"/>
    <w:rsid w:val="004936E0"/>
    <w:rsid w:val="004937F6"/>
    <w:rsid w:val="00493D8D"/>
    <w:rsid w:val="0049486B"/>
    <w:rsid w:val="00494F85"/>
    <w:rsid w:val="00495319"/>
    <w:rsid w:val="004959EF"/>
    <w:rsid w:val="00495AED"/>
    <w:rsid w:val="00496908"/>
    <w:rsid w:val="00496EDC"/>
    <w:rsid w:val="00496F5F"/>
    <w:rsid w:val="0049764F"/>
    <w:rsid w:val="004A0105"/>
    <w:rsid w:val="004A1CBB"/>
    <w:rsid w:val="004A1CDB"/>
    <w:rsid w:val="004A227B"/>
    <w:rsid w:val="004A2842"/>
    <w:rsid w:val="004A2899"/>
    <w:rsid w:val="004A2B0E"/>
    <w:rsid w:val="004A2C06"/>
    <w:rsid w:val="004A3356"/>
    <w:rsid w:val="004A34A6"/>
    <w:rsid w:val="004A37E4"/>
    <w:rsid w:val="004A3940"/>
    <w:rsid w:val="004A3F2B"/>
    <w:rsid w:val="004A42A2"/>
    <w:rsid w:val="004A42D9"/>
    <w:rsid w:val="004A4757"/>
    <w:rsid w:val="004A49B4"/>
    <w:rsid w:val="004A4FC2"/>
    <w:rsid w:val="004A501B"/>
    <w:rsid w:val="004A5214"/>
    <w:rsid w:val="004A55A8"/>
    <w:rsid w:val="004A5A64"/>
    <w:rsid w:val="004A5B4D"/>
    <w:rsid w:val="004A6480"/>
    <w:rsid w:val="004A64A8"/>
    <w:rsid w:val="004A6C8F"/>
    <w:rsid w:val="004A734B"/>
    <w:rsid w:val="004A7B15"/>
    <w:rsid w:val="004A7C37"/>
    <w:rsid w:val="004B0006"/>
    <w:rsid w:val="004B02D1"/>
    <w:rsid w:val="004B031C"/>
    <w:rsid w:val="004B035C"/>
    <w:rsid w:val="004B05F0"/>
    <w:rsid w:val="004B07E8"/>
    <w:rsid w:val="004B0D8F"/>
    <w:rsid w:val="004B0DEE"/>
    <w:rsid w:val="004B1111"/>
    <w:rsid w:val="004B19F1"/>
    <w:rsid w:val="004B1A35"/>
    <w:rsid w:val="004B2B56"/>
    <w:rsid w:val="004B319B"/>
    <w:rsid w:val="004B32AE"/>
    <w:rsid w:val="004B3439"/>
    <w:rsid w:val="004B3F00"/>
    <w:rsid w:val="004B44C4"/>
    <w:rsid w:val="004B4F3D"/>
    <w:rsid w:val="004B4FBB"/>
    <w:rsid w:val="004B4FE1"/>
    <w:rsid w:val="004B50D4"/>
    <w:rsid w:val="004B693F"/>
    <w:rsid w:val="004B6B52"/>
    <w:rsid w:val="004B6B8D"/>
    <w:rsid w:val="004B7170"/>
    <w:rsid w:val="004B72A0"/>
    <w:rsid w:val="004B76EF"/>
    <w:rsid w:val="004B7C1C"/>
    <w:rsid w:val="004B7CFB"/>
    <w:rsid w:val="004B7D50"/>
    <w:rsid w:val="004C0192"/>
    <w:rsid w:val="004C02E7"/>
    <w:rsid w:val="004C12CC"/>
    <w:rsid w:val="004C17F1"/>
    <w:rsid w:val="004C19CA"/>
    <w:rsid w:val="004C1F90"/>
    <w:rsid w:val="004C3101"/>
    <w:rsid w:val="004C3ECA"/>
    <w:rsid w:val="004C47CC"/>
    <w:rsid w:val="004C5201"/>
    <w:rsid w:val="004C535A"/>
    <w:rsid w:val="004C5483"/>
    <w:rsid w:val="004C573E"/>
    <w:rsid w:val="004C5F7E"/>
    <w:rsid w:val="004C5FC5"/>
    <w:rsid w:val="004C63FF"/>
    <w:rsid w:val="004C68D3"/>
    <w:rsid w:val="004C6E6E"/>
    <w:rsid w:val="004C7352"/>
    <w:rsid w:val="004C756D"/>
    <w:rsid w:val="004C78D5"/>
    <w:rsid w:val="004D028C"/>
    <w:rsid w:val="004D06F6"/>
    <w:rsid w:val="004D080E"/>
    <w:rsid w:val="004D0E78"/>
    <w:rsid w:val="004D108C"/>
    <w:rsid w:val="004D14C5"/>
    <w:rsid w:val="004D1BE5"/>
    <w:rsid w:val="004D1D66"/>
    <w:rsid w:val="004D1DA7"/>
    <w:rsid w:val="004D289C"/>
    <w:rsid w:val="004D2CCD"/>
    <w:rsid w:val="004D3151"/>
    <w:rsid w:val="004D3155"/>
    <w:rsid w:val="004D375E"/>
    <w:rsid w:val="004D3C81"/>
    <w:rsid w:val="004D3E72"/>
    <w:rsid w:val="004D453B"/>
    <w:rsid w:val="004D48FE"/>
    <w:rsid w:val="004D4E06"/>
    <w:rsid w:val="004D5102"/>
    <w:rsid w:val="004D5546"/>
    <w:rsid w:val="004D5C24"/>
    <w:rsid w:val="004D5D97"/>
    <w:rsid w:val="004D6206"/>
    <w:rsid w:val="004D6839"/>
    <w:rsid w:val="004D6A7F"/>
    <w:rsid w:val="004D6DCF"/>
    <w:rsid w:val="004D739E"/>
    <w:rsid w:val="004D77D5"/>
    <w:rsid w:val="004D7884"/>
    <w:rsid w:val="004D7CD8"/>
    <w:rsid w:val="004D7D25"/>
    <w:rsid w:val="004E0181"/>
    <w:rsid w:val="004E01BC"/>
    <w:rsid w:val="004E0301"/>
    <w:rsid w:val="004E0D14"/>
    <w:rsid w:val="004E100B"/>
    <w:rsid w:val="004E1304"/>
    <w:rsid w:val="004E1D3C"/>
    <w:rsid w:val="004E1E7C"/>
    <w:rsid w:val="004E202B"/>
    <w:rsid w:val="004E20E0"/>
    <w:rsid w:val="004E22EF"/>
    <w:rsid w:val="004E27AD"/>
    <w:rsid w:val="004E3933"/>
    <w:rsid w:val="004E3BAC"/>
    <w:rsid w:val="004E3C55"/>
    <w:rsid w:val="004E3D91"/>
    <w:rsid w:val="004E4149"/>
    <w:rsid w:val="004E48DC"/>
    <w:rsid w:val="004E4941"/>
    <w:rsid w:val="004E4B34"/>
    <w:rsid w:val="004E4BCB"/>
    <w:rsid w:val="004E5096"/>
    <w:rsid w:val="004E6216"/>
    <w:rsid w:val="004E662F"/>
    <w:rsid w:val="004E7012"/>
    <w:rsid w:val="004E7115"/>
    <w:rsid w:val="004E7C5F"/>
    <w:rsid w:val="004E7F31"/>
    <w:rsid w:val="004F019F"/>
    <w:rsid w:val="004F03DC"/>
    <w:rsid w:val="004F098D"/>
    <w:rsid w:val="004F0C6E"/>
    <w:rsid w:val="004F23A4"/>
    <w:rsid w:val="004F2706"/>
    <w:rsid w:val="004F2CF3"/>
    <w:rsid w:val="004F3968"/>
    <w:rsid w:val="004F3DEA"/>
    <w:rsid w:val="004F48BD"/>
    <w:rsid w:val="004F48D6"/>
    <w:rsid w:val="004F4AE3"/>
    <w:rsid w:val="004F4EED"/>
    <w:rsid w:val="004F5206"/>
    <w:rsid w:val="004F53F1"/>
    <w:rsid w:val="004F578F"/>
    <w:rsid w:val="004F57D0"/>
    <w:rsid w:val="004F588A"/>
    <w:rsid w:val="004F5956"/>
    <w:rsid w:val="004F5A30"/>
    <w:rsid w:val="004F5CC1"/>
    <w:rsid w:val="004F5E7B"/>
    <w:rsid w:val="004F60BC"/>
    <w:rsid w:val="004F69CA"/>
    <w:rsid w:val="004F72CD"/>
    <w:rsid w:val="004F740D"/>
    <w:rsid w:val="004F77C6"/>
    <w:rsid w:val="0050080C"/>
    <w:rsid w:val="00500AC1"/>
    <w:rsid w:val="00500D58"/>
    <w:rsid w:val="0050174E"/>
    <w:rsid w:val="005019F8"/>
    <w:rsid w:val="00501BF5"/>
    <w:rsid w:val="00501CDF"/>
    <w:rsid w:val="00501FC3"/>
    <w:rsid w:val="00502925"/>
    <w:rsid w:val="00502DC8"/>
    <w:rsid w:val="0050309D"/>
    <w:rsid w:val="005032F8"/>
    <w:rsid w:val="00503AD6"/>
    <w:rsid w:val="005040C7"/>
    <w:rsid w:val="0050461D"/>
    <w:rsid w:val="00504938"/>
    <w:rsid w:val="00505581"/>
    <w:rsid w:val="005055B3"/>
    <w:rsid w:val="005059F3"/>
    <w:rsid w:val="00506142"/>
    <w:rsid w:val="0050646D"/>
    <w:rsid w:val="0050672F"/>
    <w:rsid w:val="005068AB"/>
    <w:rsid w:val="00507222"/>
    <w:rsid w:val="0050777A"/>
    <w:rsid w:val="0050783C"/>
    <w:rsid w:val="00507B17"/>
    <w:rsid w:val="0051080B"/>
    <w:rsid w:val="00510934"/>
    <w:rsid w:val="005112DD"/>
    <w:rsid w:val="005114EA"/>
    <w:rsid w:val="00511689"/>
    <w:rsid w:val="005120A7"/>
    <w:rsid w:val="00512132"/>
    <w:rsid w:val="005127C0"/>
    <w:rsid w:val="005134D6"/>
    <w:rsid w:val="0051366D"/>
    <w:rsid w:val="00513C4D"/>
    <w:rsid w:val="00513E09"/>
    <w:rsid w:val="00514537"/>
    <w:rsid w:val="005145A5"/>
    <w:rsid w:val="0051472E"/>
    <w:rsid w:val="0051513C"/>
    <w:rsid w:val="00515A43"/>
    <w:rsid w:val="00515EA5"/>
    <w:rsid w:val="00516714"/>
    <w:rsid w:val="0051717F"/>
    <w:rsid w:val="005171AA"/>
    <w:rsid w:val="005174B8"/>
    <w:rsid w:val="005179BA"/>
    <w:rsid w:val="00520D9A"/>
    <w:rsid w:val="00521315"/>
    <w:rsid w:val="005225A1"/>
    <w:rsid w:val="0052290C"/>
    <w:rsid w:val="00522DB9"/>
    <w:rsid w:val="0052378C"/>
    <w:rsid w:val="005237EA"/>
    <w:rsid w:val="00523EDD"/>
    <w:rsid w:val="00524AAF"/>
    <w:rsid w:val="00524B1E"/>
    <w:rsid w:val="00524E45"/>
    <w:rsid w:val="0052523D"/>
    <w:rsid w:val="00525367"/>
    <w:rsid w:val="0052543A"/>
    <w:rsid w:val="005260FA"/>
    <w:rsid w:val="005264CA"/>
    <w:rsid w:val="00527019"/>
    <w:rsid w:val="00527A45"/>
    <w:rsid w:val="00527D96"/>
    <w:rsid w:val="00530030"/>
    <w:rsid w:val="005302BA"/>
    <w:rsid w:val="005309EC"/>
    <w:rsid w:val="00530EA8"/>
    <w:rsid w:val="0053152C"/>
    <w:rsid w:val="005321EA"/>
    <w:rsid w:val="00532614"/>
    <w:rsid w:val="005326D8"/>
    <w:rsid w:val="00532A45"/>
    <w:rsid w:val="00532F03"/>
    <w:rsid w:val="0053356F"/>
    <w:rsid w:val="00533B52"/>
    <w:rsid w:val="00533B77"/>
    <w:rsid w:val="005340F3"/>
    <w:rsid w:val="0053478B"/>
    <w:rsid w:val="005347C6"/>
    <w:rsid w:val="00534F90"/>
    <w:rsid w:val="00535406"/>
    <w:rsid w:val="0053565F"/>
    <w:rsid w:val="00536A24"/>
    <w:rsid w:val="00536AE6"/>
    <w:rsid w:val="00536D41"/>
    <w:rsid w:val="00540D81"/>
    <w:rsid w:val="00540E4F"/>
    <w:rsid w:val="005418E8"/>
    <w:rsid w:val="00542004"/>
    <w:rsid w:val="005434E9"/>
    <w:rsid w:val="00544A6C"/>
    <w:rsid w:val="00544D69"/>
    <w:rsid w:val="005454F4"/>
    <w:rsid w:val="00545671"/>
    <w:rsid w:val="00545907"/>
    <w:rsid w:val="0054616E"/>
    <w:rsid w:val="0054646E"/>
    <w:rsid w:val="00546DAE"/>
    <w:rsid w:val="005474A8"/>
    <w:rsid w:val="005477E1"/>
    <w:rsid w:val="00547EAE"/>
    <w:rsid w:val="00550838"/>
    <w:rsid w:val="00550FA8"/>
    <w:rsid w:val="005512C1"/>
    <w:rsid w:val="00551622"/>
    <w:rsid w:val="00551BEC"/>
    <w:rsid w:val="00551FC8"/>
    <w:rsid w:val="00552750"/>
    <w:rsid w:val="00552870"/>
    <w:rsid w:val="00552E40"/>
    <w:rsid w:val="005531D1"/>
    <w:rsid w:val="0055323A"/>
    <w:rsid w:val="00553278"/>
    <w:rsid w:val="00553372"/>
    <w:rsid w:val="0055355E"/>
    <w:rsid w:val="005536C6"/>
    <w:rsid w:val="00553DDB"/>
    <w:rsid w:val="00554340"/>
    <w:rsid w:val="0055454A"/>
    <w:rsid w:val="00554773"/>
    <w:rsid w:val="005553B1"/>
    <w:rsid w:val="00555517"/>
    <w:rsid w:val="0055552C"/>
    <w:rsid w:val="00555671"/>
    <w:rsid w:val="0055576E"/>
    <w:rsid w:val="00555A08"/>
    <w:rsid w:val="00555C06"/>
    <w:rsid w:val="00555E25"/>
    <w:rsid w:val="005567E3"/>
    <w:rsid w:val="00556907"/>
    <w:rsid w:val="00556F39"/>
    <w:rsid w:val="00557422"/>
    <w:rsid w:val="00557712"/>
    <w:rsid w:val="005578E3"/>
    <w:rsid w:val="0056051B"/>
    <w:rsid w:val="0056088F"/>
    <w:rsid w:val="00561035"/>
    <w:rsid w:val="0056117C"/>
    <w:rsid w:val="0056119A"/>
    <w:rsid w:val="00561B3B"/>
    <w:rsid w:val="00561BA7"/>
    <w:rsid w:val="00561D45"/>
    <w:rsid w:val="00562D53"/>
    <w:rsid w:val="0056323B"/>
    <w:rsid w:val="005634E2"/>
    <w:rsid w:val="0056350F"/>
    <w:rsid w:val="005639E9"/>
    <w:rsid w:val="00564755"/>
    <w:rsid w:val="00564E9F"/>
    <w:rsid w:val="00565A2B"/>
    <w:rsid w:val="00565B37"/>
    <w:rsid w:val="00566275"/>
    <w:rsid w:val="005666C7"/>
    <w:rsid w:val="00566A0E"/>
    <w:rsid w:val="00566FE0"/>
    <w:rsid w:val="0056701C"/>
    <w:rsid w:val="005677C4"/>
    <w:rsid w:val="00570242"/>
    <w:rsid w:val="0057159C"/>
    <w:rsid w:val="005718DD"/>
    <w:rsid w:val="005718FC"/>
    <w:rsid w:val="00571A0D"/>
    <w:rsid w:val="00572556"/>
    <w:rsid w:val="0057309B"/>
    <w:rsid w:val="00573443"/>
    <w:rsid w:val="00573529"/>
    <w:rsid w:val="00573A44"/>
    <w:rsid w:val="00573B4A"/>
    <w:rsid w:val="00573D42"/>
    <w:rsid w:val="00574E1B"/>
    <w:rsid w:val="00574E1E"/>
    <w:rsid w:val="0057517C"/>
    <w:rsid w:val="005757BF"/>
    <w:rsid w:val="00576633"/>
    <w:rsid w:val="00576FFD"/>
    <w:rsid w:val="0057722D"/>
    <w:rsid w:val="00577306"/>
    <w:rsid w:val="005775EF"/>
    <w:rsid w:val="0057770B"/>
    <w:rsid w:val="005802B8"/>
    <w:rsid w:val="00580562"/>
    <w:rsid w:val="00580FEE"/>
    <w:rsid w:val="005816D7"/>
    <w:rsid w:val="00581A3D"/>
    <w:rsid w:val="00581D23"/>
    <w:rsid w:val="00581ED8"/>
    <w:rsid w:val="005822F5"/>
    <w:rsid w:val="005827A7"/>
    <w:rsid w:val="005827E1"/>
    <w:rsid w:val="0058290F"/>
    <w:rsid w:val="005829FC"/>
    <w:rsid w:val="00583EA9"/>
    <w:rsid w:val="0058464A"/>
    <w:rsid w:val="00584B60"/>
    <w:rsid w:val="00584C4F"/>
    <w:rsid w:val="005851E1"/>
    <w:rsid w:val="00585362"/>
    <w:rsid w:val="00585E7D"/>
    <w:rsid w:val="00585FC4"/>
    <w:rsid w:val="00586096"/>
    <w:rsid w:val="00586BA6"/>
    <w:rsid w:val="00587484"/>
    <w:rsid w:val="0058757F"/>
    <w:rsid w:val="00587587"/>
    <w:rsid w:val="00591597"/>
    <w:rsid w:val="00591905"/>
    <w:rsid w:val="00591C3E"/>
    <w:rsid w:val="00591EFD"/>
    <w:rsid w:val="00591F54"/>
    <w:rsid w:val="00592043"/>
    <w:rsid w:val="0059205E"/>
    <w:rsid w:val="005920A7"/>
    <w:rsid w:val="005922B9"/>
    <w:rsid w:val="00592812"/>
    <w:rsid w:val="005933E2"/>
    <w:rsid w:val="005945E5"/>
    <w:rsid w:val="00594B66"/>
    <w:rsid w:val="00594CBE"/>
    <w:rsid w:val="005950C3"/>
    <w:rsid w:val="0059541F"/>
    <w:rsid w:val="00595F01"/>
    <w:rsid w:val="0059614F"/>
    <w:rsid w:val="0059633D"/>
    <w:rsid w:val="005966B9"/>
    <w:rsid w:val="005967AA"/>
    <w:rsid w:val="005968D4"/>
    <w:rsid w:val="00596A0F"/>
    <w:rsid w:val="00596F29"/>
    <w:rsid w:val="005971E4"/>
    <w:rsid w:val="005A122B"/>
    <w:rsid w:val="005A1E22"/>
    <w:rsid w:val="005A2341"/>
    <w:rsid w:val="005A2AD9"/>
    <w:rsid w:val="005A2BDC"/>
    <w:rsid w:val="005A31AE"/>
    <w:rsid w:val="005A3528"/>
    <w:rsid w:val="005A3B44"/>
    <w:rsid w:val="005A3E3C"/>
    <w:rsid w:val="005A3ED2"/>
    <w:rsid w:val="005A4106"/>
    <w:rsid w:val="005A47AE"/>
    <w:rsid w:val="005A4C18"/>
    <w:rsid w:val="005A52CA"/>
    <w:rsid w:val="005A54D7"/>
    <w:rsid w:val="005A552C"/>
    <w:rsid w:val="005A63C6"/>
    <w:rsid w:val="005A65C5"/>
    <w:rsid w:val="005A745A"/>
    <w:rsid w:val="005A7B52"/>
    <w:rsid w:val="005B0767"/>
    <w:rsid w:val="005B0932"/>
    <w:rsid w:val="005B0E51"/>
    <w:rsid w:val="005B1497"/>
    <w:rsid w:val="005B14DA"/>
    <w:rsid w:val="005B2BB0"/>
    <w:rsid w:val="005B2E6A"/>
    <w:rsid w:val="005B34DB"/>
    <w:rsid w:val="005B359A"/>
    <w:rsid w:val="005B3832"/>
    <w:rsid w:val="005B39DE"/>
    <w:rsid w:val="005B3B13"/>
    <w:rsid w:val="005B3E64"/>
    <w:rsid w:val="005B3E94"/>
    <w:rsid w:val="005B4212"/>
    <w:rsid w:val="005B5308"/>
    <w:rsid w:val="005B55BC"/>
    <w:rsid w:val="005B5EFB"/>
    <w:rsid w:val="005B64AD"/>
    <w:rsid w:val="005B6842"/>
    <w:rsid w:val="005B6B2E"/>
    <w:rsid w:val="005B6BCD"/>
    <w:rsid w:val="005B6ECD"/>
    <w:rsid w:val="005C0304"/>
    <w:rsid w:val="005C0431"/>
    <w:rsid w:val="005C04A4"/>
    <w:rsid w:val="005C0FFD"/>
    <w:rsid w:val="005C1D8E"/>
    <w:rsid w:val="005C206D"/>
    <w:rsid w:val="005C2593"/>
    <w:rsid w:val="005C2CC4"/>
    <w:rsid w:val="005C30DD"/>
    <w:rsid w:val="005C31E8"/>
    <w:rsid w:val="005C3FFE"/>
    <w:rsid w:val="005C45F2"/>
    <w:rsid w:val="005C4BFB"/>
    <w:rsid w:val="005C547E"/>
    <w:rsid w:val="005C56D2"/>
    <w:rsid w:val="005C5D1C"/>
    <w:rsid w:val="005C610B"/>
    <w:rsid w:val="005C640D"/>
    <w:rsid w:val="005C64DD"/>
    <w:rsid w:val="005C6A01"/>
    <w:rsid w:val="005C6E4F"/>
    <w:rsid w:val="005C6F48"/>
    <w:rsid w:val="005C7085"/>
    <w:rsid w:val="005C7B0C"/>
    <w:rsid w:val="005D10E6"/>
    <w:rsid w:val="005D11FF"/>
    <w:rsid w:val="005D1595"/>
    <w:rsid w:val="005D188B"/>
    <w:rsid w:val="005D1A4A"/>
    <w:rsid w:val="005D1B98"/>
    <w:rsid w:val="005D2A95"/>
    <w:rsid w:val="005D2E4E"/>
    <w:rsid w:val="005D2E50"/>
    <w:rsid w:val="005D36B3"/>
    <w:rsid w:val="005D38C2"/>
    <w:rsid w:val="005D494F"/>
    <w:rsid w:val="005D4979"/>
    <w:rsid w:val="005D4C38"/>
    <w:rsid w:val="005D53FC"/>
    <w:rsid w:val="005D577A"/>
    <w:rsid w:val="005D5929"/>
    <w:rsid w:val="005D59DC"/>
    <w:rsid w:val="005D5ACF"/>
    <w:rsid w:val="005D68F5"/>
    <w:rsid w:val="005D6C98"/>
    <w:rsid w:val="005D716E"/>
    <w:rsid w:val="005D72F5"/>
    <w:rsid w:val="005D748B"/>
    <w:rsid w:val="005D79D7"/>
    <w:rsid w:val="005D7A98"/>
    <w:rsid w:val="005D7F7C"/>
    <w:rsid w:val="005E0304"/>
    <w:rsid w:val="005E035E"/>
    <w:rsid w:val="005E0CB3"/>
    <w:rsid w:val="005E0CF4"/>
    <w:rsid w:val="005E1402"/>
    <w:rsid w:val="005E19C8"/>
    <w:rsid w:val="005E1F86"/>
    <w:rsid w:val="005E2310"/>
    <w:rsid w:val="005E2327"/>
    <w:rsid w:val="005E339A"/>
    <w:rsid w:val="005E3D83"/>
    <w:rsid w:val="005E40C3"/>
    <w:rsid w:val="005E494E"/>
    <w:rsid w:val="005E4AAF"/>
    <w:rsid w:val="005E5012"/>
    <w:rsid w:val="005E50DF"/>
    <w:rsid w:val="005E53B9"/>
    <w:rsid w:val="005E591F"/>
    <w:rsid w:val="005E5C68"/>
    <w:rsid w:val="005E6C8C"/>
    <w:rsid w:val="005E6D28"/>
    <w:rsid w:val="005E7470"/>
    <w:rsid w:val="005E7689"/>
    <w:rsid w:val="005E7DC0"/>
    <w:rsid w:val="005F001B"/>
    <w:rsid w:val="005F0072"/>
    <w:rsid w:val="005F013F"/>
    <w:rsid w:val="005F0166"/>
    <w:rsid w:val="005F04BB"/>
    <w:rsid w:val="005F064C"/>
    <w:rsid w:val="005F183B"/>
    <w:rsid w:val="005F1891"/>
    <w:rsid w:val="005F214A"/>
    <w:rsid w:val="005F26F5"/>
    <w:rsid w:val="005F26FE"/>
    <w:rsid w:val="005F2BEB"/>
    <w:rsid w:val="005F316B"/>
    <w:rsid w:val="005F35BB"/>
    <w:rsid w:val="005F3B78"/>
    <w:rsid w:val="005F3C25"/>
    <w:rsid w:val="005F3CE1"/>
    <w:rsid w:val="005F3E90"/>
    <w:rsid w:val="005F4273"/>
    <w:rsid w:val="005F48D8"/>
    <w:rsid w:val="005F4D5F"/>
    <w:rsid w:val="005F5642"/>
    <w:rsid w:val="005F5F04"/>
    <w:rsid w:val="005F5F26"/>
    <w:rsid w:val="005F70AE"/>
    <w:rsid w:val="005F7662"/>
    <w:rsid w:val="005F7B64"/>
    <w:rsid w:val="005F7FC7"/>
    <w:rsid w:val="0060012D"/>
    <w:rsid w:val="0060049A"/>
    <w:rsid w:val="006006D6"/>
    <w:rsid w:val="006009F6"/>
    <w:rsid w:val="00601126"/>
    <w:rsid w:val="0060157B"/>
    <w:rsid w:val="0060187E"/>
    <w:rsid w:val="00601AD2"/>
    <w:rsid w:val="00601D3F"/>
    <w:rsid w:val="00602209"/>
    <w:rsid w:val="00603D2B"/>
    <w:rsid w:val="00604581"/>
    <w:rsid w:val="006049D4"/>
    <w:rsid w:val="00604FBF"/>
    <w:rsid w:val="00605139"/>
    <w:rsid w:val="00605550"/>
    <w:rsid w:val="00605569"/>
    <w:rsid w:val="00605749"/>
    <w:rsid w:val="0060585B"/>
    <w:rsid w:val="006058F7"/>
    <w:rsid w:val="00605F81"/>
    <w:rsid w:val="00606EB7"/>
    <w:rsid w:val="00607095"/>
    <w:rsid w:val="00607416"/>
    <w:rsid w:val="0060762C"/>
    <w:rsid w:val="006076B4"/>
    <w:rsid w:val="00607DE9"/>
    <w:rsid w:val="00610653"/>
    <w:rsid w:val="00610845"/>
    <w:rsid w:val="006111E9"/>
    <w:rsid w:val="0061159D"/>
    <w:rsid w:val="006116C6"/>
    <w:rsid w:val="00611A78"/>
    <w:rsid w:val="006122D2"/>
    <w:rsid w:val="00612804"/>
    <w:rsid w:val="00613042"/>
    <w:rsid w:val="00613C22"/>
    <w:rsid w:val="0061418D"/>
    <w:rsid w:val="0061452D"/>
    <w:rsid w:val="00614DB0"/>
    <w:rsid w:val="00615042"/>
    <w:rsid w:val="006154A2"/>
    <w:rsid w:val="006155EE"/>
    <w:rsid w:val="00615A97"/>
    <w:rsid w:val="00615D24"/>
    <w:rsid w:val="00615D6F"/>
    <w:rsid w:val="00615FD0"/>
    <w:rsid w:val="00616C16"/>
    <w:rsid w:val="00616FB2"/>
    <w:rsid w:val="006173FD"/>
    <w:rsid w:val="006175A5"/>
    <w:rsid w:val="00617D4E"/>
    <w:rsid w:val="00617EEE"/>
    <w:rsid w:val="00617FF2"/>
    <w:rsid w:val="00620455"/>
    <w:rsid w:val="00620FD4"/>
    <w:rsid w:val="006213BE"/>
    <w:rsid w:val="006216BB"/>
    <w:rsid w:val="00621900"/>
    <w:rsid w:val="00622680"/>
    <w:rsid w:val="0062296A"/>
    <w:rsid w:val="00622CDC"/>
    <w:rsid w:val="00622F1F"/>
    <w:rsid w:val="006235DE"/>
    <w:rsid w:val="00623C82"/>
    <w:rsid w:val="00624437"/>
    <w:rsid w:val="006245EC"/>
    <w:rsid w:val="00624A14"/>
    <w:rsid w:val="00624DB7"/>
    <w:rsid w:val="00625490"/>
    <w:rsid w:val="00625875"/>
    <w:rsid w:val="00625DAD"/>
    <w:rsid w:val="00625DEA"/>
    <w:rsid w:val="00625E1A"/>
    <w:rsid w:val="00626133"/>
    <w:rsid w:val="00626938"/>
    <w:rsid w:val="00627256"/>
    <w:rsid w:val="00627380"/>
    <w:rsid w:val="006277E1"/>
    <w:rsid w:val="006306BF"/>
    <w:rsid w:val="00630869"/>
    <w:rsid w:val="0063087C"/>
    <w:rsid w:val="00630AAC"/>
    <w:rsid w:val="0063135E"/>
    <w:rsid w:val="00631387"/>
    <w:rsid w:val="00631D53"/>
    <w:rsid w:val="00632394"/>
    <w:rsid w:val="00632747"/>
    <w:rsid w:val="006328DB"/>
    <w:rsid w:val="0063327C"/>
    <w:rsid w:val="0063359C"/>
    <w:rsid w:val="00633CDC"/>
    <w:rsid w:val="006345A2"/>
    <w:rsid w:val="006346F1"/>
    <w:rsid w:val="00634C2A"/>
    <w:rsid w:val="00634D3D"/>
    <w:rsid w:val="006350D1"/>
    <w:rsid w:val="006362DD"/>
    <w:rsid w:val="00636C40"/>
    <w:rsid w:val="00636DC3"/>
    <w:rsid w:val="0063715E"/>
    <w:rsid w:val="00637638"/>
    <w:rsid w:val="00637671"/>
    <w:rsid w:val="006401F1"/>
    <w:rsid w:val="006409EF"/>
    <w:rsid w:val="00640DC6"/>
    <w:rsid w:val="006414A1"/>
    <w:rsid w:val="00641501"/>
    <w:rsid w:val="006418E9"/>
    <w:rsid w:val="00641983"/>
    <w:rsid w:val="00641A62"/>
    <w:rsid w:val="00641D3B"/>
    <w:rsid w:val="00642340"/>
    <w:rsid w:val="0064275E"/>
    <w:rsid w:val="006438D1"/>
    <w:rsid w:val="006444FF"/>
    <w:rsid w:val="00644A53"/>
    <w:rsid w:val="00644A6C"/>
    <w:rsid w:val="00644F4B"/>
    <w:rsid w:val="006458A2"/>
    <w:rsid w:val="00646055"/>
    <w:rsid w:val="00646946"/>
    <w:rsid w:val="00647115"/>
    <w:rsid w:val="00647647"/>
    <w:rsid w:val="00647689"/>
    <w:rsid w:val="0065060C"/>
    <w:rsid w:val="006510FF"/>
    <w:rsid w:val="006511D7"/>
    <w:rsid w:val="00651AD6"/>
    <w:rsid w:val="00651EED"/>
    <w:rsid w:val="00652009"/>
    <w:rsid w:val="0065200C"/>
    <w:rsid w:val="006525F2"/>
    <w:rsid w:val="00654587"/>
    <w:rsid w:val="00654976"/>
    <w:rsid w:val="00654A74"/>
    <w:rsid w:val="00654CC9"/>
    <w:rsid w:val="00654F41"/>
    <w:rsid w:val="006551EA"/>
    <w:rsid w:val="00655555"/>
    <w:rsid w:val="00655C27"/>
    <w:rsid w:val="006560C6"/>
    <w:rsid w:val="00656191"/>
    <w:rsid w:val="00656589"/>
    <w:rsid w:val="006572B0"/>
    <w:rsid w:val="00657411"/>
    <w:rsid w:val="00657954"/>
    <w:rsid w:val="00657A3D"/>
    <w:rsid w:val="00657ED8"/>
    <w:rsid w:val="006615BA"/>
    <w:rsid w:val="00661772"/>
    <w:rsid w:val="00661869"/>
    <w:rsid w:val="006618F1"/>
    <w:rsid w:val="00661D1F"/>
    <w:rsid w:val="00661F93"/>
    <w:rsid w:val="006620AE"/>
    <w:rsid w:val="0066259B"/>
    <w:rsid w:val="006625F5"/>
    <w:rsid w:val="0066279E"/>
    <w:rsid w:val="0066283D"/>
    <w:rsid w:val="006629AA"/>
    <w:rsid w:val="006629FA"/>
    <w:rsid w:val="00662DB0"/>
    <w:rsid w:val="00662F28"/>
    <w:rsid w:val="00663EA3"/>
    <w:rsid w:val="00664013"/>
    <w:rsid w:val="00664D6D"/>
    <w:rsid w:val="006650E4"/>
    <w:rsid w:val="00665679"/>
    <w:rsid w:val="0066585D"/>
    <w:rsid w:val="00665D75"/>
    <w:rsid w:val="006660C9"/>
    <w:rsid w:val="00666608"/>
    <w:rsid w:val="006668E5"/>
    <w:rsid w:val="00666C36"/>
    <w:rsid w:val="00667111"/>
    <w:rsid w:val="0066739C"/>
    <w:rsid w:val="00670137"/>
    <w:rsid w:val="00670301"/>
    <w:rsid w:val="00670CB0"/>
    <w:rsid w:val="0067125F"/>
    <w:rsid w:val="00672AA2"/>
    <w:rsid w:val="00672C58"/>
    <w:rsid w:val="006749C0"/>
    <w:rsid w:val="00674D55"/>
    <w:rsid w:val="0067504D"/>
    <w:rsid w:val="006750A8"/>
    <w:rsid w:val="00675111"/>
    <w:rsid w:val="00675A48"/>
    <w:rsid w:val="006764F7"/>
    <w:rsid w:val="00676638"/>
    <w:rsid w:val="0067664B"/>
    <w:rsid w:val="00676752"/>
    <w:rsid w:val="006767DC"/>
    <w:rsid w:val="006771CB"/>
    <w:rsid w:val="00677E27"/>
    <w:rsid w:val="006801F8"/>
    <w:rsid w:val="00680818"/>
    <w:rsid w:val="006819DB"/>
    <w:rsid w:val="00681FB3"/>
    <w:rsid w:val="00682112"/>
    <w:rsid w:val="00682835"/>
    <w:rsid w:val="00682C83"/>
    <w:rsid w:val="00683277"/>
    <w:rsid w:val="00683359"/>
    <w:rsid w:val="006835D6"/>
    <w:rsid w:val="00683CE0"/>
    <w:rsid w:val="00684011"/>
    <w:rsid w:val="006842AC"/>
    <w:rsid w:val="00684413"/>
    <w:rsid w:val="00684563"/>
    <w:rsid w:val="00684D48"/>
    <w:rsid w:val="00684F7A"/>
    <w:rsid w:val="00685A73"/>
    <w:rsid w:val="00685C4C"/>
    <w:rsid w:val="00685D28"/>
    <w:rsid w:val="00685E4A"/>
    <w:rsid w:val="006861D6"/>
    <w:rsid w:val="00686375"/>
    <w:rsid w:val="00686A3B"/>
    <w:rsid w:val="00686C92"/>
    <w:rsid w:val="00687137"/>
    <w:rsid w:val="00687A16"/>
    <w:rsid w:val="00687C3F"/>
    <w:rsid w:val="00690038"/>
    <w:rsid w:val="00690784"/>
    <w:rsid w:val="00690AB5"/>
    <w:rsid w:val="00691C0C"/>
    <w:rsid w:val="006920B9"/>
    <w:rsid w:val="006929D7"/>
    <w:rsid w:val="0069312D"/>
    <w:rsid w:val="00693260"/>
    <w:rsid w:val="006936FF"/>
    <w:rsid w:val="006937EC"/>
    <w:rsid w:val="00693925"/>
    <w:rsid w:val="00694568"/>
    <w:rsid w:val="00694606"/>
    <w:rsid w:val="006955E6"/>
    <w:rsid w:val="00695A85"/>
    <w:rsid w:val="00695AAF"/>
    <w:rsid w:val="00695D53"/>
    <w:rsid w:val="00695FA6"/>
    <w:rsid w:val="0069628E"/>
    <w:rsid w:val="0069639E"/>
    <w:rsid w:val="00696A8F"/>
    <w:rsid w:val="0069706F"/>
    <w:rsid w:val="006978F4"/>
    <w:rsid w:val="00697DA3"/>
    <w:rsid w:val="006A1907"/>
    <w:rsid w:val="006A196A"/>
    <w:rsid w:val="006A22C1"/>
    <w:rsid w:val="006A246F"/>
    <w:rsid w:val="006A25A3"/>
    <w:rsid w:val="006A2BC6"/>
    <w:rsid w:val="006A3441"/>
    <w:rsid w:val="006A5115"/>
    <w:rsid w:val="006A554D"/>
    <w:rsid w:val="006A5730"/>
    <w:rsid w:val="006A5780"/>
    <w:rsid w:val="006A6675"/>
    <w:rsid w:val="006A66CD"/>
    <w:rsid w:val="006A7163"/>
    <w:rsid w:val="006A78C8"/>
    <w:rsid w:val="006A7A0C"/>
    <w:rsid w:val="006A7D4A"/>
    <w:rsid w:val="006B010D"/>
    <w:rsid w:val="006B04C1"/>
    <w:rsid w:val="006B072D"/>
    <w:rsid w:val="006B0841"/>
    <w:rsid w:val="006B0858"/>
    <w:rsid w:val="006B0AAE"/>
    <w:rsid w:val="006B0F99"/>
    <w:rsid w:val="006B122E"/>
    <w:rsid w:val="006B1638"/>
    <w:rsid w:val="006B1913"/>
    <w:rsid w:val="006B1D1D"/>
    <w:rsid w:val="006B1FE8"/>
    <w:rsid w:val="006B2B02"/>
    <w:rsid w:val="006B2F98"/>
    <w:rsid w:val="006B329E"/>
    <w:rsid w:val="006B3413"/>
    <w:rsid w:val="006B379A"/>
    <w:rsid w:val="006B3B40"/>
    <w:rsid w:val="006B3CF5"/>
    <w:rsid w:val="006B45DE"/>
    <w:rsid w:val="006B4723"/>
    <w:rsid w:val="006B4A4F"/>
    <w:rsid w:val="006B53FA"/>
    <w:rsid w:val="006B55A3"/>
    <w:rsid w:val="006B652C"/>
    <w:rsid w:val="006B6DB9"/>
    <w:rsid w:val="006B754E"/>
    <w:rsid w:val="006B77A5"/>
    <w:rsid w:val="006B7AF6"/>
    <w:rsid w:val="006B7C51"/>
    <w:rsid w:val="006C0029"/>
    <w:rsid w:val="006C0405"/>
    <w:rsid w:val="006C0881"/>
    <w:rsid w:val="006C08C7"/>
    <w:rsid w:val="006C0EC8"/>
    <w:rsid w:val="006C11FC"/>
    <w:rsid w:val="006C1BE6"/>
    <w:rsid w:val="006C2272"/>
    <w:rsid w:val="006C2368"/>
    <w:rsid w:val="006C25B7"/>
    <w:rsid w:val="006C2AFF"/>
    <w:rsid w:val="006C3AC4"/>
    <w:rsid w:val="006C40EE"/>
    <w:rsid w:val="006C4332"/>
    <w:rsid w:val="006C4745"/>
    <w:rsid w:val="006C4DB0"/>
    <w:rsid w:val="006C518B"/>
    <w:rsid w:val="006C5AB9"/>
    <w:rsid w:val="006C5B00"/>
    <w:rsid w:val="006C5FF0"/>
    <w:rsid w:val="006C645E"/>
    <w:rsid w:val="006C6816"/>
    <w:rsid w:val="006C6DB1"/>
    <w:rsid w:val="006C7740"/>
    <w:rsid w:val="006C776A"/>
    <w:rsid w:val="006C7D1B"/>
    <w:rsid w:val="006D0DCC"/>
    <w:rsid w:val="006D0EAB"/>
    <w:rsid w:val="006D13BF"/>
    <w:rsid w:val="006D1615"/>
    <w:rsid w:val="006D1A56"/>
    <w:rsid w:val="006D1B48"/>
    <w:rsid w:val="006D2B87"/>
    <w:rsid w:val="006D3B32"/>
    <w:rsid w:val="006D407E"/>
    <w:rsid w:val="006D4354"/>
    <w:rsid w:val="006D43DA"/>
    <w:rsid w:val="006D4BC4"/>
    <w:rsid w:val="006D5757"/>
    <w:rsid w:val="006D70B6"/>
    <w:rsid w:val="006D7920"/>
    <w:rsid w:val="006D7C93"/>
    <w:rsid w:val="006D7F5D"/>
    <w:rsid w:val="006E0195"/>
    <w:rsid w:val="006E0ABF"/>
    <w:rsid w:val="006E1CCB"/>
    <w:rsid w:val="006E1D0D"/>
    <w:rsid w:val="006E28B4"/>
    <w:rsid w:val="006E3402"/>
    <w:rsid w:val="006E3854"/>
    <w:rsid w:val="006E38DA"/>
    <w:rsid w:val="006E39BB"/>
    <w:rsid w:val="006E39EC"/>
    <w:rsid w:val="006E44A0"/>
    <w:rsid w:val="006E4796"/>
    <w:rsid w:val="006E5022"/>
    <w:rsid w:val="006E52E3"/>
    <w:rsid w:val="006E55F8"/>
    <w:rsid w:val="006E5C79"/>
    <w:rsid w:val="006E5CA5"/>
    <w:rsid w:val="006E617C"/>
    <w:rsid w:val="006E61B4"/>
    <w:rsid w:val="006E6C24"/>
    <w:rsid w:val="006E720F"/>
    <w:rsid w:val="006E7219"/>
    <w:rsid w:val="006F00B4"/>
    <w:rsid w:val="006F00D3"/>
    <w:rsid w:val="006F023E"/>
    <w:rsid w:val="006F0511"/>
    <w:rsid w:val="006F0D95"/>
    <w:rsid w:val="006F0E94"/>
    <w:rsid w:val="006F1619"/>
    <w:rsid w:val="006F1AFB"/>
    <w:rsid w:val="006F1E3E"/>
    <w:rsid w:val="006F2B85"/>
    <w:rsid w:val="006F3181"/>
    <w:rsid w:val="006F3BEC"/>
    <w:rsid w:val="006F3EE3"/>
    <w:rsid w:val="006F4C20"/>
    <w:rsid w:val="006F4C29"/>
    <w:rsid w:val="006F4EA2"/>
    <w:rsid w:val="006F511E"/>
    <w:rsid w:val="006F6048"/>
    <w:rsid w:val="006F606F"/>
    <w:rsid w:val="006F63BC"/>
    <w:rsid w:val="006F660D"/>
    <w:rsid w:val="006F6D98"/>
    <w:rsid w:val="006F6F81"/>
    <w:rsid w:val="006F7B97"/>
    <w:rsid w:val="007004E5"/>
    <w:rsid w:val="0070055B"/>
    <w:rsid w:val="00700561"/>
    <w:rsid w:val="007005E5"/>
    <w:rsid w:val="00700A48"/>
    <w:rsid w:val="00701139"/>
    <w:rsid w:val="00701803"/>
    <w:rsid w:val="00702183"/>
    <w:rsid w:val="00702289"/>
    <w:rsid w:val="0070244E"/>
    <w:rsid w:val="00702655"/>
    <w:rsid w:val="00703412"/>
    <w:rsid w:val="00703A87"/>
    <w:rsid w:val="00703B5C"/>
    <w:rsid w:val="00704B5C"/>
    <w:rsid w:val="007058BD"/>
    <w:rsid w:val="007058DD"/>
    <w:rsid w:val="00705C3E"/>
    <w:rsid w:val="00705E65"/>
    <w:rsid w:val="007062D7"/>
    <w:rsid w:val="007069E4"/>
    <w:rsid w:val="00706EC0"/>
    <w:rsid w:val="00707686"/>
    <w:rsid w:val="00707B28"/>
    <w:rsid w:val="00707DD1"/>
    <w:rsid w:val="00707F6F"/>
    <w:rsid w:val="00707FA0"/>
    <w:rsid w:val="00710099"/>
    <w:rsid w:val="00710133"/>
    <w:rsid w:val="0071017F"/>
    <w:rsid w:val="00710940"/>
    <w:rsid w:val="00710AE2"/>
    <w:rsid w:val="00710CA0"/>
    <w:rsid w:val="007112DB"/>
    <w:rsid w:val="00711539"/>
    <w:rsid w:val="00711FBA"/>
    <w:rsid w:val="0071204A"/>
    <w:rsid w:val="0071249E"/>
    <w:rsid w:val="0071257B"/>
    <w:rsid w:val="00712915"/>
    <w:rsid w:val="00712AEC"/>
    <w:rsid w:val="0071346C"/>
    <w:rsid w:val="00713D88"/>
    <w:rsid w:val="0071415C"/>
    <w:rsid w:val="0071461D"/>
    <w:rsid w:val="00714AEB"/>
    <w:rsid w:val="00714BCE"/>
    <w:rsid w:val="0071529F"/>
    <w:rsid w:val="007160C3"/>
    <w:rsid w:val="0071654C"/>
    <w:rsid w:val="007166C8"/>
    <w:rsid w:val="007167CF"/>
    <w:rsid w:val="00716834"/>
    <w:rsid w:val="007169ED"/>
    <w:rsid w:val="00716E78"/>
    <w:rsid w:val="00717313"/>
    <w:rsid w:val="00717638"/>
    <w:rsid w:val="0071785A"/>
    <w:rsid w:val="007179BE"/>
    <w:rsid w:val="00717A2A"/>
    <w:rsid w:val="00717A57"/>
    <w:rsid w:val="00717BE1"/>
    <w:rsid w:val="00721E58"/>
    <w:rsid w:val="007224D1"/>
    <w:rsid w:val="00722DB2"/>
    <w:rsid w:val="00722E08"/>
    <w:rsid w:val="00722EA9"/>
    <w:rsid w:val="00723575"/>
    <w:rsid w:val="0072454B"/>
    <w:rsid w:val="0072571F"/>
    <w:rsid w:val="00725FBF"/>
    <w:rsid w:val="007260A4"/>
    <w:rsid w:val="007264D4"/>
    <w:rsid w:val="00726C5B"/>
    <w:rsid w:val="0072723D"/>
    <w:rsid w:val="007278CF"/>
    <w:rsid w:val="00727A0B"/>
    <w:rsid w:val="00727D53"/>
    <w:rsid w:val="0073032A"/>
    <w:rsid w:val="00730730"/>
    <w:rsid w:val="00730CB4"/>
    <w:rsid w:val="0073143C"/>
    <w:rsid w:val="007314EB"/>
    <w:rsid w:val="007321B5"/>
    <w:rsid w:val="00732501"/>
    <w:rsid w:val="00732547"/>
    <w:rsid w:val="00732604"/>
    <w:rsid w:val="00732B24"/>
    <w:rsid w:val="00732BAE"/>
    <w:rsid w:val="00732E67"/>
    <w:rsid w:val="00733766"/>
    <w:rsid w:val="00733912"/>
    <w:rsid w:val="007347B8"/>
    <w:rsid w:val="00734D01"/>
    <w:rsid w:val="00734E7A"/>
    <w:rsid w:val="007354FA"/>
    <w:rsid w:val="00735B37"/>
    <w:rsid w:val="00735F7F"/>
    <w:rsid w:val="0073607B"/>
    <w:rsid w:val="007371A2"/>
    <w:rsid w:val="007376F3"/>
    <w:rsid w:val="007378D1"/>
    <w:rsid w:val="00740318"/>
    <w:rsid w:val="0074146B"/>
    <w:rsid w:val="00741B83"/>
    <w:rsid w:val="00741DA2"/>
    <w:rsid w:val="00741FAB"/>
    <w:rsid w:val="007423E0"/>
    <w:rsid w:val="00742743"/>
    <w:rsid w:val="00742981"/>
    <w:rsid w:val="007433FB"/>
    <w:rsid w:val="00743884"/>
    <w:rsid w:val="00743D95"/>
    <w:rsid w:val="00744284"/>
    <w:rsid w:val="00744431"/>
    <w:rsid w:val="00744BDA"/>
    <w:rsid w:val="00744C94"/>
    <w:rsid w:val="007450C8"/>
    <w:rsid w:val="00745DCA"/>
    <w:rsid w:val="007469D8"/>
    <w:rsid w:val="00747334"/>
    <w:rsid w:val="007477A2"/>
    <w:rsid w:val="00747885"/>
    <w:rsid w:val="007478C1"/>
    <w:rsid w:val="00747BDA"/>
    <w:rsid w:val="007504DC"/>
    <w:rsid w:val="007505E7"/>
    <w:rsid w:val="007508D0"/>
    <w:rsid w:val="00750943"/>
    <w:rsid w:val="00750B9F"/>
    <w:rsid w:val="00750CE0"/>
    <w:rsid w:val="007516E7"/>
    <w:rsid w:val="00751BEC"/>
    <w:rsid w:val="00752526"/>
    <w:rsid w:val="0075306B"/>
    <w:rsid w:val="007537BE"/>
    <w:rsid w:val="0075402E"/>
    <w:rsid w:val="00754CCE"/>
    <w:rsid w:val="00754E70"/>
    <w:rsid w:val="00754FF9"/>
    <w:rsid w:val="0075501F"/>
    <w:rsid w:val="00755BAC"/>
    <w:rsid w:val="00755BE1"/>
    <w:rsid w:val="007561B6"/>
    <w:rsid w:val="0075650A"/>
    <w:rsid w:val="00756B7F"/>
    <w:rsid w:val="00756DCC"/>
    <w:rsid w:val="00757921"/>
    <w:rsid w:val="00757C61"/>
    <w:rsid w:val="00757CB5"/>
    <w:rsid w:val="00760331"/>
    <w:rsid w:val="007607EF"/>
    <w:rsid w:val="0076102D"/>
    <w:rsid w:val="00761043"/>
    <w:rsid w:val="00761223"/>
    <w:rsid w:val="00761362"/>
    <w:rsid w:val="00761467"/>
    <w:rsid w:val="007615B7"/>
    <w:rsid w:val="00761EC5"/>
    <w:rsid w:val="00762C2D"/>
    <w:rsid w:val="0076312E"/>
    <w:rsid w:val="00763177"/>
    <w:rsid w:val="0076337F"/>
    <w:rsid w:val="00763460"/>
    <w:rsid w:val="00763782"/>
    <w:rsid w:val="0076396E"/>
    <w:rsid w:val="00763A86"/>
    <w:rsid w:val="00763F98"/>
    <w:rsid w:val="007641E7"/>
    <w:rsid w:val="007648FF"/>
    <w:rsid w:val="00764A67"/>
    <w:rsid w:val="00765386"/>
    <w:rsid w:val="00765527"/>
    <w:rsid w:val="00765980"/>
    <w:rsid w:val="00766F54"/>
    <w:rsid w:val="00766F72"/>
    <w:rsid w:val="00767063"/>
    <w:rsid w:val="007670E1"/>
    <w:rsid w:val="007670F3"/>
    <w:rsid w:val="00770740"/>
    <w:rsid w:val="00770EAB"/>
    <w:rsid w:val="0077137C"/>
    <w:rsid w:val="00771D3A"/>
    <w:rsid w:val="00771E8C"/>
    <w:rsid w:val="007723A1"/>
    <w:rsid w:val="007724C0"/>
    <w:rsid w:val="0077273A"/>
    <w:rsid w:val="00772765"/>
    <w:rsid w:val="00772840"/>
    <w:rsid w:val="007733AF"/>
    <w:rsid w:val="007733C4"/>
    <w:rsid w:val="00773457"/>
    <w:rsid w:val="0077365A"/>
    <w:rsid w:val="007738DF"/>
    <w:rsid w:val="00773E7C"/>
    <w:rsid w:val="007740B8"/>
    <w:rsid w:val="0077454B"/>
    <w:rsid w:val="00774A40"/>
    <w:rsid w:val="00774B82"/>
    <w:rsid w:val="00774E19"/>
    <w:rsid w:val="007758DD"/>
    <w:rsid w:val="00775DC2"/>
    <w:rsid w:val="00775DEA"/>
    <w:rsid w:val="007761E3"/>
    <w:rsid w:val="00776208"/>
    <w:rsid w:val="0077631C"/>
    <w:rsid w:val="007767C5"/>
    <w:rsid w:val="00777083"/>
    <w:rsid w:val="007772A7"/>
    <w:rsid w:val="007773DF"/>
    <w:rsid w:val="00777D03"/>
    <w:rsid w:val="00777D57"/>
    <w:rsid w:val="00777E40"/>
    <w:rsid w:val="00777F80"/>
    <w:rsid w:val="00780190"/>
    <w:rsid w:val="0078022C"/>
    <w:rsid w:val="00780484"/>
    <w:rsid w:val="0078087B"/>
    <w:rsid w:val="0078165D"/>
    <w:rsid w:val="0078186B"/>
    <w:rsid w:val="00781BC8"/>
    <w:rsid w:val="00781DBB"/>
    <w:rsid w:val="007822F5"/>
    <w:rsid w:val="00782467"/>
    <w:rsid w:val="0078255A"/>
    <w:rsid w:val="007825A5"/>
    <w:rsid w:val="00782FB1"/>
    <w:rsid w:val="00783103"/>
    <w:rsid w:val="00784319"/>
    <w:rsid w:val="00784543"/>
    <w:rsid w:val="0078472C"/>
    <w:rsid w:val="00784C1F"/>
    <w:rsid w:val="007855CF"/>
    <w:rsid w:val="0078589E"/>
    <w:rsid w:val="007858F9"/>
    <w:rsid w:val="00785F0E"/>
    <w:rsid w:val="00786359"/>
    <w:rsid w:val="007867E1"/>
    <w:rsid w:val="00786B3B"/>
    <w:rsid w:val="00786F32"/>
    <w:rsid w:val="00786F4E"/>
    <w:rsid w:val="007879D3"/>
    <w:rsid w:val="00787CF2"/>
    <w:rsid w:val="00787EA5"/>
    <w:rsid w:val="007902F0"/>
    <w:rsid w:val="00790485"/>
    <w:rsid w:val="00790902"/>
    <w:rsid w:val="00791159"/>
    <w:rsid w:val="00791B8E"/>
    <w:rsid w:val="00792BF3"/>
    <w:rsid w:val="00793A5F"/>
    <w:rsid w:val="00793C4B"/>
    <w:rsid w:val="00793CFE"/>
    <w:rsid w:val="00794387"/>
    <w:rsid w:val="0079468B"/>
    <w:rsid w:val="0079482C"/>
    <w:rsid w:val="00794C43"/>
    <w:rsid w:val="0079577E"/>
    <w:rsid w:val="00795861"/>
    <w:rsid w:val="00795E01"/>
    <w:rsid w:val="00796774"/>
    <w:rsid w:val="007968B4"/>
    <w:rsid w:val="00796A05"/>
    <w:rsid w:val="00796A34"/>
    <w:rsid w:val="00796FC6"/>
    <w:rsid w:val="0079796C"/>
    <w:rsid w:val="00797FF6"/>
    <w:rsid w:val="007A03E6"/>
    <w:rsid w:val="007A04DA"/>
    <w:rsid w:val="007A0E9A"/>
    <w:rsid w:val="007A1133"/>
    <w:rsid w:val="007A1151"/>
    <w:rsid w:val="007A128E"/>
    <w:rsid w:val="007A18C1"/>
    <w:rsid w:val="007A1B06"/>
    <w:rsid w:val="007A275F"/>
    <w:rsid w:val="007A2A88"/>
    <w:rsid w:val="007A2F3F"/>
    <w:rsid w:val="007A31D6"/>
    <w:rsid w:val="007A328C"/>
    <w:rsid w:val="007A35E8"/>
    <w:rsid w:val="007A3727"/>
    <w:rsid w:val="007A3B56"/>
    <w:rsid w:val="007A3FE7"/>
    <w:rsid w:val="007A4094"/>
    <w:rsid w:val="007A5089"/>
    <w:rsid w:val="007A5702"/>
    <w:rsid w:val="007A6A73"/>
    <w:rsid w:val="007A7514"/>
    <w:rsid w:val="007B024A"/>
    <w:rsid w:val="007B0B52"/>
    <w:rsid w:val="007B0B80"/>
    <w:rsid w:val="007B1296"/>
    <w:rsid w:val="007B13C9"/>
    <w:rsid w:val="007B1D15"/>
    <w:rsid w:val="007B20AB"/>
    <w:rsid w:val="007B20BB"/>
    <w:rsid w:val="007B2A29"/>
    <w:rsid w:val="007B33A7"/>
    <w:rsid w:val="007B3748"/>
    <w:rsid w:val="007B3A64"/>
    <w:rsid w:val="007B491C"/>
    <w:rsid w:val="007B4D44"/>
    <w:rsid w:val="007B5084"/>
    <w:rsid w:val="007B5519"/>
    <w:rsid w:val="007B58B7"/>
    <w:rsid w:val="007B5ACA"/>
    <w:rsid w:val="007B5C16"/>
    <w:rsid w:val="007B606D"/>
    <w:rsid w:val="007B6492"/>
    <w:rsid w:val="007B6A38"/>
    <w:rsid w:val="007B6AF0"/>
    <w:rsid w:val="007B7311"/>
    <w:rsid w:val="007B74D3"/>
    <w:rsid w:val="007B7708"/>
    <w:rsid w:val="007B7867"/>
    <w:rsid w:val="007B78E8"/>
    <w:rsid w:val="007C01DB"/>
    <w:rsid w:val="007C0BB6"/>
    <w:rsid w:val="007C18D2"/>
    <w:rsid w:val="007C1A8F"/>
    <w:rsid w:val="007C1DEC"/>
    <w:rsid w:val="007C2E3A"/>
    <w:rsid w:val="007C2F8D"/>
    <w:rsid w:val="007C2FFA"/>
    <w:rsid w:val="007C4519"/>
    <w:rsid w:val="007C51E9"/>
    <w:rsid w:val="007C525F"/>
    <w:rsid w:val="007C536D"/>
    <w:rsid w:val="007C59C0"/>
    <w:rsid w:val="007C679E"/>
    <w:rsid w:val="007C6A7A"/>
    <w:rsid w:val="007C7BF5"/>
    <w:rsid w:val="007D00D9"/>
    <w:rsid w:val="007D0861"/>
    <w:rsid w:val="007D0DDD"/>
    <w:rsid w:val="007D1084"/>
    <w:rsid w:val="007D1258"/>
    <w:rsid w:val="007D170B"/>
    <w:rsid w:val="007D2023"/>
    <w:rsid w:val="007D3019"/>
    <w:rsid w:val="007D3DBD"/>
    <w:rsid w:val="007D431F"/>
    <w:rsid w:val="007D44D6"/>
    <w:rsid w:val="007D46A2"/>
    <w:rsid w:val="007D4712"/>
    <w:rsid w:val="007D4968"/>
    <w:rsid w:val="007D4FFD"/>
    <w:rsid w:val="007D5046"/>
    <w:rsid w:val="007D51F6"/>
    <w:rsid w:val="007D536E"/>
    <w:rsid w:val="007D565F"/>
    <w:rsid w:val="007D56EB"/>
    <w:rsid w:val="007D63C3"/>
    <w:rsid w:val="007D6DA4"/>
    <w:rsid w:val="007D6E3B"/>
    <w:rsid w:val="007D757C"/>
    <w:rsid w:val="007D7AB2"/>
    <w:rsid w:val="007D7B88"/>
    <w:rsid w:val="007D7CFF"/>
    <w:rsid w:val="007D7D18"/>
    <w:rsid w:val="007E0633"/>
    <w:rsid w:val="007E0939"/>
    <w:rsid w:val="007E11FF"/>
    <w:rsid w:val="007E1525"/>
    <w:rsid w:val="007E1615"/>
    <w:rsid w:val="007E2967"/>
    <w:rsid w:val="007E2ABF"/>
    <w:rsid w:val="007E3BD2"/>
    <w:rsid w:val="007E3CA6"/>
    <w:rsid w:val="007E3CD0"/>
    <w:rsid w:val="007E3D65"/>
    <w:rsid w:val="007E53D7"/>
    <w:rsid w:val="007E6807"/>
    <w:rsid w:val="007E6ED2"/>
    <w:rsid w:val="007E7713"/>
    <w:rsid w:val="007F009A"/>
    <w:rsid w:val="007F01AD"/>
    <w:rsid w:val="007F0766"/>
    <w:rsid w:val="007F085A"/>
    <w:rsid w:val="007F0AF6"/>
    <w:rsid w:val="007F0EF2"/>
    <w:rsid w:val="007F1196"/>
    <w:rsid w:val="007F1345"/>
    <w:rsid w:val="007F22A0"/>
    <w:rsid w:val="007F2336"/>
    <w:rsid w:val="007F25C2"/>
    <w:rsid w:val="007F3810"/>
    <w:rsid w:val="007F3F18"/>
    <w:rsid w:val="007F40AE"/>
    <w:rsid w:val="007F4BFB"/>
    <w:rsid w:val="007F546D"/>
    <w:rsid w:val="007F586D"/>
    <w:rsid w:val="007F5982"/>
    <w:rsid w:val="007F5B0C"/>
    <w:rsid w:val="007F6106"/>
    <w:rsid w:val="007F74A8"/>
    <w:rsid w:val="007F778A"/>
    <w:rsid w:val="007F799B"/>
    <w:rsid w:val="007F7D2D"/>
    <w:rsid w:val="007F7DFD"/>
    <w:rsid w:val="00800052"/>
    <w:rsid w:val="008000A8"/>
    <w:rsid w:val="008000FF"/>
    <w:rsid w:val="00800477"/>
    <w:rsid w:val="00800679"/>
    <w:rsid w:val="008006FE"/>
    <w:rsid w:val="00800983"/>
    <w:rsid w:val="00800A38"/>
    <w:rsid w:val="00800CB2"/>
    <w:rsid w:val="00800F48"/>
    <w:rsid w:val="00801387"/>
    <w:rsid w:val="0080191E"/>
    <w:rsid w:val="00801BB7"/>
    <w:rsid w:val="008028BE"/>
    <w:rsid w:val="00802A16"/>
    <w:rsid w:val="008035B0"/>
    <w:rsid w:val="00803BEA"/>
    <w:rsid w:val="00804210"/>
    <w:rsid w:val="00805304"/>
    <w:rsid w:val="00806094"/>
    <w:rsid w:val="00806FA4"/>
    <w:rsid w:val="00807F95"/>
    <w:rsid w:val="0081030B"/>
    <w:rsid w:val="008105FE"/>
    <w:rsid w:val="00810A54"/>
    <w:rsid w:val="00810FE1"/>
    <w:rsid w:val="0081183F"/>
    <w:rsid w:val="008122F0"/>
    <w:rsid w:val="0081254F"/>
    <w:rsid w:val="00812902"/>
    <w:rsid w:val="00812FCB"/>
    <w:rsid w:val="00813B91"/>
    <w:rsid w:val="008153E8"/>
    <w:rsid w:val="008153FE"/>
    <w:rsid w:val="00815590"/>
    <w:rsid w:val="00815C28"/>
    <w:rsid w:val="00816A07"/>
    <w:rsid w:val="00816CD1"/>
    <w:rsid w:val="00817008"/>
    <w:rsid w:val="008172B0"/>
    <w:rsid w:val="00817735"/>
    <w:rsid w:val="00820728"/>
    <w:rsid w:val="00820DA6"/>
    <w:rsid w:val="00820EEB"/>
    <w:rsid w:val="00820F3F"/>
    <w:rsid w:val="0082125D"/>
    <w:rsid w:val="00821774"/>
    <w:rsid w:val="00821E1B"/>
    <w:rsid w:val="00822010"/>
    <w:rsid w:val="00822D85"/>
    <w:rsid w:val="00822F7C"/>
    <w:rsid w:val="00824C3B"/>
    <w:rsid w:val="00825BC9"/>
    <w:rsid w:val="00825E78"/>
    <w:rsid w:val="0082618D"/>
    <w:rsid w:val="008265CF"/>
    <w:rsid w:val="0082675C"/>
    <w:rsid w:val="00826D57"/>
    <w:rsid w:val="008273B6"/>
    <w:rsid w:val="008275B2"/>
    <w:rsid w:val="0082767F"/>
    <w:rsid w:val="008276D2"/>
    <w:rsid w:val="0083077E"/>
    <w:rsid w:val="0083109C"/>
    <w:rsid w:val="008315E4"/>
    <w:rsid w:val="00831A7F"/>
    <w:rsid w:val="00832772"/>
    <w:rsid w:val="00832816"/>
    <w:rsid w:val="00832D6C"/>
    <w:rsid w:val="008330E5"/>
    <w:rsid w:val="00833EA4"/>
    <w:rsid w:val="00833EB6"/>
    <w:rsid w:val="008340D4"/>
    <w:rsid w:val="0083423D"/>
    <w:rsid w:val="00834DF3"/>
    <w:rsid w:val="00835372"/>
    <w:rsid w:val="008366AC"/>
    <w:rsid w:val="00836E84"/>
    <w:rsid w:val="00837295"/>
    <w:rsid w:val="00837405"/>
    <w:rsid w:val="00837663"/>
    <w:rsid w:val="008376D9"/>
    <w:rsid w:val="00840235"/>
    <w:rsid w:val="00840835"/>
    <w:rsid w:val="00840C2F"/>
    <w:rsid w:val="008413D9"/>
    <w:rsid w:val="00841632"/>
    <w:rsid w:val="008419E5"/>
    <w:rsid w:val="00841ED5"/>
    <w:rsid w:val="00841F12"/>
    <w:rsid w:val="008425C6"/>
    <w:rsid w:val="00843048"/>
    <w:rsid w:val="008430CE"/>
    <w:rsid w:val="0084338A"/>
    <w:rsid w:val="00844DF2"/>
    <w:rsid w:val="00844E7B"/>
    <w:rsid w:val="008464D6"/>
    <w:rsid w:val="0084650B"/>
    <w:rsid w:val="008467BB"/>
    <w:rsid w:val="00846A4D"/>
    <w:rsid w:val="00846E1C"/>
    <w:rsid w:val="00846EF6"/>
    <w:rsid w:val="0084722D"/>
    <w:rsid w:val="00847284"/>
    <w:rsid w:val="008500BF"/>
    <w:rsid w:val="00850BFF"/>
    <w:rsid w:val="00851218"/>
    <w:rsid w:val="0085126A"/>
    <w:rsid w:val="00851C43"/>
    <w:rsid w:val="00852887"/>
    <w:rsid w:val="00852993"/>
    <w:rsid w:val="008535C2"/>
    <w:rsid w:val="008547A0"/>
    <w:rsid w:val="008549EC"/>
    <w:rsid w:val="008557EE"/>
    <w:rsid w:val="008558A4"/>
    <w:rsid w:val="00856537"/>
    <w:rsid w:val="008566F8"/>
    <w:rsid w:val="008567A2"/>
    <w:rsid w:val="008567BD"/>
    <w:rsid w:val="00856B20"/>
    <w:rsid w:val="00856CAA"/>
    <w:rsid w:val="00856D2E"/>
    <w:rsid w:val="00857489"/>
    <w:rsid w:val="00857565"/>
    <w:rsid w:val="00857806"/>
    <w:rsid w:val="0085783F"/>
    <w:rsid w:val="0086058E"/>
    <w:rsid w:val="0086097F"/>
    <w:rsid w:val="00860F71"/>
    <w:rsid w:val="00860F7A"/>
    <w:rsid w:val="00860FDE"/>
    <w:rsid w:val="008610A9"/>
    <w:rsid w:val="0086160D"/>
    <w:rsid w:val="00861813"/>
    <w:rsid w:val="00861942"/>
    <w:rsid w:val="00862336"/>
    <w:rsid w:val="00862694"/>
    <w:rsid w:val="00862A11"/>
    <w:rsid w:val="00862B95"/>
    <w:rsid w:val="00862F4C"/>
    <w:rsid w:val="00863770"/>
    <w:rsid w:val="00863872"/>
    <w:rsid w:val="00863B8B"/>
    <w:rsid w:val="008640B7"/>
    <w:rsid w:val="008640C4"/>
    <w:rsid w:val="008652D6"/>
    <w:rsid w:val="008660F6"/>
    <w:rsid w:val="0086688F"/>
    <w:rsid w:val="00866A08"/>
    <w:rsid w:val="008670F4"/>
    <w:rsid w:val="00867696"/>
    <w:rsid w:val="00867E4B"/>
    <w:rsid w:val="00870145"/>
    <w:rsid w:val="008703E4"/>
    <w:rsid w:val="00870E4F"/>
    <w:rsid w:val="00870EDD"/>
    <w:rsid w:val="00871A52"/>
    <w:rsid w:val="00871B9C"/>
    <w:rsid w:val="00871F90"/>
    <w:rsid w:val="00871FF7"/>
    <w:rsid w:val="00872048"/>
    <w:rsid w:val="0087245C"/>
    <w:rsid w:val="008726E0"/>
    <w:rsid w:val="00872A73"/>
    <w:rsid w:val="00873347"/>
    <w:rsid w:val="0087363C"/>
    <w:rsid w:val="00873CDA"/>
    <w:rsid w:val="00873DAD"/>
    <w:rsid w:val="00873DFB"/>
    <w:rsid w:val="00873E24"/>
    <w:rsid w:val="00873F89"/>
    <w:rsid w:val="00873FBA"/>
    <w:rsid w:val="008740E9"/>
    <w:rsid w:val="0087414B"/>
    <w:rsid w:val="0087451F"/>
    <w:rsid w:val="00874BF2"/>
    <w:rsid w:val="00874FA7"/>
    <w:rsid w:val="00875210"/>
    <w:rsid w:val="008753E2"/>
    <w:rsid w:val="00875460"/>
    <w:rsid w:val="00875BD4"/>
    <w:rsid w:val="00875C1B"/>
    <w:rsid w:val="0087607B"/>
    <w:rsid w:val="008760EC"/>
    <w:rsid w:val="00876C94"/>
    <w:rsid w:val="00877AF1"/>
    <w:rsid w:val="00877BED"/>
    <w:rsid w:val="00877C31"/>
    <w:rsid w:val="00877DE5"/>
    <w:rsid w:val="00877F9E"/>
    <w:rsid w:val="008810FC"/>
    <w:rsid w:val="008816FC"/>
    <w:rsid w:val="00881970"/>
    <w:rsid w:val="00881EC9"/>
    <w:rsid w:val="00881F28"/>
    <w:rsid w:val="00882267"/>
    <w:rsid w:val="0088312F"/>
    <w:rsid w:val="00883864"/>
    <w:rsid w:val="00883D91"/>
    <w:rsid w:val="0088477F"/>
    <w:rsid w:val="008847E0"/>
    <w:rsid w:val="00885351"/>
    <w:rsid w:val="00885842"/>
    <w:rsid w:val="00885C03"/>
    <w:rsid w:val="00886969"/>
    <w:rsid w:val="00887BC0"/>
    <w:rsid w:val="008900BA"/>
    <w:rsid w:val="008909F3"/>
    <w:rsid w:val="00891085"/>
    <w:rsid w:val="008912C2"/>
    <w:rsid w:val="00891531"/>
    <w:rsid w:val="008915AB"/>
    <w:rsid w:val="00891DEC"/>
    <w:rsid w:val="008923FF"/>
    <w:rsid w:val="00892476"/>
    <w:rsid w:val="0089279F"/>
    <w:rsid w:val="008927DB"/>
    <w:rsid w:val="00892926"/>
    <w:rsid w:val="00892A71"/>
    <w:rsid w:val="00892FDC"/>
    <w:rsid w:val="0089304A"/>
    <w:rsid w:val="008931B5"/>
    <w:rsid w:val="008933B7"/>
    <w:rsid w:val="008937D2"/>
    <w:rsid w:val="00893CFE"/>
    <w:rsid w:val="008945F4"/>
    <w:rsid w:val="00894AB0"/>
    <w:rsid w:val="008952FB"/>
    <w:rsid w:val="0089567F"/>
    <w:rsid w:val="00895700"/>
    <w:rsid w:val="00895A2D"/>
    <w:rsid w:val="008965CA"/>
    <w:rsid w:val="00896606"/>
    <w:rsid w:val="00896B05"/>
    <w:rsid w:val="00896C6B"/>
    <w:rsid w:val="0089722D"/>
    <w:rsid w:val="00897416"/>
    <w:rsid w:val="008975F0"/>
    <w:rsid w:val="00897C35"/>
    <w:rsid w:val="008A0183"/>
    <w:rsid w:val="008A029B"/>
    <w:rsid w:val="008A10B4"/>
    <w:rsid w:val="008A1DC6"/>
    <w:rsid w:val="008A1DE5"/>
    <w:rsid w:val="008A25F0"/>
    <w:rsid w:val="008A2C0C"/>
    <w:rsid w:val="008A2E4E"/>
    <w:rsid w:val="008A2EBD"/>
    <w:rsid w:val="008A3578"/>
    <w:rsid w:val="008A3B43"/>
    <w:rsid w:val="008A4810"/>
    <w:rsid w:val="008A4B28"/>
    <w:rsid w:val="008A4E89"/>
    <w:rsid w:val="008A50B3"/>
    <w:rsid w:val="008A52E6"/>
    <w:rsid w:val="008A574B"/>
    <w:rsid w:val="008A583B"/>
    <w:rsid w:val="008A5CE5"/>
    <w:rsid w:val="008A5D44"/>
    <w:rsid w:val="008A614F"/>
    <w:rsid w:val="008A6C39"/>
    <w:rsid w:val="008A7314"/>
    <w:rsid w:val="008A734E"/>
    <w:rsid w:val="008A7444"/>
    <w:rsid w:val="008A75C6"/>
    <w:rsid w:val="008A78F1"/>
    <w:rsid w:val="008A79BB"/>
    <w:rsid w:val="008A7DE7"/>
    <w:rsid w:val="008B0740"/>
    <w:rsid w:val="008B08BF"/>
    <w:rsid w:val="008B2318"/>
    <w:rsid w:val="008B235E"/>
    <w:rsid w:val="008B2518"/>
    <w:rsid w:val="008B2A18"/>
    <w:rsid w:val="008B2C2B"/>
    <w:rsid w:val="008B3CB1"/>
    <w:rsid w:val="008B46FE"/>
    <w:rsid w:val="008B48FE"/>
    <w:rsid w:val="008B498D"/>
    <w:rsid w:val="008B4A67"/>
    <w:rsid w:val="008B5343"/>
    <w:rsid w:val="008B548D"/>
    <w:rsid w:val="008B54B5"/>
    <w:rsid w:val="008B66A6"/>
    <w:rsid w:val="008B6BEC"/>
    <w:rsid w:val="008B6F03"/>
    <w:rsid w:val="008B7148"/>
    <w:rsid w:val="008B7AF2"/>
    <w:rsid w:val="008B7C9E"/>
    <w:rsid w:val="008B7D85"/>
    <w:rsid w:val="008C0EA1"/>
    <w:rsid w:val="008C1858"/>
    <w:rsid w:val="008C20F4"/>
    <w:rsid w:val="008C225F"/>
    <w:rsid w:val="008C2419"/>
    <w:rsid w:val="008C301D"/>
    <w:rsid w:val="008C323C"/>
    <w:rsid w:val="008C3499"/>
    <w:rsid w:val="008C4229"/>
    <w:rsid w:val="008C42E9"/>
    <w:rsid w:val="008C44A3"/>
    <w:rsid w:val="008C4564"/>
    <w:rsid w:val="008C475B"/>
    <w:rsid w:val="008C4EAB"/>
    <w:rsid w:val="008C4FEF"/>
    <w:rsid w:val="008C54BF"/>
    <w:rsid w:val="008C5541"/>
    <w:rsid w:val="008C65BC"/>
    <w:rsid w:val="008C6A73"/>
    <w:rsid w:val="008C6B92"/>
    <w:rsid w:val="008C74DB"/>
    <w:rsid w:val="008D0128"/>
    <w:rsid w:val="008D05E2"/>
    <w:rsid w:val="008D0FC5"/>
    <w:rsid w:val="008D0FD9"/>
    <w:rsid w:val="008D15E2"/>
    <w:rsid w:val="008D20B8"/>
    <w:rsid w:val="008D22C5"/>
    <w:rsid w:val="008D2D5F"/>
    <w:rsid w:val="008D31A5"/>
    <w:rsid w:val="008D3435"/>
    <w:rsid w:val="008D34B1"/>
    <w:rsid w:val="008D3A63"/>
    <w:rsid w:val="008D3FB0"/>
    <w:rsid w:val="008D4017"/>
    <w:rsid w:val="008D461D"/>
    <w:rsid w:val="008D4D9D"/>
    <w:rsid w:val="008D4E35"/>
    <w:rsid w:val="008D4F72"/>
    <w:rsid w:val="008D53C1"/>
    <w:rsid w:val="008D5B10"/>
    <w:rsid w:val="008D6096"/>
    <w:rsid w:val="008D6B62"/>
    <w:rsid w:val="008D6F1E"/>
    <w:rsid w:val="008D6FC3"/>
    <w:rsid w:val="008D7294"/>
    <w:rsid w:val="008D7788"/>
    <w:rsid w:val="008D7ADC"/>
    <w:rsid w:val="008D7FA8"/>
    <w:rsid w:val="008E05AA"/>
    <w:rsid w:val="008E0ECC"/>
    <w:rsid w:val="008E0F0F"/>
    <w:rsid w:val="008E1B77"/>
    <w:rsid w:val="008E1C3A"/>
    <w:rsid w:val="008E1EFD"/>
    <w:rsid w:val="008E2016"/>
    <w:rsid w:val="008E2CD3"/>
    <w:rsid w:val="008E3597"/>
    <w:rsid w:val="008E36D2"/>
    <w:rsid w:val="008E394A"/>
    <w:rsid w:val="008E3D5F"/>
    <w:rsid w:val="008E4893"/>
    <w:rsid w:val="008E4B7D"/>
    <w:rsid w:val="008E50B2"/>
    <w:rsid w:val="008E5116"/>
    <w:rsid w:val="008E5302"/>
    <w:rsid w:val="008E5B57"/>
    <w:rsid w:val="008E6C1B"/>
    <w:rsid w:val="008E6CCF"/>
    <w:rsid w:val="008E6E5E"/>
    <w:rsid w:val="008E705E"/>
    <w:rsid w:val="008E7401"/>
    <w:rsid w:val="008E772F"/>
    <w:rsid w:val="008E7970"/>
    <w:rsid w:val="008E7F73"/>
    <w:rsid w:val="008F01DC"/>
    <w:rsid w:val="008F0364"/>
    <w:rsid w:val="008F0525"/>
    <w:rsid w:val="008F08EA"/>
    <w:rsid w:val="008F0E75"/>
    <w:rsid w:val="008F1020"/>
    <w:rsid w:val="008F1B83"/>
    <w:rsid w:val="008F2738"/>
    <w:rsid w:val="008F38BB"/>
    <w:rsid w:val="008F3C59"/>
    <w:rsid w:val="008F4233"/>
    <w:rsid w:val="008F43A3"/>
    <w:rsid w:val="008F4FB3"/>
    <w:rsid w:val="008F50D8"/>
    <w:rsid w:val="008F532B"/>
    <w:rsid w:val="008F5743"/>
    <w:rsid w:val="008F6CE8"/>
    <w:rsid w:val="008F6D81"/>
    <w:rsid w:val="008F708C"/>
    <w:rsid w:val="008F7455"/>
    <w:rsid w:val="008F77CD"/>
    <w:rsid w:val="008F7944"/>
    <w:rsid w:val="008F797E"/>
    <w:rsid w:val="008F7C33"/>
    <w:rsid w:val="008F7D88"/>
    <w:rsid w:val="009006D4"/>
    <w:rsid w:val="00900AA3"/>
    <w:rsid w:val="0090115B"/>
    <w:rsid w:val="00901242"/>
    <w:rsid w:val="0090140B"/>
    <w:rsid w:val="009019AA"/>
    <w:rsid w:val="00901C98"/>
    <w:rsid w:val="00902239"/>
    <w:rsid w:val="009023BF"/>
    <w:rsid w:val="009030F0"/>
    <w:rsid w:val="0090335A"/>
    <w:rsid w:val="00903C7C"/>
    <w:rsid w:val="009043CA"/>
    <w:rsid w:val="0090491B"/>
    <w:rsid w:val="00904937"/>
    <w:rsid w:val="00904DF7"/>
    <w:rsid w:val="00904E6E"/>
    <w:rsid w:val="0090536D"/>
    <w:rsid w:val="00905B48"/>
    <w:rsid w:val="00905FD7"/>
    <w:rsid w:val="00906445"/>
    <w:rsid w:val="009067DB"/>
    <w:rsid w:val="0090759E"/>
    <w:rsid w:val="00907B15"/>
    <w:rsid w:val="00907CDB"/>
    <w:rsid w:val="00910276"/>
    <w:rsid w:val="00910435"/>
    <w:rsid w:val="0091045A"/>
    <w:rsid w:val="00911174"/>
    <w:rsid w:val="00911CD8"/>
    <w:rsid w:val="00912930"/>
    <w:rsid w:val="00912BC1"/>
    <w:rsid w:val="0091318B"/>
    <w:rsid w:val="00913601"/>
    <w:rsid w:val="009136C2"/>
    <w:rsid w:val="00913800"/>
    <w:rsid w:val="00914621"/>
    <w:rsid w:val="00915196"/>
    <w:rsid w:val="00915780"/>
    <w:rsid w:val="00915AF0"/>
    <w:rsid w:val="00915B0B"/>
    <w:rsid w:val="009160DE"/>
    <w:rsid w:val="00916BD1"/>
    <w:rsid w:val="00916C60"/>
    <w:rsid w:val="00916F93"/>
    <w:rsid w:val="009174E9"/>
    <w:rsid w:val="009177B0"/>
    <w:rsid w:val="00917BA5"/>
    <w:rsid w:val="00917BCF"/>
    <w:rsid w:val="00920659"/>
    <w:rsid w:val="00920A54"/>
    <w:rsid w:val="009211BC"/>
    <w:rsid w:val="009213EC"/>
    <w:rsid w:val="0092163C"/>
    <w:rsid w:val="00922007"/>
    <w:rsid w:val="009220EA"/>
    <w:rsid w:val="00922126"/>
    <w:rsid w:val="009225F8"/>
    <w:rsid w:val="009226AC"/>
    <w:rsid w:val="00922BB7"/>
    <w:rsid w:val="00922EAA"/>
    <w:rsid w:val="009231BA"/>
    <w:rsid w:val="009237AC"/>
    <w:rsid w:val="00923919"/>
    <w:rsid w:val="00923C38"/>
    <w:rsid w:val="00923EAD"/>
    <w:rsid w:val="0092400E"/>
    <w:rsid w:val="0092413E"/>
    <w:rsid w:val="00924914"/>
    <w:rsid w:val="00925C9F"/>
    <w:rsid w:val="009260BF"/>
    <w:rsid w:val="00926434"/>
    <w:rsid w:val="00926484"/>
    <w:rsid w:val="00926AE0"/>
    <w:rsid w:val="00926EF5"/>
    <w:rsid w:val="0092709C"/>
    <w:rsid w:val="0092791A"/>
    <w:rsid w:val="00930022"/>
    <w:rsid w:val="00930121"/>
    <w:rsid w:val="009310D1"/>
    <w:rsid w:val="009310E4"/>
    <w:rsid w:val="00931115"/>
    <w:rsid w:val="00931155"/>
    <w:rsid w:val="009319AA"/>
    <w:rsid w:val="00931C9B"/>
    <w:rsid w:val="00931E46"/>
    <w:rsid w:val="00932073"/>
    <w:rsid w:val="00932659"/>
    <w:rsid w:val="009327FD"/>
    <w:rsid w:val="00932805"/>
    <w:rsid w:val="00932C33"/>
    <w:rsid w:val="0093371C"/>
    <w:rsid w:val="00933A1E"/>
    <w:rsid w:val="00934207"/>
    <w:rsid w:val="0093421A"/>
    <w:rsid w:val="00934EBA"/>
    <w:rsid w:val="0093617C"/>
    <w:rsid w:val="009368A5"/>
    <w:rsid w:val="00936B7B"/>
    <w:rsid w:val="00937A08"/>
    <w:rsid w:val="00940221"/>
    <w:rsid w:val="00940858"/>
    <w:rsid w:val="009413F7"/>
    <w:rsid w:val="009414B4"/>
    <w:rsid w:val="0094173B"/>
    <w:rsid w:val="00941893"/>
    <w:rsid w:val="00941B49"/>
    <w:rsid w:val="00941F0D"/>
    <w:rsid w:val="009426D3"/>
    <w:rsid w:val="00943397"/>
    <w:rsid w:val="009443E6"/>
    <w:rsid w:val="00944941"/>
    <w:rsid w:val="00945BBB"/>
    <w:rsid w:val="00946137"/>
    <w:rsid w:val="00946160"/>
    <w:rsid w:val="00946631"/>
    <w:rsid w:val="00946E36"/>
    <w:rsid w:val="00946EBF"/>
    <w:rsid w:val="00947091"/>
    <w:rsid w:val="00947260"/>
    <w:rsid w:val="00947A00"/>
    <w:rsid w:val="00947A3B"/>
    <w:rsid w:val="00947E00"/>
    <w:rsid w:val="00947FED"/>
    <w:rsid w:val="00950008"/>
    <w:rsid w:val="00950A92"/>
    <w:rsid w:val="009510B1"/>
    <w:rsid w:val="00951A05"/>
    <w:rsid w:val="00951A56"/>
    <w:rsid w:val="00951BF9"/>
    <w:rsid w:val="0095227A"/>
    <w:rsid w:val="0095242B"/>
    <w:rsid w:val="0095243F"/>
    <w:rsid w:val="00952E99"/>
    <w:rsid w:val="00952EBC"/>
    <w:rsid w:val="00953AB2"/>
    <w:rsid w:val="00953E8B"/>
    <w:rsid w:val="009549C7"/>
    <w:rsid w:val="009551CB"/>
    <w:rsid w:val="00956066"/>
    <w:rsid w:val="009561AC"/>
    <w:rsid w:val="00956828"/>
    <w:rsid w:val="009568F9"/>
    <w:rsid w:val="00956937"/>
    <w:rsid w:val="00956C8B"/>
    <w:rsid w:val="00956CDA"/>
    <w:rsid w:val="00957118"/>
    <w:rsid w:val="009576F4"/>
    <w:rsid w:val="00957B1E"/>
    <w:rsid w:val="00957C75"/>
    <w:rsid w:val="0096006A"/>
    <w:rsid w:val="009608A8"/>
    <w:rsid w:val="009608AD"/>
    <w:rsid w:val="009614AD"/>
    <w:rsid w:val="00961853"/>
    <w:rsid w:val="00961879"/>
    <w:rsid w:val="00961B7E"/>
    <w:rsid w:val="00961FDD"/>
    <w:rsid w:val="00962F6F"/>
    <w:rsid w:val="00963BD4"/>
    <w:rsid w:val="0096414C"/>
    <w:rsid w:val="00964311"/>
    <w:rsid w:val="0096443D"/>
    <w:rsid w:val="0096496B"/>
    <w:rsid w:val="00964D61"/>
    <w:rsid w:val="0096537F"/>
    <w:rsid w:val="009653F8"/>
    <w:rsid w:val="00965439"/>
    <w:rsid w:val="00965BAF"/>
    <w:rsid w:val="0096604A"/>
    <w:rsid w:val="00966BB7"/>
    <w:rsid w:val="00966C6B"/>
    <w:rsid w:val="00966D7A"/>
    <w:rsid w:val="00966DFB"/>
    <w:rsid w:val="00967067"/>
    <w:rsid w:val="0096712D"/>
    <w:rsid w:val="00967D07"/>
    <w:rsid w:val="0097015C"/>
    <w:rsid w:val="00970CB8"/>
    <w:rsid w:val="00970F5E"/>
    <w:rsid w:val="00970F9B"/>
    <w:rsid w:val="009711E4"/>
    <w:rsid w:val="00971CB3"/>
    <w:rsid w:val="00971E83"/>
    <w:rsid w:val="0097230D"/>
    <w:rsid w:val="00972B27"/>
    <w:rsid w:val="00972D98"/>
    <w:rsid w:val="0097308A"/>
    <w:rsid w:val="009730FE"/>
    <w:rsid w:val="0097328E"/>
    <w:rsid w:val="009733DA"/>
    <w:rsid w:val="00973812"/>
    <w:rsid w:val="0097489E"/>
    <w:rsid w:val="009749B9"/>
    <w:rsid w:val="00974A28"/>
    <w:rsid w:val="009750C3"/>
    <w:rsid w:val="00975168"/>
    <w:rsid w:val="00975D5D"/>
    <w:rsid w:val="00976384"/>
    <w:rsid w:val="0097663C"/>
    <w:rsid w:val="009768D0"/>
    <w:rsid w:val="00976E6C"/>
    <w:rsid w:val="00977150"/>
    <w:rsid w:val="0097730E"/>
    <w:rsid w:val="009777C3"/>
    <w:rsid w:val="00977E3C"/>
    <w:rsid w:val="00980001"/>
    <w:rsid w:val="0098054E"/>
    <w:rsid w:val="00980EB0"/>
    <w:rsid w:val="009814C7"/>
    <w:rsid w:val="00982022"/>
    <w:rsid w:val="0098212A"/>
    <w:rsid w:val="0098219D"/>
    <w:rsid w:val="009823EC"/>
    <w:rsid w:val="00982F85"/>
    <w:rsid w:val="009830A6"/>
    <w:rsid w:val="00983386"/>
    <w:rsid w:val="00983CAB"/>
    <w:rsid w:val="00984134"/>
    <w:rsid w:val="00984254"/>
    <w:rsid w:val="0098468C"/>
    <w:rsid w:val="00984994"/>
    <w:rsid w:val="00984EBB"/>
    <w:rsid w:val="0098530E"/>
    <w:rsid w:val="00985F67"/>
    <w:rsid w:val="00986787"/>
    <w:rsid w:val="0098692B"/>
    <w:rsid w:val="00986982"/>
    <w:rsid w:val="009870EF"/>
    <w:rsid w:val="00987AE5"/>
    <w:rsid w:val="009909B3"/>
    <w:rsid w:val="00991186"/>
    <w:rsid w:val="00991D3C"/>
    <w:rsid w:val="0099212F"/>
    <w:rsid w:val="009921EE"/>
    <w:rsid w:val="00992715"/>
    <w:rsid w:val="00992A6B"/>
    <w:rsid w:val="00992B79"/>
    <w:rsid w:val="00992F3D"/>
    <w:rsid w:val="0099300B"/>
    <w:rsid w:val="00993419"/>
    <w:rsid w:val="0099352B"/>
    <w:rsid w:val="00993C0A"/>
    <w:rsid w:val="00994046"/>
    <w:rsid w:val="009941E3"/>
    <w:rsid w:val="0099439B"/>
    <w:rsid w:val="00994AFE"/>
    <w:rsid w:val="00994D90"/>
    <w:rsid w:val="009951FB"/>
    <w:rsid w:val="00995AB7"/>
    <w:rsid w:val="00995E13"/>
    <w:rsid w:val="00995E56"/>
    <w:rsid w:val="00995F0F"/>
    <w:rsid w:val="00996253"/>
    <w:rsid w:val="009962D9"/>
    <w:rsid w:val="00996414"/>
    <w:rsid w:val="00997B5E"/>
    <w:rsid w:val="00997CAD"/>
    <w:rsid w:val="00997CE6"/>
    <w:rsid w:val="009A01F2"/>
    <w:rsid w:val="009A0211"/>
    <w:rsid w:val="009A06CF"/>
    <w:rsid w:val="009A0A28"/>
    <w:rsid w:val="009A0D89"/>
    <w:rsid w:val="009A0E3A"/>
    <w:rsid w:val="009A1042"/>
    <w:rsid w:val="009A14D4"/>
    <w:rsid w:val="009A21E1"/>
    <w:rsid w:val="009A2347"/>
    <w:rsid w:val="009A2933"/>
    <w:rsid w:val="009A2B1E"/>
    <w:rsid w:val="009A3FB6"/>
    <w:rsid w:val="009A446B"/>
    <w:rsid w:val="009A4576"/>
    <w:rsid w:val="009A4612"/>
    <w:rsid w:val="009A474F"/>
    <w:rsid w:val="009A4804"/>
    <w:rsid w:val="009A571F"/>
    <w:rsid w:val="009A59D2"/>
    <w:rsid w:val="009A5C38"/>
    <w:rsid w:val="009A5E20"/>
    <w:rsid w:val="009A63FB"/>
    <w:rsid w:val="009A656E"/>
    <w:rsid w:val="009A661A"/>
    <w:rsid w:val="009A69C3"/>
    <w:rsid w:val="009A74E5"/>
    <w:rsid w:val="009A761C"/>
    <w:rsid w:val="009A7B34"/>
    <w:rsid w:val="009A7F48"/>
    <w:rsid w:val="009B0F3A"/>
    <w:rsid w:val="009B1385"/>
    <w:rsid w:val="009B13AE"/>
    <w:rsid w:val="009B1407"/>
    <w:rsid w:val="009B158B"/>
    <w:rsid w:val="009B1B88"/>
    <w:rsid w:val="009B1C0C"/>
    <w:rsid w:val="009B1E66"/>
    <w:rsid w:val="009B2017"/>
    <w:rsid w:val="009B210E"/>
    <w:rsid w:val="009B27DE"/>
    <w:rsid w:val="009B2850"/>
    <w:rsid w:val="009B2975"/>
    <w:rsid w:val="009B2A13"/>
    <w:rsid w:val="009B2BC1"/>
    <w:rsid w:val="009B3191"/>
    <w:rsid w:val="009B3757"/>
    <w:rsid w:val="009B3779"/>
    <w:rsid w:val="009B3816"/>
    <w:rsid w:val="009B3E8C"/>
    <w:rsid w:val="009B404C"/>
    <w:rsid w:val="009B4205"/>
    <w:rsid w:val="009B4442"/>
    <w:rsid w:val="009B4534"/>
    <w:rsid w:val="009B4E43"/>
    <w:rsid w:val="009B5314"/>
    <w:rsid w:val="009B5415"/>
    <w:rsid w:val="009B5690"/>
    <w:rsid w:val="009B5BDA"/>
    <w:rsid w:val="009B6543"/>
    <w:rsid w:val="009B6682"/>
    <w:rsid w:val="009B7102"/>
    <w:rsid w:val="009B76C6"/>
    <w:rsid w:val="009B7A62"/>
    <w:rsid w:val="009C01A4"/>
    <w:rsid w:val="009C0513"/>
    <w:rsid w:val="009C07BF"/>
    <w:rsid w:val="009C115C"/>
    <w:rsid w:val="009C1264"/>
    <w:rsid w:val="009C15F9"/>
    <w:rsid w:val="009C1C4F"/>
    <w:rsid w:val="009C1D00"/>
    <w:rsid w:val="009C2FF9"/>
    <w:rsid w:val="009C3522"/>
    <w:rsid w:val="009C35EB"/>
    <w:rsid w:val="009C3780"/>
    <w:rsid w:val="009C4083"/>
    <w:rsid w:val="009C49D6"/>
    <w:rsid w:val="009C4C49"/>
    <w:rsid w:val="009C5318"/>
    <w:rsid w:val="009C53CA"/>
    <w:rsid w:val="009C565C"/>
    <w:rsid w:val="009C5793"/>
    <w:rsid w:val="009C5FE8"/>
    <w:rsid w:val="009C61AD"/>
    <w:rsid w:val="009C61F1"/>
    <w:rsid w:val="009C6329"/>
    <w:rsid w:val="009C6811"/>
    <w:rsid w:val="009C727D"/>
    <w:rsid w:val="009C7478"/>
    <w:rsid w:val="009C74B8"/>
    <w:rsid w:val="009C7785"/>
    <w:rsid w:val="009D00F5"/>
    <w:rsid w:val="009D083B"/>
    <w:rsid w:val="009D0C14"/>
    <w:rsid w:val="009D0C21"/>
    <w:rsid w:val="009D10A0"/>
    <w:rsid w:val="009D1246"/>
    <w:rsid w:val="009D1509"/>
    <w:rsid w:val="009D18E5"/>
    <w:rsid w:val="009D1A4E"/>
    <w:rsid w:val="009D1C23"/>
    <w:rsid w:val="009D1F78"/>
    <w:rsid w:val="009D25E7"/>
    <w:rsid w:val="009D30EE"/>
    <w:rsid w:val="009D348E"/>
    <w:rsid w:val="009D41FC"/>
    <w:rsid w:val="009D4614"/>
    <w:rsid w:val="009D4A89"/>
    <w:rsid w:val="009D54AC"/>
    <w:rsid w:val="009D57A3"/>
    <w:rsid w:val="009D5BB0"/>
    <w:rsid w:val="009D5D3C"/>
    <w:rsid w:val="009D6297"/>
    <w:rsid w:val="009D6AB3"/>
    <w:rsid w:val="009D6CA5"/>
    <w:rsid w:val="009D7271"/>
    <w:rsid w:val="009D79E8"/>
    <w:rsid w:val="009D7C96"/>
    <w:rsid w:val="009E0E93"/>
    <w:rsid w:val="009E1420"/>
    <w:rsid w:val="009E191C"/>
    <w:rsid w:val="009E197B"/>
    <w:rsid w:val="009E19EA"/>
    <w:rsid w:val="009E204F"/>
    <w:rsid w:val="009E2723"/>
    <w:rsid w:val="009E2937"/>
    <w:rsid w:val="009E2CF6"/>
    <w:rsid w:val="009E2E8A"/>
    <w:rsid w:val="009E3CFB"/>
    <w:rsid w:val="009E4666"/>
    <w:rsid w:val="009E4778"/>
    <w:rsid w:val="009E4915"/>
    <w:rsid w:val="009E4E7D"/>
    <w:rsid w:val="009E51DA"/>
    <w:rsid w:val="009E529E"/>
    <w:rsid w:val="009E545C"/>
    <w:rsid w:val="009E5DB4"/>
    <w:rsid w:val="009E5FD7"/>
    <w:rsid w:val="009E6459"/>
    <w:rsid w:val="009E671A"/>
    <w:rsid w:val="009E6960"/>
    <w:rsid w:val="009E6C81"/>
    <w:rsid w:val="009E7064"/>
    <w:rsid w:val="009E729C"/>
    <w:rsid w:val="009E73F1"/>
    <w:rsid w:val="009E74BA"/>
    <w:rsid w:val="009E7EA1"/>
    <w:rsid w:val="009F000D"/>
    <w:rsid w:val="009F0468"/>
    <w:rsid w:val="009F0B1A"/>
    <w:rsid w:val="009F0DD6"/>
    <w:rsid w:val="009F13E9"/>
    <w:rsid w:val="009F18AA"/>
    <w:rsid w:val="009F1A39"/>
    <w:rsid w:val="009F2498"/>
    <w:rsid w:val="009F261F"/>
    <w:rsid w:val="009F2744"/>
    <w:rsid w:val="009F2BF4"/>
    <w:rsid w:val="009F2E46"/>
    <w:rsid w:val="009F3451"/>
    <w:rsid w:val="009F362F"/>
    <w:rsid w:val="009F41BB"/>
    <w:rsid w:val="009F485E"/>
    <w:rsid w:val="009F554E"/>
    <w:rsid w:val="009F5822"/>
    <w:rsid w:val="009F60AE"/>
    <w:rsid w:val="009F663E"/>
    <w:rsid w:val="009F6BAB"/>
    <w:rsid w:val="009F6E1B"/>
    <w:rsid w:val="009F78C2"/>
    <w:rsid w:val="00A00534"/>
    <w:rsid w:val="00A0053D"/>
    <w:rsid w:val="00A00891"/>
    <w:rsid w:val="00A00DD3"/>
    <w:rsid w:val="00A01653"/>
    <w:rsid w:val="00A01ED1"/>
    <w:rsid w:val="00A02482"/>
    <w:rsid w:val="00A0253A"/>
    <w:rsid w:val="00A0257B"/>
    <w:rsid w:val="00A0269B"/>
    <w:rsid w:val="00A02AB4"/>
    <w:rsid w:val="00A02B72"/>
    <w:rsid w:val="00A03889"/>
    <w:rsid w:val="00A03B78"/>
    <w:rsid w:val="00A03C1C"/>
    <w:rsid w:val="00A04537"/>
    <w:rsid w:val="00A045C2"/>
    <w:rsid w:val="00A04849"/>
    <w:rsid w:val="00A04B2F"/>
    <w:rsid w:val="00A06388"/>
    <w:rsid w:val="00A06DAD"/>
    <w:rsid w:val="00A06E6B"/>
    <w:rsid w:val="00A0737A"/>
    <w:rsid w:val="00A075DC"/>
    <w:rsid w:val="00A07604"/>
    <w:rsid w:val="00A079F8"/>
    <w:rsid w:val="00A07D14"/>
    <w:rsid w:val="00A07F13"/>
    <w:rsid w:val="00A103B2"/>
    <w:rsid w:val="00A10911"/>
    <w:rsid w:val="00A10F54"/>
    <w:rsid w:val="00A1105B"/>
    <w:rsid w:val="00A11087"/>
    <w:rsid w:val="00A118CB"/>
    <w:rsid w:val="00A11A5C"/>
    <w:rsid w:val="00A11C09"/>
    <w:rsid w:val="00A11C32"/>
    <w:rsid w:val="00A11C45"/>
    <w:rsid w:val="00A11DF3"/>
    <w:rsid w:val="00A11F8F"/>
    <w:rsid w:val="00A1225B"/>
    <w:rsid w:val="00A1231C"/>
    <w:rsid w:val="00A1250F"/>
    <w:rsid w:val="00A1271E"/>
    <w:rsid w:val="00A1385E"/>
    <w:rsid w:val="00A13B76"/>
    <w:rsid w:val="00A13CD3"/>
    <w:rsid w:val="00A14775"/>
    <w:rsid w:val="00A14B90"/>
    <w:rsid w:val="00A14C08"/>
    <w:rsid w:val="00A15106"/>
    <w:rsid w:val="00A1512B"/>
    <w:rsid w:val="00A159E0"/>
    <w:rsid w:val="00A159FA"/>
    <w:rsid w:val="00A15E57"/>
    <w:rsid w:val="00A16437"/>
    <w:rsid w:val="00A17382"/>
    <w:rsid w:val="00A17AF2"/>
    <w:rsid w:val="00A20164"/>
    <w:rsid w:val="00A205F8"/>
    <w:rsid w:val="00A207F4"/>
    <w:rsid w:val="00A21024"/>
    <w:rsid w:val="00A2156B"/>
    <w:rsid w:val="00A21CE9"/>
    <w:rsid w:val="00A21D19"/>
    <w:rsid w:val="00A2205C"/>
    <w:rsid w:val="00A22B82"/>
    <w:rsid w:val="00A22E62"/>
    <w:rsid w:val="00A22F39"/>
    <w:rsid w:val="00A23E0D"/>
    <w:rsid w:val="00A23E3A"/>
    <w:rsid w:val="00A24620"/>
    <w:rsid w:val="00A24FE6"/>
    <w:rsid w:val="00A2635F"/>
    <w:rsid w:val="00A26C56"/>
    <w:rsid w:val="00A26FA1"/>
    <w:rsid w:val="00A27132"/>
    <w:rsid w:val="00A2784D"/>
    <w:rsid w:val="00A27938"/>
    <w:rsid w:val="00A27E96"/>
    <w:rsid w:val="00A30B9B"/>
    <w:rsid w:val="00A30E23"/>
    <w:rsid w:val="00A3105C"/>
    <w:rsid w:val="00A31352"/>
    <w:rsid w:val="00A31928"/>
    <w:rsid w:val="00A31C85"/>
    <w:rsid w:val="00A32205"/>
    <w:rsid w:val="00A32493"/>
    <w:rsid w:val="00A32EA6"/>
    <w:rsid w:val="00A33463"/>
    <w:rsid w:val="00A335F6"/>
    <w:rsid w:val="00A33988"/>
    <w:rsid w:val="00A33A07"/>
    <w:rsid w:val="00A33CDE"/>
    <w:rsid w:val="00A34964"/>
    <w:rsid w:val="00A34A61"/>
    <w:rsid w:val="00A34BCF"/>
    <w:rsid w:val="00A34C7F"/>
    <w:rsid w:val="00A34D17"/>
    <w:rsid w:val="00A35556"/>
    <w:rsid w:val="00A35744"/>
    <w:rsid w:val="00A35B4A"/>
    <w:rsid w:val="00A36C21"/>
    <w:rsid w:val="00A400EC"/>
    <w:rsid w:val="00A40481"/>
    <w:rsid w:val="00A40C32"/>
    <w:rsid w:val="00A40EE0"/>
    <w:rsid w:val="00A41033"/>
    <w:rsid w:val="00A41087"/>
    <w:rsid w:val="00A41330"/>
    <w:rsid w:val="00A4137A"/>
    <w:rsid w:val="00A4143F"/>
    <w:rsid w:val="00A4148E"/>
    <w:rsid w:val="00A415CE"/>
    <w:rsid w:val="00A41883"/>
    <w:rsid w:val="00A41BE4"/>
    <w:rsid w:val="00A41FB3"/>
    <w:rsid w:val="00A42335"/>
    <w:rsid w:val="00A427B2"/>
    <w:rsid w:val="00A4294C"/>
    <w:rsid w:val="00A429B1"/>
    <w:rsid w:val="00A42B11"/>
    <w:rsid w:val="00A43329"/>
    <w:rsid w:val="00A440C5"/>
    <w:rsid w:val="00A443EA"/>
    <w:rsid w:val="00A4478E"/>
    <w:rsid w:val="00A44854"/>
    <w:rsid w:val="00A44F90"/>
    <w:rsid w:val="00A46182"/>
    <w:rsid w:val="00A46528"/>
    <w:rsid w:val="00A46711"/>
    <w:rsid w:val="00A46C30"/>
    <w:rsid w:val="00A46E01"/>
    <w:rsid w:val="00A47A3D"/>
    <w:rsid w:val="00A50047"/>
    <w:rsid w:val="00A50780"/>
    <w:rsid w:val="00A51630"/>
    <w:rsid w:val="00A51C6A"/>
    <w:rsid w:val="00A52557"/>
    <w:rsid w:val="00A52A89"/>
    <w:rsid w:val="00A52C28"/>
    <w:rsid w:val="00A52CDB"/>
    <w:rsid w:val="00A52FAD"/>
    <w:rsid w:val="00A52FE0"/>
    <w:rsid w:val="00A53A17"/>
    <w:rsid w:val="00A53AB3"/>
    <w:rsid w:val="00A541F6"/>
    <w:rsid w:val="00A543B1"/>
    <w:rsid w:val="00A54BBD"/>
    <w:rsid w:val="00A54F65"/>
    <w:rsid w:val="00A55012"/>
    <w:rsid w:val="00A55228"/>
    <w:rsid w:val="00A552FE"/>
    <w:rsid w:val="00A5556A"/>
    <w:rsid w:val="00A557BF"/>
    <w:rsid w:val="00A55C4D"/>
    <w:rsid w:val="00A56387"/>
    <w:rsid w:val="00A564F4"/>
    <w:rsid w:val="00A5665F"/>
    <w:rsid w:val="00A575E3"/>
    <w:rsid w:val="00A60508"/>
    <w:rsid w:val="00A608B9"/>
    <w:rsid w:val="00A60A18"/>
    <w:rsid w:val="00A60C82"/>
    <w:rsid w:val="00A61C72"/>
    <w:rsid w:val="00A61EB3"/>
    <w:rsid w:val="00A61FF9"/>
    <w:rsid w:val="00A62ED1"/>
    <w:rsid w:val="00A633FF"/>
    <w:rsid w:val="00A634F1"/>
    <w:rsid w:val="00A63597"/>
    <w:rsid w:val="00A63D59"/>
    <w:rsid w:val="00A6465F"/>
    <w:rsid w:val="00A6470C"/>
    <w:rsid w:val="00A64923"/>
    <w:rsid w:val="00A651B5"/>
    <w:rsid w:val="00A65250"/>
    <w:rsid w:val="00A6585E"/>
    <w:rsid w:val="00A65EF5"/>
    <w:rsid w:val="00A669CE"/>
    <w:rsid w:val="00A66B11"/>
    <w:rsid w:val="00A66BFF"/>
    <w:rsid w:val="00A66CB9"/>
    <w:rsid w:val="00A66FB7"/>
    <w:rsid w:val="00A675C1"/>
    <w:rsid w:val="00A67975"/>
    <w:rsid w:val="00A67EB2"/>
    <w:rsid w:val="00A70E6F"/>
    <w:rsid w:val="00A71A8D"/>
    <w:rsid w:val="00A71AA3"/>
    <w:rsid w:val="00A71DFB"/>
    <w:rsid w:val="00A722B0"/>
    <w:rsid w:val="00A72A34"/>
    <w:rsid w:val="00A7386B"/>
    <w:rsid w:val="00A73EA9"/>
    <w:rsid w:val="00A73F50"/>
    <w:rsid w:val="00A741B2"/>
    <w:rsid w:val="00A741F7"/>
    <w:rsid w:val="00A7423C"/>
    <w:rsid w:val="00A743E6"/>
    <w:rsid w:val="00A753F6"/>
    <w:rsid w:val="00A75672"/>
    <w:rsid w:val="00A75B6F"/>
    <w:rsid w:val="00A764F8"/>
    <w:rsid w:val="00A765B8"/>
    <w:rsid w:val="00A76DDA"/>
    <w:rsid w:val="00A76F71"/>
    <w:rsid w:val="00A77BA5"/>
    <w:rsid w:val="00A80EC7"/>
    <w:rsid w:val="00A812BA"/>
    <w:rsid w:val="00A81457"/>
    <w:rsid w:val="00A81A70"/>
    <w:rsid w:val="00A81AB1"/>
    <w:rsid w:val="00A81C04"/>
    <w:rsid w:val="00A82979"/>
    <w:rsid w:val="00A82AE1"/>
    <w:rsid w:val="00A82D4D"/>
    <w:rsid w:val="00A83284"/>
    <w:rsid w:val="00A832F3"/>
    <w:rsid w:val="00A8363C"/>
    <w:rsid w:val="00A8371D"/>
    <w:rsid w:val="00A837D1"/>
    <w:rsid w:val="00A83A46"/>
    <w:rsid w:val="00A83DEC"/>
    <w:rsid w:val="00A84008"/>
    <w:rsid w:val="00A8410E"/>
    <w:rsid w:val="00A842A5"/>
    <w:rsid w:val="00A843F1"/>
    <w:rsid w:val="00A844C8"/>
    <w:rsid w:val="00A84E8F"/>
    <w:rsid w:val="00A8557C"/>
    <w:rsid w:val="00A85732"/>
    <w:rsid w:val="00A85969"/>
    <w:rsid w:val="00A859F4"/>
    <w:rsid w:val="00A86129"/>
    <w:rsid w:val="00A87550"/>
    <w:rsid w:val="00A87A3B"/>
    <w:rsid w:val="00A87BA9"/>
    <w:rsid w:val="00A900B7"/>
    <w:rsid w:val="00A905AD"/>
    <w:rsid w:val="00A9075D"/>
    <w:rsid w:val="00A907F0"/>
    <w:rsid w:val="00A91244"/>
    <w:rsid w:val="00A91419"/>
    <w:rsid w:val="00A91729"/>
    <w:rsid w:val="00A91A7A"/>
    <w:rsid w:val="00A91C09"/>
    <w:rsid w:val="00A92B1B"/>
    <w:rsid w:val="00A93133"/>
    <w:rsid w:val="00A93B60"/>
    <w:rsid w:val="00A941B4"/>
    <w:rsid w:val="00A947DD"/>
    <w:rsid w:val="00A95998"/>
    <w:rsid w:val="00A966B6"/>
    <w:rsid w:val="00A96BC0"/>
    <w:rsid w:val="00A97723"/>
    <w:rsid w:val="00A97AE6"/>
    <w:rsid w:val="00AA015A"/>
    <w:rsid w:val="00AA0660"/>
    <w:rsid w:val="00AA0BAA"/>
    <w:rsid w:val="00AA1B3E"/>
    <w:rsid w:val="00AA236D"/>
    <w:rsid w:val="00AA2736"/>
    <w:rsid w:val="00AA2A68"/>
    <w:rsid w:val="00AA2B93"/>
    <w:rsid w:val="00AA2DF5"/>
    <w:rsid w:val="00AA4526"/>
    <w:rsid w:val="00AA4633"/>
    <w:rsid w:val="00AA4704"/>
    <w:rsid w:val="00AA489C"/>
    <w:rsid w:val="00AA499C"/>
    <w:rsid w:val="00AA4C17"/>
    <w:rsid w:val="00AA4C3B"/>
    <w:rsid w:val="00AA511A"/>
    <w:rsid w:val="00AA5398"/>
    <w:rsid w:val="00AA57FA"/>
    <w:rsid w:val="00AA581E"/>
    <w:rsid w:val="00AA5F7A"/>
    <w:rsid w:val="00AA6190"/>
    <w:rsid w:val="00AA699B"/>
    <w:rsid w:val="00AA6A5E"/>
    <w:rsid w:val="00AA6A71"/>
    <w:rsid w:val="00AA71C8"/>
    <w:rsid w:val="00AA7AB8"/>
    <w:rsid w:val="00AB050D"/>
    <w:rsid w:val="00AB0E17"/>
    <w:rsid w:val="00AB166A"/>
    <w:rsid w:val="00AB2CAF"/>
    <w:rsid w:val="00AB3551"/>
    <w:rsid w:val="00AB3564"/>
    <w:rsid w:val="00AB3694"/>
    <w:rsid w:val="00AB3866"/>
    <w:rsid w:val="00AB3A90"/>
    <w:rsid w:val="00AB3AF2"/>
    <w:rsid w:val="00AB3DA0"/>
    <w:rsid w:val="00AB3EB5"/>
    <w:rsid w:val="00AB46D8"/>
    <w:rsid w:val="00AB48EE"/>
    <w:rsid w:val="00AB4B6C"/>
    <w:rsid w:val="00AB503A"/>
    <w:rsid w:val="00AB514A"/>
    <w:rsid w:val="00AB6026"/>
    <w:rsid w:val="00AB624B"/>
    <w:rsid w:val="00AB69A9"/>
    <w:rsid w:val="00AB7349"/>
    <w:rsid w:val="00AB79BE"/>
    <w:rsid w:val="00AB7E3F"/>
    <w:rsid w:val="00AB7F92"/>
    <w:rsid w:val="00AC0007"/>
    <w:rsid w:val="00AC02F2"/>
    <w:rsid w:val="00AC0B24"/>
    <w:rsid w:val="00AC0DF7"/>
    <w:rsid w:val="00AC181E"/>
    <w:rsid w:val="00AC1E83"/>
    <w:rsid w:val="00AC2165"/>
    <w:rsid w:val="00AC24EB"/>
    <w:rsid w:val="00AC2C34"/>
    <w:rsid w:val="00AC2C52"/>
    <w:rsid w:val="00AC3147"/>
    <w:rsid w:val="00AC3ADE"/>
    <w:rsid w:val="00AC3EC1"/>
    <w:rsid w:val="00AC405E"/>
    <w:rsid w:val="00AC46C3"/>
    <w:rsid w:val="00AC46F7"/>
    <w:rsid w:val="00AC4B87"/>
    <w:rsid w:val="00AC4CC4"/>
    <w:rsid w:val="00AC4CF3"/>
    <w:rsid w:val="00AC570E"/>
    <w:rsid w:val="00AC585F"/>
    <w:rsid w:val="00AC5961"/>
    <w:rsid w:val="00AC5EAA"/>
    <w:rsid w:val="00AC6173"/>
    <w:rsid w:val="00AC6D94"/>
    <w:rsid w:val="00AC7733"/>
    <w:rsid w:val="00AC7A00"/>
    <w:rsid w:val="00AD024B"/>
    <w:rsid w:val="00AD0372"/>
    <w:rsid w:val="00AD072F"/>
    <w:rsid w:val="00AD0A37"/>
    <w:rsid w:val="00AD0B42"/>
    <w:rsid w:val="00AD0CA3"/>
    <w:rsid w:val="00AD0DDA"/>
    <w:rsid w:val="00AD1A25"/>
    <w:rsid w:val="00AD1BB9"/>
    <w:rsid w:val="00AD2473"/>
    <w:rsid w:val="00AD2CDA"/>
    <w:rsid w:val="00AD3654"/>
    <w:rsid w:val="00AD3B4F"/>
    <w:rsid w:val="00AD4192"/>
    <w:rsid w:val="00AD44CC"/>
    <w:rsid w:val="00AD45A9"/>
    <w:rsid w:val="00AD4AF3"/>
    <w:rsid w:val="00AD4DEE"/>
    <w:rsid w:val="00AD52BC"/>
    <w:rsid w:val="00AD5421"/>
    <w:rsid w:val="00AD5D36"/>
    <w:rsid w:val="00AD66E7"/>
    <w:rsid w:val="00AD67CA"/>
    <w:rsid w:val="00AD6BEC"/>
    <w:rsid w:val="00AD6F2E"/>
    <w:rsid w:val="00AD73C7"/>
    <w:rsid w:val="00AD7BE1"/>
    <w:rsid w:val="00AD7E85"/>
    <w:rsid w:val="00AD7F29"/>
    <w:rsid w:val="00AE05C1"/>
    <w:rsid w:val="00AE2139"/>
    <w:rsid w:val="00AE2860"/>
    <w:rsid w:val="00AE286D"/>
    <w:rsid w:val="00AE2D9A"/>
    <w:rsid w:val="00AE36B8"/>
    <w:rsid w:val="00AE3999"/>
    <w:rsid w:val="00AE3B89"/>
    <w:rsid w:val="00AE3F06"/>
    <w:rsid w:val="00AE4964"/>
    <w:rsid w:val="00AE5269"/>
    <w:rsid w:val="00AE579A"/>
    <w:rsid w:val="00AE58EF"/>
    <w:rsid w:val="00AE6324"/>
    <w:rsid w:val="00AE6325"/>
    <w:rsid w:val="00AE674D"/>
    <w:rsid w:val="00AE676A"/>
    <w:rsid w:val="00AE6AAE"/>
    <w:rsid w:val="00AE7C9C"/>
    <w:rsid w:val="00AE7D06"/>
    <w:rsid w:val="00AF0663"/>
    <w:rsid w:val="00AF1542"/>
    <w:rsid w:val="00AF1FE5"/>
    <w:rsid w:val="00AF1FEA"/>
    <w:rsid w:val="00AF2573"/>
    <w:rsid w:val="00AF3290"/>
    <w:rsid w:val="00AF34CC"/>
    <w:rsid w:val="00AF34D1"/>
    <w:rsid w:val="00AF3F68"/>
    <w:rsid w:val="00AF462B"/>
    <w:rsid w:val="00AF4A8F"/>
    <w:rsid w:val="00AF546B"/>
    <w:rsid w:val="00AF55DF"/>
    <w:rsid w:val="00AF59CC"/>
    <w:rsid w:val="00AF665C"/>
    <w:rsid w:val="00AF66AF"/>
    <w:rsid w:val="00AF6772"/>
    <w:rsid w:val="00AF67C8"/>
    <w:rsid w:val="00AF6C01"/>
    <w:rsid w:val="00AF6C06"/>
    <w:rsid w:val="00AF6E21"/>
    <w:rsid w:val="00AF7072"/>
    <w:rsid w:val="00AF714A"/>
    <w:rsid w:val="00AF77C8"/>
    <w:rsid w:val="00AF78EB"/>
    <w:rsid w:val="00AF7B40"/>
    <w:rsid w:val="00AF7C2F"/>
    <w:rsid w:val="00AF7E8D"/>
    <w:rsid w:val="00B001D8"/>
    <w:rsid w:val="00B00400"/>
    <w:rsid w:val="00B00977"/>
    <w:rsid w:val="00B00D95"/>
    <w:rsid w:val="00B00DB7"/>
    <w:rsid w:val="00B011DA"/>
    <w:rsid w:val="00B01D66"/>
    <w:rsid w:val="00B01D6B"/>
    <w:rsid w:val="00B02440"/>
    <w:rsid w:val="00B02769"/>
    <w:rsid w:val="00B03280"/>
    <w:rsid w:val="00B03283"/>
    <w:rsid w:val="00B033CB"/>
    <w:rsid w:val="00B0373E"/>
    <w:rsid w:val="00B041CF"/>
    <w:rsid w:val="00B049DA"/>
    <w:rsid w:val="00B05251"/>
    <w:rsid w:val="00B0565E"/>
    <w:rsid w:val="00B05AE6"/>
    <w:rsid w:val="00B0651B"/>
    <w:rsid w:val="00B066CE"/>
    <w:rsid w:val="00B0692B"/>
    <w:rsid w:val="00B06ACA"/>
    <w:rsid w:val="00B07375"/>
    <w:rsid w:val="00B076F5"/>
    <w:rsid w:val="00B07785"/>
    <w:rsid w:val="00B07CC3"/>
    <w:rsid w:val="00B07F92"/>
    <w:rsid w:val="00B07FCF"/>
    <w:rsid w:val="00B102FE"/>
    <w:rsid w:val="00B11207"/>
    <w:rsid w:val="00B117B0"/>
    <w:rsid w:val="00B11DF4"/>
    <w:rsid w:val="00B11EE5"/>
    <w:rsid w:val="00B120BB"/>
    <w:rsid w:val="00B1269D"/>
    <w:rsid w:val="00B12DF9"/>
    <w:rsid w:val="00B12F57"/>
    <w:rsid w:val="00B133A9"/>
    <w:rsid w:val="00B1350E"/>
    <w:rsid w:val="00B135C4"/>
    <w:rsid w:val="00B137CD"/>
    <w:rsid w:val="00B13D88"/>
    <w:rsid w:val="00B143C5"/>
    <w:rsid w:val="00B14D0B"/>
    <w:rsid w:val="00B14EF4"/>
    <w:rsid w:val="00B15800"/>
    <w:rsid w:val="00B15C30"/>
    <w:rsid w:val="00B1671D"/>
    <w:rsid w:val="00B1685E"/>
    <w:rsid w:val="00B16C0A"/>
    <w:rsid w:val="00B16CCA"/>
    <w:rsid w:val="00B16D77"/>
    <w:rsid w:val="00B176D3"/>
    <w:rsid w:val="00B177C8"/>
    <w:rsid w:val="00B17994"/>
    <w:rsid w:val="00B17A89"/>
    <w:rsid w:val="00B17ED5"/>
    <w:rsid w:val="00B203CA"/>
    <w:rsid w:val="00B209D9"/>
    <w:rsid w:val="00B20E43"/>
    <w:rsid w:val="00B20FD5"/>
    <w:rsid w:val="00B212FF"/>
    <w:rsid w:val="00B216E2"/>
    <w:rsid w:val="00B220F6"/>
    <w:rsid w:val="00B22110"/>
    <w:rsid w:val="00B226AC"/>
    <w:rsid w:val="00B2381C"/>
    <w:rsid w:val="00B24C15"/>
    <w:rsid w:val="00B24C6D"/>
    <w:rsid w:val="00B2522D"/>
    <w:rsid w:val="00B25680"/>
    <w:rsid w:val="00B2620D"/>
    <w:rsid w:val="00B2636A"/>
    <w:rsid w:val="00B26A4B"/>
    <w:rsid w:val="00B27220"/>
    <w:rsid w:val="00B27F39"/>
    <w:rsid w:val="00B301E4"/>
    <w:rsid w:val="00B3079E"/>
    <w:rsid w:val="00B30A51"/>
    <w:rsid w:val="00B31191"/>
    <w:rsid w:val="00B31470"/>
    <w:rsid w:val="00B32909"/>
    <w:rsid w:val="00B32C33"/>
    <w:rsid w:val="00B3348F"/>
    <w:rsid w:val="00B337A2"/>
    <w:rsid w:val="00B33AF3"/>
    <w:rsid w:val="00B342E9"/>
    <w:rsid w:val="00B3540E"/>
    <w:rsid w:val="00B35541"/>
    <w:rsid w:val="00B3646D"/>
    <w:rsid w:val="00B366E3"/>
    <w:rsid w:val="00B36B5C"/>
    <w:rsid w:val="00B3787E"/>
    <w:rsid w:val="00B37D4B"/>
    <w:rsid w:val="00B401AE"/>
    <w:rsid w:val="00B407E1"/>
    <w:rsid w:val="00B409F9"/>
    <w:rsid w:val="00B40F97"/>
    <w:rsid w:val="00B4124F"/>
    <w:rsid w:val="00B41C0F"/>
    <w:rsid w:val="00B422AF"/>
    <w:rsid w:val="00B4271E"/>
    <w:rsid w:val="00B42D47"/>
    <w:rsid w:val="00B43167"/>
    <w:rsid w:val="00B4340E"/>
    <w:rsid w:val="00B435F9"/>
    <w:rsid w:val="00B43E14"/>
    <w:rsid w:val="00B4550D"/>
    <w:rsid w:val="00B45747"/>
    <w:rsid w:val="00B46B27"/>
    <w:rsid w:val="00B46E44"/>
    <w:rsid w:val="00B470BD"/>
    <w:rsid w:val="00B47BFD"/>
    <w:rsid w:val="00B47DC8"/>
    <w:rsid w:val="00B47EB2"/>
    <w:rsid w:val="00B50794"/>
    <w:rsid w:val="00B50B12"/>
    <w:rsid w:val="00B5103D"/>
    <w:rsid w:val="00B51EE5"/>
    <w:rsid w:val="00B524F9"/>
    <w:rsid w:val="00B52A6C"/>
    <w:rsid w:val="00B53266"/>
    <w:rsid w:val="00B538CC"/>
    <w:rsid w:val="00B53985"/>
    <w:rsid w:val="00B53C9E"/>
    <w:rsid w:val="00B5420E"/>
    <w:rsid w:val="00B545AE"/>
    <w:rsid w:val="00B54687"/>
    <w:rsid w:val="00B54F34"/>
    <w:rsid w:val="00B5571B"/>
    <w:rsid w:val="00B558CA"/>
    <w:rsid w:val="00B55FA6"/>
    <w:rsid w:val="00B5646E"/>
    <w:rsid w:val="00B56DC2"/>
    <w:rsid w:val="00B5705B"/>
    <w:rsid w:val="00B57662"/>
    <w:rsid w:val="00B576EA"/>
    <w:rsid w:val="00B5789B"/>
    <w:rsid w:val="00B60FAF"/>
    <w:rsid w:val="00B6114E"/>
    <w:rsid w:val="00B611E8"/>
    <w:rsid w:val="00B61284"/>
    <w:rsid w:val="00B612E8"/>
    <w:rsid w:val="00B6140D"/>
    <w:rsid w:val="00B61554"/>
    <w:rsid w:val="00B6173A"/>
    <w:rsid w:val="00B61E2A"/>
    <w:rsid w:val="00B624DF"/>
    <w:rsid w:val="00B62856"/>
    <w:rsid w:val="00B62880"/>
    <w:rsid w:val="00B62CE5"/>
    <w:rsid w:val="00B62EE2"/>
    <w:rsid w:val="00B641E0"/>
    <w:rsid w:val="00B646F3"/>
    <w:rsid w:val="00B64B90"/>
    <w:rsid w:val="00B64C47"/>
    <w:rsid w:val="00B64D27"/>
    <w:rsid w:val="00B658A5"/>
    <w:rsid w:val="00B65A4B"/>
    <w:rsid w:val="00B65BEC"/>
    <w:rsid w:val="00B662BB"/>
    <w:rsid w:val="00B66480"/>
    <w:rsid w:val="00B666E5"/>
    <w:rsid w:val="00B66BD0"/>
    <w:rsid w:val="00B66DC7"/>
    <w:rsid w:val="00B66E3B"/>
    <w:rsid w:val="00B67940"/>
    <w:rsid w:val="00B67A3A"/>
    <w:rsid w:val="00B706D6"/>
    <w:rsid w:val="00B70A74"/>
    <w:rsid w:val="00B71B70"/>
    <w:rsid w:val="00B72519"/>
    <w:rsid w:val="00B7310D"/>
    <w:rsid w:val="00B734B4"/>
    <w:rsid w:val="00B734CF"/>
    <w:rsid w:val="00B73A0C"/>
    <w:rsid w:val="00B73D72"/>
    <w:rsid w:val="00B7447D"/>
    <w:rsid w:val="00B74ED8"/>
    <w:rsid w:val="00B74FDE"/>
    <w:rsid w:val="00B754E3"/>
    <w:rsid w:val="00B75882"/>
    <w:rsid w:val="00B75DC1"/>
    <w:rsid w:val="00B76B25"/>
    <w:rsid w:val="00B771F4"/>
    <w:rsid w:val="00B774F4"/>
    <w:rsid w:val="00B800C9"/>
    <w:rsid w:val="00B8015C"/>
    <w:rsid w:val="00B803D6"/>
    <w:rsid w:val="00B809E5"/>
    <w:rsid w:val="00B81BE3"/>
    <w:rsid w:val="00B82D4F"/>
    <w:rsid w:val="00B83A82"/>
    <w:rsid w:val="00B83B6C"/>
    <w:rsid w:val="00B83CE0"/>
    <w:rsid w:val="00B83E49"/>
    <w:rsid w:val="00B84613"/>
    <w:rsid w:val="00B84737"/>
    <w:rsid w:val="00B84866"/>
    <w:rsid w:val="00B84CE0"/>
    <w:rsid w:val="00B84FDF"/>
    <w:rsid w:val="00B85385"/>
    <w:rsid w:val="00B8561A"/>
    <w:rsid w:val="00B85644"/>
    <w:rsid w:val="00B856FD"/>
    <w:rsid w:val="00B86305"/>
    <w:rsid w:val="00B864F4"/>
    <w:rsid w:val="00B86B41"/>
    <w:rsid w:val="00B86C3C"/>
    <w:rsid w:val="00B86EA6"/>
    <w:rsid w:val="00B86EB9"/>
    <w:rsid w:val="00B87179"/>
    <w:rsid w:val="00B87BC3"/>
    <w:rsid w:val="00B87FE9"/>
    <w:rsid w:val="00B905AD"/>
    <w:rsid w:val="00B90792"/>
    <w:rsid w:val="00B90AB1"/>
    <w:rsid w:val="00B90E63"/>
    <w:rsid w:val="00B912D1"/>
    <w:rsid w:val="00B9175A"/>
    <w:rsid w:val="00B91BEC"/>
    <w:rsid w:val="00B92881"/>
    <w:rsid w:val="00B92A3C"/>
    <w:rsid w:val="00B92BCD"/>
    <w:rsid w:val="00B932AB"/>
    <w:rsid w:val="00B934E5"/>
    <w:rsid w:val="00B943C2"/>
    <w:rsid w:val="00B944E5"/>
    <w:rsid w:val="00B9517B"/>
    <w:rsid w:val="00B955DD"/>
    <w:rsid w:val="00B95B45"/>
    <w:rsid w:val="00B9600C"/>
    <w:rsid w:val="00B96162"/>
    <w:rsid w:val="00B963F2"/>
    <w:rsid w:val="00B96597"/>
    <w:rsid w:val="00B96833"/>
    <w:rsid w:val="00B96A81"/>
    <w:rsid w:val="00B96C5D"/>
    <w:rsid w:val="00B96DD4"/>
    <w:rsid w:val="00B96ECA"/>
    <w:rsid w:val="00B96F98"/>
    <w:rsid w:val="00B97342"/>
    <w:rsid w:val="00B974CF"/>
    <w:rsid w:val="00B97C77"/>
    <w:rsid w:val="00B97C7D"/>
    <w:rsid w:val="00BA007E"/>
    <w:rsid w:val="00BA0282"/>
    <w:rsid w:val="00BA0619"/>
    <w:rsid w:val="00BA09EB"/>
    <w:rsid w:val="00BA0A9C"/>
    <w:rsid w:val="00BA0B29"/>
    <w:rsid w:val="00BA10F3"/>
    <w:rsid w:val="00BA148B"/>
    <w:rsid w:val="00BA1907"/>
    <w:rsid w:val="00BA1AD7"/>
    <w:rsid w:val="00BA1C77"/>
    <w:rsid w:val="00BA1D3B"/>
    <w:rsid w:val="00BA2634"/>
    <w:rsid w:val="00BA3C6C"/>
    <w:rsid w:val="00BA432B"/>
    <w:rsid w:val="00BA4BF9"/>
    <w:rsid w:val="00BA52AE"/>
    <w:rsid w:val="00BA58AE"/>
    <w:rsid w:val="00BA5923"/>
    <w:rsid w:val="00BA5C0A"/>
    <w:rsid w:val="00BA5C48"/>
    <w:rsid w:val="00BA6248"/>
    <w:rsid w:val="00BA6355"/>
    <w:rsid w:val="00BA6D51"/>
    <w:rsid w:val="00BA7A51"/>
    <w:rsid w:val="00BB021D"/>
    <w:rsid w:val="00BB090C"/>
    <w:rsid w:val="00BB0B3E"/>
    <w:rsid w:val="00BB0C7E"/>
    <w:rsid w:val="00BB0E13"/>
    <w:rsid w:val="00BB1637"/>
    <w:rsid w:val="00BB18D7"/>
    <w:rsid w:val="00BB1E88"/>
    <w:rsid w:val="00BB1F71"/>
    <w:rsid w:val="00BB227F"/>
    <w:rsid w:val="00BB22D6"/>
    <w:rsid w:val="00BB24FE"/>
    <w:rsid w:val="00BB26AC"/>
    <w:rsid w:val="00BB2E62"/>
    <w:rsid w:val="00BB3278"/>
    <w:rsid w:val="00BB36A5"/>
    <w:rsid w:val="00BB3DA5"/>
    <w:rsid w:val="00BB3F42"/>
    <w:rsid w:val="00BB4313"/>
    <w:rsid w:val="00BB451D"/>
    <w:rsid w:val="00BB45D8"/>
    <w:rsid w:val="00BB4912"/>
    <w:rsid w:val="00BB4B74"/>
    <w:rsid w:val="00BB4E14"/>
    <w:rsid w:val="00BB4E87"/>
    <w:rsid w:val="00BB4E9F"/>
    <w:rsid w:val="00BB5793"/>
    <w:rsid w:val="00BB5A29"/>
    <w:rsid w:val="00BB5A54"/>
    <w:rsid w:val="00BB5EDF"/>
    <w:rsid w:val="00BB6C24"/>
    <w:rsid w:val="00BB7327"/>
    <w:rsid w:val="00BB7939"/>
    <w:rsid w:val="00BB7BDC"/>
    <w:rsid w:val="00BB7DB2"/>
    <w:rsid w:val="00BC0315"/>
    <w:rsid w:val="00BC05D7"/>
    <w:rsid w:val="00BC0ED0"/>
    <w:rsid w:val="00BC157E"/>
    <w:rsid w:val="00BC19A3"/>
    <w:rsid w:val="00BC1AC0"/>
    <w:rsid w:val="00BC1AEE"/>
    <w:rsid w:val="00BC2309"/>
    <w:rsid w:val="00BC274B"/>
    <w:rsid w:val="00BC284D"/>
    <w:rsid w:val="00BC31DC"/>
    <w:rsid w:val="00BC3333"/>
    <w:rsid w:val="00BC3903"/>
    <w:rsid w:val="00BC3CE9"/>
    <w:rsid w:val="00BC3D36"/>
    <w:rsid w:val="00BC418A"/>
    <w:rsid w:val="00BC5117"/>
    <w:rsid w:val="00BC513D"/>
    <w:rsid w:val="00BC5F2A"/>
    <w:rsid w:val="00BC6319"/>
    <w:rsid w:val="00BC63A3"/>
    <w:rsid w:val="00BC7247"/>
    <w:rsid w:val="00BC764F"/>
    <w:rsid w:val="00BC7772"/>
    <w:rsid w:val="00BC7956"/>
    <w:rsid w:val="00BC7D43"/>
    <w:rsid w:val="00BD034C"/>
    <w:rsid w:val="00BD03E6"/>
    <w:rsid w:val="00BD094C"/>
    <w:rsid w:val="00BD154A"/>
    <w:rsid w:val="00BD19DB"/>
    <w:rsid w:val="00BD1D01"/>
    <w:rsid w:val="00BD1E0A"/>
    <w:rsid w:val="00BD2432"/>
    <w:rsid w:val="00BD272B"/>
    <w:rsid w:val="00BD2773"/>
    <w:rsid w:val="00BD27A2"/>
    <w:rsid w:val="00BD3145"/>
    <w:rsid w:val="00BD3292"/>
    <w:rsid w:val="00BD35C3"/>
    <w:rsid w:val="00BD3F5E"/>
    <w:rsid w:val="00BD417E"/>
    <w:rsid w:val="00BD46B7"/>
    <w:rsid w:val="00BD47B0"/>
    <w:rsid w:val="00BD4D77"/>
    <w:rsid w:val="00BD4E1C"/>
    <w:rsid w:val="00BD58AD"/>
    <w:rsid w:val="00BD5A37"/>
    <w:rsid w:val="00BD7478"/>
    <w:rsid w:val="00BD76F5"/>
    <w:rsid w:val="00BD7913"/>
    <w:rsid w:val="00BD79E0"/>
    <w:rsid w:val="00BD7BB2"/>
    <w:rsid w:val="00BE00AD"/>
    <w:rsid w:val="00BE0C36"/>
    <w:rsid w:val="00BE0CDD"/>
    <w:rsid w:val="00BE0E76"/>
    <w:rsid w:val="00BE1174"/>
    <w:rsid w:val="00BE1BE5"/>
    <w:rsid w:val="00BE2097"/>
    <w:rsid w:val="00BE20C2"/>
    <w:rsid w:val="00BE27D5"/>
    <w:rsid w:val="00BE2A3A"/>
    <w:rsid w:val="00BE3018"/>
    <w:rsid w:val="00BE33F5"/>
    <w:rsid w:val="00BE3743"/>
    <w:rsid w:val="00BE3A09"/>
    <w:rsid w:val="00BE3F20"/>
    <w:rsid w:val="00BE4109"/>
    <w:rsid w:val="00BE41A9"/>
    <w:rsid w:val="00BE4262"/>
    <w:rsid w:val="00BE43BE"/>
    <w:rsid w:val="00BE4D20"/>
    <w:rsid w:val="00BE5224"/>
    <w:rsid w:val="00BE52FD"/>
    <w:rsid w:val="00BE57DE"/>
    <w:rsid w:val="00BE5D89"/>
    <w:rsid w:val="00BE68C2"/>
    <w:rsid w:val="00BE6BA8"/>
    <w:rsid w:val="00BE6C65"/>
    <w:rsid w:val="00BE6F15"/>
    <w:rsid w:val="00BE7082"/>
    <w:rsid w:val="00BE7169"/>
    <w:rsid w:val="00BE74E3"/>
    <w:rsid w:val="00BF003B"/>
    <w:rsid w:val="00BF0087"/>
    <w:rsid w:val="00BF04A7"/>
    <w:rsid w:val="00BF06C6"/>
    <w:rsid w:val="00BF122E"/>
    <w:rsid w:val="00BF1304"/>
    <w:rsid w:val="00BF1E6B"/>
    <w:rsid w:val="00BF242A"/>
    <w:rsid w:val="00BF2BB0"/>
    <w:rsid w:val="00BF3603"/>
    <w:rsid w:val="00BF36B3"/>
    <w:rsid w:val="00BF3BB5"/>
    <w:rsid w:val="00BF4325"/>
    <w:rsid w:val="00BF61F2"/>
    <w:rsid w:val="00BF6538"/>
    <w:rsid w:val="00BF662F"/>
    <w:rsid w:val="00BF6CB2"/>
    <w:rsid w:val="00BF6CBA"/>
    <w:rsid w:val="00C008DB"/>
    <w:rsid w:val="00C00B30"/>
    <w:rsid w:val="00C00B69"/>
    <w:rsid w:val="00C01633"/>
    <w:rsid w:val="00C01A14"/>
    <w:rsid w:val="00C01B4E"/>
    <w:rsid w:val="00C01E9A"/>
    <w:rsid w:val="00C0260E"/>
    <w:rsid w:val="00C02868"/>
    <w:rsid w:val="00C02DF4"/>
    <w:rsid w:val="00C030A3"/>
    <w:rsid w:val="00C044AF"/>
    <w:rsid w:val="00C047CB"/>
    <w:rsid w:val="00C04A2F"/>
    <w:rsid w:val="00C05C36"/>
    <w:rsid w:val="00C060CB"/>
    <w:rsid w:val="00C06288"/>
    <w:rsid w:val="00C06414"/>
    <w:rsid w:val="00C0682E"/>
    <w:rsid w:val="00C06FD4"/>
    <w:rsid w:val="00C07A9A"/>
    <w:rsid w:val="00C07B4F"/>
    <w:rsid w:val="00C07C96"/>
    <w:rsid w:val="00C07D97"/>
    <w:rsid w:val="00C101C9"/>
    <w:rsid w:val="00C1123B"/>
    <w:rsid w:val="00C117E4"/>
    <w:rsid w:val="00C1191B"/>
    <w:rsid w:val="00C119E3"/>
    <w:rsid w:val="00C11F3B"/>
    <w:rsid w:val="00C120BE"/>
    <w:rsid w:val="00C12187"/>
    <w:rsid w:val="00C13032"/>
    <w:rsid w:val="00C13608"/>
    <w:rsid w:val="00C13653"/>
    <w:rsid w:val="00C13C70"/>
    <w:rsid w:val="00C14405"/>
    <w:rsid w:val="00C14525"/>
    <w:rsid w:val="00C1462D"/>
    <w:rsid w:val="00C147C6"/>
    <w:rsid w:val="00C14F40"/>
    <w:rsid w:val="00C15363"/>
    <w:rsid w:val="00C154E4"/>
    <w:rsid w:val="00C154E8"/>
    <w:rsid w:val="00C154FD"/>
    <w:rsid w:val="00C1582D"/>
    <w:rsid w:val="00C15A60"/>
    <w:rsid w:val="00C16052"/>
    <w:rsid w:val="00C169D3"/>
    <w:rsid w:val="00C16C6B"/>
    <w:rsid w:val="00C16D2A"/>
    <w:rsid w:val="00C17031"/>
    <w:rsid w:val="00C17621"/>
    <w:rsid w:val="00C200E2"/>
    <w:rsid w:val="00C20857"/>
    <w:rsid w:val="00C20C5D"/>
    <w:rsid w:val="00C20DBB"/>
    <w:rsid w:val="00C2117D"/>
    <w:rsid w:val="00C211D3"/>
    <w:rsid w:val="00C22279"/>
    <w:rsid w:val="00C22C23"/>
    <w:rsid w:val="00C234A6"/>
    <w:rsid w:val="00C235A0"/>
    <w:rsid w:val="00C236FA"/>
    <w:rsid w:val="00C23E0F"/>
    <w:rsid w:val="00C24F52"/>
    <w:rsid w:val="00C252D7"/>
    <w:rsid w:val="00C252E8"/>
    <w:rsid w:val="00C2569D"/>
    <w:rsid w:val="00C25B0E"/>
    <w:rsid w:val="00C25E25"/>
    <w:rsid w:val="00C2608E"/>
    <w:rsid w:val="00C26269"/>
    <w:rsid w:val="00C263CD"/>
    <w:rsid w:val="00C26E0B"/>
    <w:rsid w:val="00C27044"/>
    <w:rsid w:val="00C27E1A"/>
    <w:rsid w:val="00C27E40"/>
    <w:rsid w:val="00C3010A"/>
    <w:rsid w:val="00C30220"/>
    <w:rsid w:val="00C3038C"/>
    <w:rsid w:val="00C30675"/>
    <w:rsid w:val="00C307E6"/>
    <w:rsid w:val="00C30AAD"/>
    <w:rsid w:val="00C30D97"/>
    <w:rsid w:val="00C30DEE"/>
    <w:rsid w:val="00C3194D"/>
    <w:rsid w:val="00C32265"/>
    <w:rsid w:val="00C3290D"/>
    <w:rsid w:val="00C32911"/>
    <w:rsid w:val="00C32A4E"/>
    <w:rsid w:val="00C32F8D"/>
    <w:rsid w:val="00C33119"/>
    <w:rsid w:val="00C33CE5"/>
    <w:rsid w:val="00C33F29"/>
    <w:rsid w:val="00C33F73"/>
    <w:rsid w:val="00C34205"/>
    <w:rsid w:val="00C34836"/>
    <w:rsid w:val="00C34880"/>
    <w:rsid w:val="00C34AD5"/>
    <w:rsid w:val="00C35805"/>
    <w:rsid w:val="00C35A38"/>
    <w:rsid w:val="00C362B7"/>
    <w:rsid w:val="00C362C4"/>
    <w:rsid w:val="00C3633F"/>
    <w:rsid w:val="00C368C3"/>
    <w:rsid w:val="00C36F3B"/>
    <w:rsid w:val="00C37023"/>
    <w:rsid w:val="00C3778E"/>
    <w:rsid w:val="00C37FFD"/>
    <w:rsid w:val="00C400AC"/>
    <w:rsid w:val="00C405EF"/>
    <w:rsid w:val="00C4077F"/>
    <w:rsid w:val="00C40B6B"/>
    <w:rsid w:val="00C40F7D"/>
    <w:rsid w:val="00C41081"/>
    <w:rsid w:val="00C415A8"/>
    <w:rsid w:val="00C4162A"/>
    <w:rsid w:val="00C4187F"/>
    <w:rsid w:val="00C418CC"/>
    <w:rsid w:val="00C41F2C"/>
    <w:rsid w:val="00C426A0"/>
    <w:rsid w:val="00C426E0"/>
    <w:rsid w:val="00C429D4"/>
    <w:rsid w:val="00C42AEA"/>
    <w:rsid w:val="00C42D29"/>
    <w:rsid w:val="00C43017"/>
    <w:rsid w:val="00C43592"/>
    <w:rsid w:val="00C4367D"/>
    <w:rsid w:val="00C4455D"/>
    <w:rsid w:val="00C44A0B"/>
    <w:rsid w:val="00C44F8B"/>
    <w:rsid w:val="00C45251"/>
    <w:rsid w:val="00C45602"/>
    <w:rsid w:val="00C457A1"/>
    <w:rsid w:val="00C459A1"/>
    <w:rsid w:val="00C45DC3"/>
    <w:rsid w:val="00C46192"/>
    <w:rsid w:val="00C466A4"/>
    <w:rsid w:val="00C469E2"/>
    <w:rsid w:val="00C476C9"/>
    <w:rsid w:val="00C503EE"/>
    <w:rsid w:val="00C508C6"/>
    <w:rsid w:val="00C50A84"/>
    <w:rsid w:val="00C510A9"/>
    <w:rsid w:val="00C515A1"/>
    <w:rsid w:val="00C51A24"/>
    <w:rsid w:val="00C51B83"/>
    <w:rsid w:val="00C51C10"/>
    <w:rsid w:val="00C51E8C"/>
    <w:rsid w:val="00C51F3C"/>
    <w:rsid w:val="00C52362"/>
    <w:rsid w:val="00C524F4"/>
    <w:rsid w:val="00C52702"/>
    <w:rsid w:val="00C52897"/>
    <w:rsid w:val="00C52F6E"/>
    <w:rsid w:val="00C530BC"/>
    <w:rsid w:val="00C530FF"/>
    <w:rsid w:val="00C541AD"/>
    <w:rsid w:val="00C5477B"/>
    <w:rsid w:val="00C549D4"/>
    <w:rsid w:val="00C55605"/>
    <w:rsid w:val="00C55617"/>
    <w:rsid w:val="00C5576A"/>
    <w:rsid w:val="00C55B81"/>
    <w:rsid w:val="00C55BDB"/>
    <w:rsid w:val="00C565F6"/>
    <w:rsid w:val="00C5682E"/>
    <w:rsid w:val="00C569A9"/>
    <w:rsid w:val="00C56A4A"/>
    <w:rsid w:val="00C56BCD"/>
    <w:rsid w:val="00C56F09"/>
    <w:rsid w:val="00C5786B"/>
    <w:rsid w:val="00C57E79"/>
    <w:rsid w:val="00C60145"/>
    <w:rsid w:val="00C601E2"/>
    <w:rsid w:val="00C60385"/>
    <w:rsid w:val="00C6038F"/>
    <w:rsid w:val="00C606EE"/>
    <w:rsid w:val="00C60A6E"/>
    <w:rsid w:val="00C60D81"/>
    <w:rsid w:val="00C610B2"/>
    <w:rsid w:val="00C61428"/>
    <w:rsid w:val="00C61799"/>
    <w:rsid w:val="00C6373C"/>
    <w:rsid w:val="00C637D8"/>
    <w:rsid w:val="00C6391B"/>
    <w:rsid w:val="00C63AF4"/>
    <w:rsid w:val="00C63C95"/>
    <w:rsid w:val="00C63E34"/>
    <w:rsid w:val="00C648BC"/>
    <w:rsid w:val="00C64953"/>
    <w:rsid w:val="00C65358"/>
    <w:rsid w:val="00C6539E"/>
    <w:rsid w:val="00C65685"/>
    <w:rsid w:val="00C657E1"/>
    <w:rsid w:val="00C65DF9"/>
    <w:rsid w:val="00C65E63"/>
    <w:rsid w:val="00C66617"/>
    <w:rsid w:val="00C667D5"/>
    <w:rsid w:val="00C66D50"/>
    <w:rsid w:val="00C66FA6"/>
    <w:rsid w:val="00C675BF"/>
    <w:rsid w:val="00C67CAA"/>
    <w:rsid w:val="00C67E68"/>
    <w:rsid w:val="00C67EA1"/>
    <w:rsid w:val="00C7079E"/>
    <w:rsid w:val="00C70B88"/>
    <w:rsid w:val="00C70DF8"/>
    <w:rsid w:val="00C71BB3"/>
    <w:rsid w:val="00C71D45"/>
    <w:rsid w:val="00C71F0A"/>
    <w:rsid w:val="00C7302F"/>
    <w:rsid w:val="00C7356E"/>
    <w:rsid w:val="00C73B5B"/>
    <w:rsid w:val="00C73D81"/>
    <w:rsid w:val="00C7459D"/>
    <w:rsid w:val="00C748B5"/>
    <w:rsid w:val="00C74C8B"/>
    <w:rsid w:val="00C7504D"/>
    <w:rsid w:val="00C7559E"/>
    <w:rsid w:val="00C755FC"/>
    <w:rsid w:val="00C7560F"/>
    <w:rsid w:val="00C7580D"/>
    <w:rsid w:val="00C75BD9"/>
    <w:rsid w:val="00C778D5"/>
    <w:rsid w:val="00C77AB5"/>
    <w:rsid w:val="00C77C70"/>
    <w:rsid w:val="00C802D7"/>
    <w:rsid w:val="00C80E94"/>
    <w:rsid w:val="00C810A9"/>
    <w:rsid w:val="00C81301"/>
    <w:rsid w:val="00C813B7"/>
    <w:rsid w:val="00C816B3"/>
    <w:rsid w:val="00C8273D"/>
    <w:rsid w:val="00C82962"/>
    <w:rsid w:val="00C83196"/>
    <w:rsid w:val="00C835C0"/>
    <w:rsid w:val="00C83827"/>
    <w:rsid w:val="00C8382B"/>
    <w:rsid w:val="00C84361"/>
    <w:rsid w:val="00C84417"/>
    <w:rsid w:val="00C85106"/>
    <w:rsid w:val="00C85249"/>
    <w:rsid w:val="00C86014"/>
    <w:rsid w:val="00C86517"/>
    <w:rsid w:val="00C865A4"/>
    <w:rsid w:val="00C86668"/>
    <w:rsid w:val="00C86C37"/>
    <w:rsid w:val="00C87170"/>
    <w:rsid w:val="00C87926"/>
    <w:rsid w:val="00C87B5A"/>
    <w:rsid w:val="00C87E51"/>
    <w:rsid w:val="00C90000"/>
    <w:rsid w:val="00C903BB"/>
    <w:rsid w:val="00C90D46"/>
    <w:rsid w:val="00C9181D"/>
    <w:rsid w:val="00C91C6F"/>
    <w:rsid w:val="00C925B2"/>
    <w:rsid w:val="00C93098"/>
    <w:rsid w:val="00C93B9C"/>
    <w:rsid w:val="00C93BFB"/>
    <w:rsid w:val="00C94788"/>
    <w:rsid w:val="00C95317"/>
    <w:rsid w:val="00C9562E"/>
    <w:rsid w:val="00C95801"/>
    <w:rsid w:val="00C95985"/>
    <w:rsid w:val="00C95AB4"/>
    <w:rsid w:val="00C96F0E"/>
    <w:rsid w:val="00C97823"/>
    <w:rsid w:val="00CA049A"/>
    <w:rsid w:val="00CA11CE"/>
    <w:rsid w:val="00CA1888"/>
    <w:rsid w:val="00CA19E0"/>
    <w:rsid w:val="00CA2111"/>
    <w:rsid w:val="00CA2BF8"/>
    <w:rsid w:val="00CA30E2"/>
    <w:rsid w:val="00CA340D"/>
    <w:rsid w:val="00CA36DF"/>
    <w:rsid w:val="00CA44FF"/>
    <w:rsid w:val="00CA480D"/>
    <w:rsid w:val="00CA4A45"/>
    <w:rsid w:val="00CA4C0B"/>
    <w:rsid w:val="00CA528B"/>
    <w:rsid w:val="00CA5469"/>
    <w:rsid w:val="00CA5482"/>
    <w:rsid w:val="00CA5696"/>
    <w:rsid w:val="00CA60FC"/>
    <w:rsid w:val="00CA66C5"/>
    <w:rsid w:val="00CA69F4"/>
    <w:rsid w:val="00CA6EE1"/>
    <w:rsid w:val="00CA7079"/>
    <w:rsid w:val="00CA7245"/>
    <w:rsid w:val="00CA79E7"/>
    <w:rsid w:val="00CB0ED3"/>
    <w:rsid w:val="00CB1449"/>
    <w:rsid w:val="00CB18F0"/>
    <w:rsid w:val="00CB21EA"/>
    <w:rsid w:val="00CB2550"/>
    <w:rsid w:val="00CB2B7C"/>
    <w:rsid w:val="00CB2D62"/>
    <w:rsid w:val="00CB2FE4"/>
    <w:rsid w:val="00CB30D9"/>
    <w:rsid w:val="00CB3C1E"/>
    <w:rsid w:val="00CB3D80"/>
    <w:rsid w:val="00CB3EA1"/>
    <w:rsid w:val="00CB4585"/>
    <w:rsid w:val="00CB484E"/>
    <w:rsid w:val="00CB4B2A"/>
    <w:rsid w:val="00CB5F1E"/>
    <w:rsid w:val="00CB679A"/>
    <w:rsid w:val="00CB683B"/>
    <w:rsid w:val="00CB777D"/>
    <w:rsid w:val="00CB77BB"/>
    <w:rsid w:val="00CB7ACF"/>
    <w:rsid w:val="00CC0955"/>
    <w:rsid w:val="00CC0BCD"/>
    <w:rsid w:val="00CC0E29"/>
    <w:rsid w:val="00CC0F0A"/>
    <w:rsid w:val="00CC12EF"/>
    <w:rsid w:val="00CC1701"/>
    <w:rsid w:val="00CC1997"/>
    <w:rsid w:val="00CC266A"/>
    <w:rsid w:val="00CC38F6"/>
    <w:rsid w:val="00CC3AEC"/>
    <w:rsid w:val="00CC3BE9"/>
    <w:rsid w:val="00CC3C4E"/>
    <w:rsid w:val="00CC3E35"/>
    <w:rsid w:val="00CC3FD6"/>
    <w:rsid w:val="00CC415B"/>
    <w:rsid w:val="00CC4BA5"/>
    <w:rsid w:val="00CC4BE7"/>
    <w:rsid w:val="00CC5088"/>
    <w:rsid w:val="00CC53F4"/>
    <w:rsid w:val="00CC545F"/>
    <w:rsid w:val="00CC5814"/>
    <w:rsid w:val="00CC58DB"/>
    <w:rsid w:val="00CC5B1C"/>
    <w:rsid w:val="00CC6459"/>
    <w:rsid w:val="00CC663E"/>
    <w:rsid w:val="00CC6AEA"/>
    <w:rsid w:val="00CC727B"/>
    <w:rsid w:val="00CC72E8"/>
    <w:rsid w:val="00CD0B5E"/>
    <w:rsid w:val="00CD14F4"/>
    <w:rsid w:val="00CD1924"/>
    <w:rsid w:val="00CD205D"/>
    <w:rsid w:val="00CD2218"/>
    <w:rsid w:val="00CD2451"/>
    <w:rsid w:val="00CD2D6A"/>
    <w:rsid w:val="00CD30CB"/>
    <w:rsid w:val="00CD31EC"/>
    <w:rsid w:val="00CD357D"/>
    <w:rsid w:val="00CD3894"/>
    <w:rsid w:val="00CD38BA"/>
    <w:rsid w:val="00CD3C4C"/>
    <w:rsid w:val="00CD4450"/>
    <w:rsid w:val="00CD4D37"/>
    <w:rsid w:val="00CD4E0D"/>
    <w:rsid w:val="00CD4F14"/>
    <w:rsid w:val="00CD5069"/>
    <w:rsid w:val="00CD52AC"/>
    <w:rsid w:val="00CD539D"/>
    <w:rsid w:val="00CD6640"/>
    <w:rsid w:val="00CD6AF2"/>
    <w:rsid w:val="00CD6EE9"/>
    <w:rsid w:val="00CD7130"/>
    <w:rsid w:val="00CD754E"/>
    <w:rsid w:val="00CD7FDE"/>
    <w:rsid w:val="00CE0230"/>
    <w:rsid w:val="00CE08A6"/>
    <w:rsid w:val="00CE09A5"/>
    <w:rsid w:val="00CE0ADA"/>
    <w:rsid w:val="00CE0D0A"/>
    <w:rsid w:val="00CE1C54"/>
    <w:rsid w:val="00CE1C5C"/>
    <w:rsid w:val="00CE2A9A"/>
    <w:rsid w:val="00CE3098"/>
    <w:rsid w:val="00CE30C8"/>
    <w:rsid w:val="00CE398D"/>
    <w:rsid w:val="00CE3D29"/>
    <w:rsid w:val="00CE407C"/>
    <w:rsid w:val="00CE4275"/>
    <w:rsid w:val="00CE45D4"/>
    <w:rsid w:val="00CE4B4B"/>
    <w:rsid w:val="00CE5594"/>
    <w:rsid w:val="00CE56B6"/>
    <w:rsid w:val="00CE5B82"/>
    <w:rsid w:val="00CE6412"/>
    <w:rsid w:val="00CE6765"/>
    <w:rsid w:val="00CE67B5"/>
    <w:rsid w:val="00CE761C"/>
    <w:rsid w:val="00CE7F63"/>
    <w:rsid w:val="00CF04BB"/>
    <w:rsid w:val="00CF094B"/>
    <w:rsid w:val="00CF1D34"/>
    <w:rsid w:val="00CF22F2"/>
    <w:rsid w:val="00CF2E92"/>
    <w:rsid w:val="00CF330C"/>
    <w:rsid w:val="00CF381C"/>
    <w:rsid w:val="00CF3ECA"/>
    <w:rsid w:val="00CF3F15"/>
    <w:rsid w:val="00CF40AA"/>
    <w:rsid w:val="00CF4113"/>
    <w:rsid w:val="00CF411E"/>
    <w:rsid w:val="00CF4B2B"/>
    <w:rsid w:val="00CF5055"/>
    <w:rsid w:val="00CF5077"/>
    <w:rsid w:val="00CF620D"/>
    <w:rsid w:val="00CF6347"/>
    <w:rsid w:val="00CF634C"/>
    <w:rsid w:val="00CF6685"/>
    <w:rsid w:val="00CF698A"/>
    <w:rsid w:val="00CF7D49"/>
    <w:rsid w:val="00D00032"/>
    <w:rsid w:val="00D00543"/>
    <w:rsid w:val="00D00BEE"/>
    <w:rsid w:val="00D00DA7"/>
    <w:rsid w:val="00D014D8"/>
    <w:rsid w:val="00D01583"/>
    <w:rsid w:val="00D016D5"/>
    <w:rsid w:val="00D019B2"/>
    <w:rsid w:val="00D01BE9"/>
    <w:rsid w:val="00D01FF0"/>
    <w:rsid w:val="00D02026"/>
    <w:rsid w:val="00D02038"/>
    <w:rsid w:val="00D02263"/>
    <w:rsid w:val="00D0242A"/>
    <w:rsid w:val="00D03D27"/>
    <w:rsid w:val="00D03D99"/>
    <w:rsid w:val="00D03FC7"/>
    <w:rsid w:val="00D047D6"/>
    <w:rsid w:val="00D04981"/>
    <w:rsid w:val="00D0570C"/>
    <w:rsid w:val="00D0578F"/>
    <w:rsid w:val="00D06501"/>
    <w:rsid w:val="00D06BFA"/>
    <w:rsid w:val="00D0731E"/>
    <w:rsid w:val="00D07564"/>
    <w:rsid w:val="00D07A9D"/>
    <w:rsid w:val="00D07B0F"/>
    <w:rsid w:val="00D07F84"/>
    <w:rsid w:val="00D100DD"/>
    <w:rsid w:val="00D10339"/>
    <w:rsid w:val="00D107AF"/>
    <w:rsid w:val="00D11152"/>
    <w:rsid w:val="00D116E3"/>
    <w:rsid w:val="00D11784"/>
    <w:rsid w:val="00D119CC"/>
    <w:rsid w:val="00D11CF8"/>
    <w:rsid w:val="00D1217F"/>
    <w:rsid w:val="00D12507"/>
    <w:rsid w:val="00D12676"/>
    <w:rsid w:val="00D12AB3"/>
    <w:rsid w:val="00D12E8E"/>
    <w:rsid w:val="00D1359F"/>
    <w:rsid w:val="00D13E61"/>
    <w:rsid w:val="00D14282"/>
    <w:rsid w:val="00D14453"/>
    <w:rsid w:val="00D14767"/>
    <w:rsid w:val="00D151F3"/>
    <w:rsid w:val="00D15500"/>
    <w:rsid w:val="00D158EB"/>
    <w:rsid w:val="00D162D0"/>
    <w:rsid w:val="00D168FE"/>
    <w:rsid w:val="00D16C38"/>
    <w:rsid w:val="00D16D8C"/>
    <w:rsid w:val="00D17179"/>
    <w:rsid w:val="00D17530"/>
    <w:rsid w:val="00D178EB"/>
    <w:rsid w:val="00D200C0"/>
    <w:rsid w:val="00D20403"/>
    <w:rsid w:val="00D20AFE"/>
    <w:rsid w:val="00D20EB6"/>
    <w:rsid w:val="00D2140C"/>
    <w:rsid w:val="00D218AE"/>
    <w:rsid w:val="00D223AA"/>
    <w:rsid w:val="00D2260E"/>
    <w:rsid w:val="00D2293F"/>
    <w:rsid w:val="00D22A3D"/>
    <w:rsid w:val="00D22CE9"/>
    <w:rsid w:val="00D22D7F"/>
    <w:rsid w:val="00D22ECE"/>
    <w:rsid w:val="00D22EDE"/>
    <w:rsid w:val="00D23368"/>
    <w:rsid w:val="00D2376F"/>
    <w:rsid w:val="00D2378E"/>
    <w:rsid w:val="00D23C46"/>
    <w:rsid w:val="00D240B0"/>
    <w:rsid w:val="00D24C8F"/>
    <w:rsid w:val="00D2582F"/>
    <w:rsid w:val="00D25A9C"/>
    <w:rsid w:val="00D25CF2"/>
    <w:rsid w:val="00D26518"/>
    <w:rsid w:val="00D2731F"/>
    <w:rsid w:val="00D305FD"/>
    <w:rsid w:val="00D3080F"/>
    <w:rsid w:val="00D314C2"/>
    <w:rsid w:val="00D3209F"/>
    <w:rsid w:val="00D3233C"/>
    <w:rsid w:val="00D32459"/>
    <w:rsid w:val="00D33DD9"/>
    <w:rsid w:val="00D34327"/>
    <w:rsid w:val="00D3457F"/>
    <w:rsid w:val="00D3465B"/>
    <w:rsid w:val="00D34AA4"/>
    <w:rsid w:val="00D34D17"/>
    <w:rsid w:val="00D3527D"/>
    <w:rsid w:val="00D35CFE"/>
    <w:rsid w:val="00D3698F"/>
    <w:rsid w:val="00D37609"/>
    <w:rsid w:val="00D37699"/>
    <w:rsid w:val="00D40152"/>
    <w:rsid w:val="00D4036E"/>
    <w:rsid w:val="00D4083B"/>
    <w:rsid w:val="00D40857"/>
    <w:rsid w:val="00D40B9D"/>
    <w:rsid w:val="00D411B6"/>
    <w:rsid w:val="00D41725"/>
    <w:rsid w:val="00D41B47"/>
    <w:rsid w:val="00D41E43"/>
    <w:rsid w:val="00D4219A"/>
    <w:rsid w:val="00D421DF"/>
    <w:rsid w:val="00D4300C"/>
    <w:rsid w:val="00D43168"/>
    <w:rsid w:val="00D434CE"/>
    <w:rsid w:val="00D439FF"/>
    <w:rsid w:val="00D43A4D"/>
    <w:rsid w:val="00D444AA"/>
    <w:rsid w:val="00D4455F"/>
    <w:rsid w:val="00D44790"/>
    <w:rsid w:val="00D44B95"/>
    <w:rsid w:val="00D45BA4"/>
    <w:rsid w:val="00D460AE"/>
    <w:rsid w:val="00D46836"/>
    <w:rsid w:val="00D46AD2"/>
    <w:rsid w:val="00D479B4"/>
    <w:rsid w:val="00D47FF6"/>
    <w:rsid w:val="00D5113C"/>
    <w:rsid w:val="00D51DC6"/>
    <w:rsid w:val="00D5291D"/>
    <w:rsid w:val="00D52AB1"/>
    <w:rsid w:val="00D52B1C"/>
    <w:rsid w:val="00D52D6F"/>
    <w:rsid w:val="00D533A5"/>
    <w:rsid w:val="00D53CD3"/>
    <w:rsid w:val="00D53E90"/>
    <w:rsid w:val="00D53FC9"/>
    <w:rsid w:val="00D54A49"/>
    <w:rsid w:val="00D54B8D"/>
    <w:rsid w:val="00D54D34"/>
    <w:rsid w:val="00D550CF"/>
    <w:rsid w:val="00D550F9"/>
    <w:rsid w:val="00D55417"/>
    <w:rsid w:val="00D5570A"/>
    <w:rsid w:val="00D5582E"/>
    <w:rsid w:val="00D559EE"/>
    <w:rsid w:val="00D55AEB"/>
    <w:rsid w:val="00D55C68"/>
    <w:rsid w:val="00D56110"/>
    <w:rsid w:val="00D56479"/>
    <w:rsid w:val="00D56745"/>
    <w:rsid w:val="00D56A5B"/>
    <w:rsid w:val="00D56A87"/>
    <w:rsid w:val="00D573D6"/>
    <w:rsid w:val="00D5744E"/>
    <w:rsid w:val="00D5766E"/>
    <w:rsid w:val="00D57C4A"/>
    <w:rsid w:val="00D603C3"/>
    <w:rsid w:val="00D603E3"/>
    <w:rsid w:val="00D607E8"/>
    <w:rsid w:val="00D6130A"/>
    <w:rsid w:val="00D61890"/>
    <w:rsid w:val="00D618F4"/>
    <w:rsid w:val="00D62545"/>
    <w:rsid w:val="00D62DDF"/>
    <w:rsid w:val="00D6348D"/>
    <w:rsid w:val="00D63AD4"/>
    <w:rsid w:val="00D64371"/>
    <w:rsid w:val="00D64611"/>
    <w:rsid w:val="00D64EAD"/>
    <w:rsid w:val="00D65598"/>
    <w:rsid w:val="00D65BAE"/>
    <w:rsid w:val="00D66C51"/>
    <w:rsid w:val="00D6707D"/>
    <w:rsid w:val="00D670EC"/>
    <w:rsid w:val="00D67A64"/>
    <w:rsid w:val="00D67B9F"/>
    <w:rsid w:val="00D67BE3"/>
    <w:rsid w:val="00D705A6"/>
    <w:rsid w:val="00D710F7"/>
    <w:rsid w:val="00D71910"/>
    <w:rsid w:val="00D71AA8"/>
    <w:rsid w:val="00D71EE8"/>
    <w:rsid w:val="00D720CA"/>
    <w:rsid w:val="00D72680"/>
    <w:rsid w:val="00D729F8"/>
    <w:rsid w:val="00D73755"/>
    <w:rsid w:val="00D740A7"/>
    <w:rsid w:val="00D743ED"/>
    <w:rsid w:val="00D74D5C"/>
    <w:rsid w:val="00D74DF1"/>
    <w:rsid w:val="00D752B7"/>
    <w:rsid w:val="00D7533A"/>
    <w:rsid w:val="00D7546A"/>
    <w:rsid w:val="00D75481"/>
    <w:rsid w:val="00D7554A"/>
    <w:rsid w:val="00D75AFF"/>
    <w:rsid w:val="00D75F05"/>
    <w:rsid w:val="00D75FC2"/>
    <w:rsid w:val="00D75FE0"/>
    <w:rsid w:val="00D76000"/>
    <w:rsid w:val="00D761C0"/>
    <w:rsid w:val="00D76785"/>
    <w:rsid w:val="00D76E78"/>
    <w:rsid w:val="00D76EFA"/>
    <w:rsid w:val="00D76FBA"/>
    <w:rsid w:val="00D77645"/>
    <w:rsid w:val="00D7790F"/>
    <w:rsid w:val="00D8059F"/>
    <w:rsid w:val="00D805D0"/>
    <w:rsid w:val="00D80717"/>
    <w:rsid w:val="00D81286"/>
    <w:rsid w:val="00D81303"/>
    <w:rsid w:val="00D813EF"/>
    <w:rsid w:val="00D814F2"/>
    <w:rsid w:val="00D8217C"/>
    <w:rsid w:val="00D82285"/>
    <w:rsid w:val="00D8284F"/>
    <w:rsid w:val="00D83D72"/>
    <w:rsid w:val="00D844DE"/>
    <w:rsid w:val="00D8458E"/>
    <w:rsid w:val="00D84A1E"/>
    <w:rsid w:val="00D84A4B"/>
    <w:rsid w:val="00D85510"/>
    <w:rsid w:val="00D8593D"/>
    <w:rsid w:val="00D859BB"/>
    <w:rsid w:val="00D85D3B"/>
    <w:rsid w:val="00D86907"/>
    <w:rsid w:val="00D87518"/>
    <w:rsid w:val="00D87BC5"/>
    <w:rsid w:val="00D91605"/>
    <w:rsid w:val="00D9247F"/>
    <w:rsid w:val="00D925B3"/>
    <w:rsid w:val="00D92973"/>
    <w:rsid w:val="00D92DAC"/>
    <w:rsid w:val="00D92EEE"/>
    <w:rsid w:val="00D9305D"/>
    <w:rsid w:val="00D930E1"/>
    <w:rsid w:val="00D93140"/>
    <w:rsid w:val="00D93747"/>
    <w:rsid w:val="00D93A88"/>
    <w:rsid w:val="00D93C4C"/>
    <w:rsid w:val="00D94429"/>
    <w:rsid w:val="00D9472C"/>
    <w:rsid w:val="00D94CAD"/>
    <w:rsid w:val="00D95D15"/>
    <w:rsid w:val="00D95EC1"/>
    <w:rsid w:val="00D96CEE"/>
    <w:rsid w:val="00D9704D"/>
    <w:rsid w:val="00D97415"/>
    <w:rsid w:val="00D976E1"/>
    <w:rsid w:val="00D9792D"/>
    <w:rsid w:val="00D97F54"/>
    <w:rsid w:val="00DA02B9"/>
    <w:rsid w:val="00DA04EE"/>
    <w:rsid w:val="00DA0BBF"/>
    <w:rsid w:val="00DA10A4"/>
    <w:rsid w:val="00DA1701"/>
    <w:rsid w:val="00DA23ED"/>
    <w:rsid w:val="00DA2AE0"/>
    <w:rsid w:val="00DA30F8"/>
    <w:rsid w:val="00DA3AA0"/>
    <w:rsid w:val="00DA3D87"/>
    <w:rsid w:val="00DA3FF7"/>
    <w:rsid w:val="00DA44F0"/>
    <w:rsid w:val="00DA4FA8"/>
    <w:rsid w:val="00DA5359"/>
    <w:rsid w:val="00DA54F6"/>
    <w:rsid w:val="00DA56F3"/>
    <w:rsid w:val="00DA680A"/>
    <w:rsid w:val="00DA6B67"/>
    <w:rsid w:val="00DA6C5C"/>
    <w:rsid w:val="00DA6D94"/>
    <w:rsid w:val="00DA6E3D"/>
    <w:rsid w:val="00DA74B1"/>
    <w:rsid w:val="00DA7519"/>
    <w:rsid w:val="00DA7868"/>
    <w:rsid w:val="00DB0057"/>
    <w:rsid w:val="00DB0103"/>
    <w:rsid w:val="00DB01B4"/>
    <w:rsid w:val="00DB0A0E"/>
    <w:rsid w:val="00DB0E25"/>
    <w:rsid w:val="00DB19BF"/>
    <w:rsid w:val="00DB2428"/>
    <w:rsid w:val="00DB2F14"/>
    <w:rsid w:val="00DB3641"/>
    <w:rsid w:val="00DB3FCD"/>
    <w:rsid w:val="00DB433C"/>
    <w:rsid w:val="00DB44BD"/>
    <w:rsid w:val="00DB50EE"/>
    <w:rsid w:val="00DB610E"/>
    <w:rsid w:val="00DB61E9"/>
    <w:rsid w:val="00DB6230"/>
    <w:rsid w:val="00DB6422"/>
    <w:rsid w:val="00DB6929"/>
    <w:rsid w:val="00DB746F"/>
    <w:rsid w:val="00DB749A"/>
    <w:rsid w:val="00DB7E60"/>
    <w:rsid w:val="00DB7E78"/>
    <w:rsid w:val="00DC01A5"/>
    <w:rsid w:val="00DC05B0"/>
    <w:rsid w:val="00DC0A57"/>
    <w:rsid w:val="00DC0E2C"/>
    <w:rsid w:val="00DC11E0"/>
    <w:rsid w:val="00DC1673"/>
    <w:rsid w:val="00DC18E2"/>
    <w:rsid w:val="00DC1C6D"/>
    <w:rsid w:val="00DC28BA"/>
    <w:rsid w:val="00DC28CA"/>
    <w:rsid w:val="00DC3149"/>
    <w:rsid w:val="00DC3241"/>
    <w:rsid w:val="00DC3355"/>
    <w:rsid w:val="00DC378C"/>
    <w:rsid w:val="00DC3B44"/>
    <w:rsid w:val="00DC3BF0"/>
    <w:rsid w:val="00DC4030"/>
    <w:rsid w:val="00DC43FB"/>
    <w:rsid w:val="00DC44D3"/>
    <w:rsid w:val="00DC4BEA"/>
    <w:rsid w:val="00DC5087"/>
    <w:rsid w:val="00DC5260"/>
    <w:rsid w:val="00DC5CCE"/>
    <w:rsid w:val="00DC6553"/>
    <w:rsid w:val="00DC702C"/>
    <w:rsid w:val="00DC76AE"/>
    <w:rsid w:val="00DC77DC"/>
    <w:rsid w:val="00DC7A22"/>
    <w:rsid w:val="00DC7BAD"/>
    <w:rsid w:val="00DD05CB"/>
    <w:rsid w:val="00DD0CEF"/>
    <w:rsid w:val="00DD139A"/>
    <w:rsid w:val="00DD1611"/>
    <w:rsid w:val="00DD17F9"/>
    <w:rsid w:val="00DD1832"/>
    <w:rsid w:val="00DD1ED6"/>
    <w:rsid w:val="00DD1F49"/>
    <w:rsid w:val="00DD228B"/>
    <w:rsid w:val="00DD244E"/>
    <w:rsid w:val="00DD28CC"/>
    <w:rsid w:val="00DD29DA"/>
    <w:rsid w:val="00DD2EE1"/>
    <w:rsid w:val="00DD37BA"/>
    <w:rsid w:val="00DD39FE"/>
    <w:rsid w:val="00DD3E0A"/>
    <w:rsid w:val="00DD47F4"/>
    <w:rsid w:val="00DD565C"/>
    <w:rsid w:val="00DD5A04"/>
    <w:rsid w:val="00DD5EC5"/>
    <w:rsid w:val="00DD6284"/>
    <w:rsid w:val="00DD6322"/>
    <w:rsid w:val="00DD6590"/>
    <w:rsid w:val="00DD6640"/>
    <w:rsid w:val="00DD6805"/>
    <w:rsid w:val="00DD6C23"/>
    <w:rsid w:val="00DD71C6"/>
    <w:rsid w:val="00DD73A7"/>
    <w:rsid w:val="00DD7571"/>
    <w:rsid w:val="00DD774F"/>
    <w:rsid w:val="00DD7A03"/>
    <w:rsid w:val="00DE0464"/>
    <w:rsid w:val="00DE10E0"/>
    <w:rsid w:val="00DE11DE"/>
    <w:rsid w:val="00DE172E"/>
    <w:rsid w:val="00DE1781"/>
    <w:rsid w:val="00DE1A95"/>
    <w:rsid w:val="00DE2023"/>
    <w:rsid w:val="00DE27A9"/>
    <w:rsid w:val="00DE27F3"/>
    <w:rsid w:val="00DE295C"/>
    <w:rsid w:val="00DE2E35"/>
    <w:rsid w:val="00DE2FCC"/>
    <w:rsid w:val="00DE311A"/>
    <w:rsid w:val="00DE34C7"/>
    <w:rsid w:val="00DE37BE"/>
    <w:rsid w:val="00DE3E25"/>
    <w:rsid w:val="00DE404F"/>
    <w:rsid w:val="00DE4425"/>
    <w:rsid w:val="00DE4AA5"/>
    <w:rsid w:val="00DE4AD8"/>
    <w:rsid w:val="00DE4C0A"/>
    <w:rsid w:val="00DE4C3E"/>
    <w:rsid w:val="00DE52DB"/>
    <w:rsid w:val="00DE559B"/>
    <w:rsid w:val="00DE61BC"/>
    <w:rsid w:val="00DE6598"/>
    <w:rsid w:val="00DE6ABA"/>
    <w:rsid w:val="00DE6CD2"/>
    <w:rsid w:val="00DE70B5"/>
    <w:rsid w:val="00DE72E9"/>
    <w:rsid w:val="00DE7503"/>
    <w:rsid w:val="00DE75EA"/>
    <w:rsid w:val="00DE798B"/>
    <w:rsid w:val="00DF1162"/>
    <w:rsid w:val="00DF1394"/>
    <w:rsid w:val="00DF13A7"/>
    <w:rsid w:val="00DF2142"/>
    <w:rsid w:val="00DF221B"/>
    <w:rsid w:val="00DF224D"/>
    <w:rsid w:val="00DF2EC6"/>
    <w:rsid w:val="00DF3137"/>
    <w:rsid w:val="00DF322A"/>
    <w:rsid w:val="00DF3C06"/>
    <w:rsid w:val="00DF3C51"/>
    <w:rsid w:val="00DF3D16"/>
    <w:rsid w:val="00DF413B"/>
    <w:rsid w:val="00DF44C9"/>
    <w:rsid w:val="00DF4500"/>
    <w:rsid w:val="00DF46EC"/>
    <w:rsid w:val="00DF4B3D"/>
    <w:rsid w:val="00DF4E32"/>
    <w:rsid w:val="00DF5BCB"/>
    <w:rsid w:val="00DF5D74"/>
    <w:rsid w:val="00DF5F8F"/>
    <w:rsid w:val="00DF6989"/>
    <w:rsid w:val="00DF728B"/>
    <w:rsid w:val="00DF7565"/>
    <w:rsid w:val="00DF785A"/>
    <w:rsid w:val="00DF79A2"/>
    <w:rsid w:val="00DF79C5"/>
    <w:rsid w:val="00DF7FD7"/>
    <w:rsid w:val="00E004C0"/>
    <w:rsid w:val="00E00650"/>
    <w:rsid w:val="00E00F8D"/>
    <w:rsid w:val="00E0120C"/>
    <w:rsid w:val="00E01A52"/>
    <w:rsid w:val="00E01AD1"/>
    <w:rsid w:val="00E01C2A"/>
    <w:rsid w:val="00E02178"/>
    <w:rsid w:val="00E0236A"/>
    <w:rsid w:val="00E0274F"/>
    <w:rsid w:val="00E02A6A"/>
    <w:rsid w:val="00E03159"/>
    <w:rsid w:val="00E0353F"/>
    <w:rsid w:val="00E036FD"/>
    <w:rsid w:val="00E03750"/>
    <w:rsid w:val="00E03759"/>
    <w:rsid w:val="00E04896"/>
    <w:rsid w:val="00E04A8B"/>
    <w:rsid w:val="00E04C17"/>
    <w:rsid w:val="00E04D8C"/>
    <w:rsid w:val="00E0516F"/>
    <w:rsid w:val="00E0584D"/>
    <w:rsid w:val="00E06855"/>
    <w:rsid w:val="00E069A4"/>
    <w:rsid w:val="00E076F1"/>
    <w:rsid w:val="00E07CB2"/>
    <w:rsid w:val="00E10121"/>
    <w:rsid w:val="00E10428"/>
    <w:rsid w:val="00E10495"/>
    <w:rsid w:val="00E107F0"/>
    <w:rsid w:val="00E10BBB"/>
    <w:rsid w:val="00E10C2F"/>
    <w:rsid w:val="00E10E04"/>
    <w:rsid w:val="00E10E60"/>
    <w:rsid w:val="00E1152C"/>
    <w:rsid w:val="00E11893"/>
    <w:rsid w:val="00E11938"/>
    <w:rsid w:val="00E11C9F"/>
    <w:rsid w:val="00E12BC9"/>
    <w:rsid w:val="00E12DCB"/>
    <w:rsid w:val="00E130F9"/>
    <w:rsid w:val="00E13263"/>
    <w:rsid w:val="00E134D8"/>
    <w:rsid w:val="00E1398D"/>
    <w:rsid w:val="00E13A9E"/>
    <w:rsid w:val="00E1405E"/>
    <w:rsid w:val="00E14DE5"/>
    <w:rsid w:val="00E14EDD"/>
    <w:rsid w:val="00E15280"/>
    <w:rsid w:val="00E15334"/>
    <w:rsid w:val="00E1568D"/>
    <w:rsid w:val="00E15AB4"/>
    <w:rsid w:val="00E16988"/>
    <w:rsid w:val="00E2031F"/>
    <w:rsid w:val="00E20A57"/>
    <w:rsid w:val="00E20D3B"/>
    <w:rsid w:val="00E2109A"/>
    <w:rsid w:val="00E211E3"/>
    <w:rsid w:val="00E21219"/>
    <w:rsid w:val="00E21E7D"/>
    <w:rsid w:val="00E221A2"/>
    <w:rsid w:val="00E224C6"/>
    <w:rsid w:val="00E2273C"/>
    <w:rsid w:val="00E2275B"/>
    <w:rsid w:val="00E22BC3"/>
    <w:rsid w:val="00E23279"/>
    <w:rsid w:val="00E233CE"/>
    <w:rsid w:val="00E23842"/>
    <w:rsid w:val="00E241F5"/>
    <w:rsid w:val="00E24313"/>
    <w:rsid w:val="00E24424"/>
    <w:rsid w:val="00E2449C"/>
    <w:rsid w:val="00E24B50"/>
    <w:rsid w:val="00E24BBC"/>
    <w:rsid w:val="00E252E2"/>
    <w:rsid w:val="00E25DB8"/>
    <w:rsid w:val="00E263B0"/>
    <w:rsid w:val="00E267B9"/>
    <w:rsid w:val="00E26AA5"/>
    <w:rsid w:val="00E26D71"/>
    <w:rsid w:val="00E274FE"/>
    <w:rsid w:val="00E27735"/>
    <w:rsid w:val="00E30122"/>
    <w:rsid w:val="00E303E4"/>
    <w:rsid w:val="00E308F2"/>
    <w:rsid w:val="00E30C12"/>
    <w:rsid w:val="00E318DB"/>
    <w:rsid w:val="00E322B0"/>
    <w:rsid w:val="00E32518"/>
    <w:rsid w:val="00E325EC"/>
    <w:rsid w:val="00E32A11"/>
    <w:rsid w:val="00E32CF4"/>
    <w:rsid w:val="00E332CF"/>
    <w:rsid w:val="00E33B40"/>
    <w:rsid w:val="00E33C2A"/>
    <w:rsid w:val="00E33C93"/>
    <w:rsid w:val="00E342BA"/>
    <w:rsid w:val="00E34460"/>
    <w:rsid w:val="00E3520A"/>
    <w:rsid w:val="00E36295"/>
    <w:rsid w:val="00E364AF"/>
    <w:rsid w:val="00E369F4"/>
    <w:rsid w:val="00E36D61"/>
    <w:rsid w:val="00E36F66"/>
    <w:rsid w:val="00E36F7F"/>
    <w:rsid w:val="00E37307"/>
    <w:rsid w:val="00E374CB"/>
    <w:rsid w:val="00E376E1"/>
    <w:rsid w:val="00E378AC"/>
    <w:rsid w:val="00E37D8C"/>
    <w:rsid w:val="00E40190"/>
    <w:rsid w:val="00E406C3"/>
    <w:rsid w:val="00E40D13"/>
    <w:rsid w:val="00E41DC9"/>
    <w:rsid w:val="00E42406"/>
    <w:rsid w:val="00E4318B"/>
    <w:rsid w:val="00E43B1B"/>
    <w:rsid w:val="00E43B5F"/>
    <w:rsid w:val="00E440BA"/>
    <w:rsid w:val="00E44AC6"/>
    <w:rsid w:val="00E45080"/>
    <w:rsid w:val="00E451C5"/>
    <w:rsid w:val="00E45576"/>
    <w:rsid w:val="00E45F6B"/>
    <w:rsid w:val="00E4615E"/>
    <w:rsid w:val="00E46162"/>
    <w:rsid w:val="00E467D8"/>
    <w:rsid w:val="00E47588"/>
    <w:rsid w:val="00E47818"/>
    <w:rsid w:val="00E47B8F"/>
    <w:rsid w:val="00E5032E"/>
    <w:rsid w:val="00E50992"/>
    <w:rsid w:val="00E511E7"/>
    <w:rsid w:val="00E531AA"/>
    <w:rsid w:val="00E5341D"/>
    <w:rsid w:val="00E53698"/>
    <w:rsid w:val="00E53A52"/>
    <w:rsid w:val="00E53E29"/>
    <w:rsid w:val="00E5422F"/>
    <w:rsid w:val="00E549ED"/>
    <w:rsid w:val="00E54D57"/>
    <w:rsid w:val="00E55565"/>
    <w:rsid w:val="00E5584B"/>
    <w:rsid w:val="00E55BA5"/>
    <w:rsid w:val="00E55E4B"/>
    <w:rsid w:val="00E56A1F"/>
    <w:rsid w:val="00E579AC"/>
    <w:rsid w:val="00E579EE"/>
    <w:rsid w:val="00E60567"/>
    <w:rsid w:val="00E61677"/>
    <w:rsid w:val="00E61879"/>
    <w:rsid w:val="00E61D22"/>
    <w:rsid w:val="00E61F52"/>
    <w:rsid w:val="00E621FB"/>
    <w:rsid w:val="00E623A8"/>
    <w:rsid w:val="00E6279A"/>
    <w:rsid w:val="00E62E2D"/>
    <w:rsid w:val="00E62E30"/>
    <w:rsid w:val="00E63020"/>
    <w:rsid w:val="00E63A15"/>
    <w:rsid w:val="00E63D58"/>
    <w:rsid w:val="00E644C6"/>
    <w:rsid w:val="00E64AAB"/>
    <w:rsid w:val="00E65045"/>
    <w:rsid w:val="00E652B3"/>
    <w:rsid w:val="00E65919"/>
    <w:rsid w:val="00E65C1E"/>
    <w:rsid w:val="00E65DD2"/>
    <w:rsid w:val="00E6628D"/>
    <w:rsid w:val="00E66482"/>
    <w:rsid w:val="00E6650C"/>
    <w:rsid w:val="00E66608"/>
    <w:rsid w:val="00E6698C"/>
    <w:rsid w:val="00E66D84"/>
    <w:rsid w:val="00E670D8"/>
    <w:rsid w:val="00E67451"/>
    <w:rsid w:val="00E67BEF"/>
    <w:rsid w:val="00E67DC0"/>
    <w:rsid w:val="00E67FAE"/>
    <w:rsid w:val="00E70181"/>
    <w:rsid w:val="00E70ABE"/>
    <w:rsid w:val="00E70C86"/>
    <w:rsid w:val="00E70D69"/>
    <w:rsid w:val="00E72DFD"/>
    <w:rsid w:val="00E72FC0"/>
    <w:rsid w:val="00E73054"/>
    <w:rsid w:val="00E730B4"/>
    <w:rsid w:val="00E7378D"/>
    <w:rsid w:val="00E73983"/>
    <w:rsid w:val="00E74839"/>
    <w:rsid w:val="00E74A97"/>
    <w:rsid w:val="00E74A99"/>
    <w:rsid w:val="00E75358"/>
    <w:rsid w:val="00E75542"/>
    <w:rsid w:val="00E758FD"/>
    <w:rsid w:val="00E75B9B"/>
    <w:rsid w:val="00E765EC"/>
    <w:rsid w:val="00E76E57"/>
    <w:rsid w:val="00E76FF2"/>
    <w:rsid w:val="00E7712E"/>
    <w:rsid w:val="00E77678"/>
    <w:rsid w:val="00E7771C"/>
    <w:rsid w:val="00E77999"/>
    <w:rsid w:val="00E77DB6"/>
    <w:rsid w:val="00E8037D"/>
    <w:rsid w:val="00E81110"/>
    <w:rsid w:val="00E81783"/>
    <w:rsid w:val="00E81BA9"/>
    <w:rsid w:val="00E829CC"/>
    <w:rsid w:val="00E830E7"/>
    <w:rsid w:val="00E8310D"/>
    <w:rsid w:val="00E831AE"/>
    <w:rsid w:val="00E83753"/>
    <w:rsid w:val="00E83972"/>
    <w:rsid w:val="00E839A0"/>
    <w:rsid w:val="00E83BD1"/>
    <w:rsid w:val="00E83BE9"/>
    <w:rsid w:val="00E83E07"/>
    <w:rsid w:val="00E83EBC"/>
    <w:rsid w:val="00E842F0"/>
    <w:rsid w:val="00E843A5"/>
    <w:rsid w:val="00E84C75"/>
    <w:rsid w:val="00E84FAF"/>
    <w:rsid w:val="00E852B1"/>
    <w:rsid w:val="00E859B8"/>
    <w:rsid w:val="00E86925"/>
    <w:rsid w:val="00E8714B"/>
    <w:rsid w:val="00E907D3"/>
    <w:rsid w:val="00E9081C"/>
    <w:rsid w:val="00E90CFA"/>
    <w:rsid w:val="00E90DF6"/>
    <w:rsid w:val="00E90EBF"/>
    <w:rsid w:val="00E914AF"/>
    <w:rsid w:val="00E914DA"/>
    <w:rsid w:val="00E91506"/>
    <w:rsid w:val="00E91990"/>
    <w:rsid w:val="00E91E0A"/>
    <w:rsid w:val="00E924C2"/>
    <w:rsid w:val="00E92CDD"/>
    <w:rsid w:val="00E936B4"/>
    <w:rsid w:val="00E93814"/>
    <w:rsid w:val="00E939B1"/>
    <w:rsid w:val="00E93C2C"/>
    <w:rsid w:val="00E93F1E"/>
    <w:rsid w:val="00E94491"/>
    <w:rsid w:val="00E94F33"/>
    <w:rsid w:val="00E94FE0"/>
    <w:rsid w:val="00E956EC"/>
    <w:rsid w:val="00E95A0F"/>
    <w:rsid w:val="00E965B7"/>
    <w:rsid w:val="00E969F6"/>
    <w:rsid w:val="00E96ECF"/>
    <w:rsid w:val="00E96F44"/>
    <w:rsid w:val="00E97797"/>
    <w:rsid w:val="00E97A79"/>
    <w:rsid w:val="00E97DF0"/>
    <w:rsid w:val="00EA0385"/>
    <w:rsid w:val="00EA05EC"/>
    <w:rsid w:val="00EA068F"/>
    <w:rsid w:val="00EA08A8"/>
    <w:rsid w:val="00EA0E84"/>
    <w:rsid w:val="00EA13AB"/>
    <w:rsid w:val="00EA1433"/>
    <w:rsid w:val="00EA1849"/>
    <w:rsid w:val="00EA1B30"/>
    <w:rsid w:val="00EA1F31"/>
    <w:rsid w:val="00EA2186"/>
    <w:rsid w:val="00EA289C"/>
    <w:rsid w:val="00EA2B2C"/>
    <w:rsid w:val="00EA2DEB"/>
    <w:rsid w:val="00EA380B"/>
    <w:rsid w:val="00EA3A56"/>
    <w:rsid w:val="00EA3D1E"/>
    <w:rsid w:val="00EA3DDB"/>
    <w:rsid w:val="00EA3F1B"/>
    <w:rsid w:val="00EA4531"/>
    <w:rsid w:val="00EA4CF3"/>
    <w:rsid w:val="00EA5150"/>
    <w:rsid w:val="00EA59C8"/>
    <w:rsid w:val="00EA63F2"/>
    <w:rsid w:val="00EA6900"/>
    <w:rsid w:val="00EA6AA2"/>
    <w:rsid w:val="00EA6AF7"/>
    <w:rsid w:val="00EA6F4B"/>
    <w:rsid w:val="00EA721A"/>
    <w:rsid w:val="00EB0855"/>
    <w:rsid w:val="00EB0B55"/>
    <w:rsid w:val="00EB0F8E"/>
    <w:rsid w:val="00EB1397"/>
    <w:rsid w:val="00EB1E15"/>
    <w:rsid w:val="00EB2B5F"/>
    <w:rsid w:val="00EB2E80"/>
    <w:rsid w:val="00EB396D"/>
    <w:rsid w:val="00EB41EB"/>
    <w:rsid w:val="00EB42AB"/>
    <w:rsid w:val="00EB4409"/>
    <w:rsid w:val="00EB485C"/>
    <w:rsid w:val="00EB4DC3"/>
    <w:rsid w:val="00EB5158"/>
    <w:rsid w:val="00EB557E"/>
    <w:rsid w:val="00EB565C"/>
    <w:rsid w:val="00EB582E"/>
    <w:rsid w:val="00EB5C28"/>
    <w:rsid w:val="00EB5DB8"/>
    <w:rsid w:val="00EB5F11"/>
    <w:rsid w:val="00EB6040"/>
    <w:rsid w:val="00EB60FE"/>
    <w:rsid w:val="00EB663D"/>
    <w:rsid w:val="00EB67A1"/>
    <w:rsid w:val="00EB67F2"/>
    <w:rsid w:val="00EB683F"/>
    <w:rsid w:val="00EB6B78"/>
    <w:rsid w:val="00EB7353"/>
    <w:rsid w:val="00EB7401"/>
    <w:rsid w:val="00EB7DDA"/>
    <w:rsid w:val="00EC02D3"/>
    <w:rsid w:val="00EC0541"/>
    <w:rsid w:val="00EC054E"/>
    <w:rsid w:val="00EC0AED"/>
    <w:rsid w:val="00EC0C49"/>
    <w:rsid w:val="00EC0FA2"/>
    <w:rsid w:val="00EC0FF8"/>
    <w:rsid w:val="00EC14FF"/>
    <w:rsid w:val="00EC17BA"/>
    <w:rsid w:val="00EC1CF5"/>
    <w:rsid w:val="00EC222F"/>
    <w:rsid w:val="00EC2251"/>
    <w:rsid w:val="00EC2953"/>
    <w:rsid w:val="00EC29F4"/>
    <w:rsid w:val="00EC2D12"/>
    <w:rsid w:val="00EC2D9C"/>
    <w:rsid w:val="00EC352E"/>
    <w:rsid w:val="00EC36BC"/>
    <w:rsid w:val="00EC39B8"/>
    <w:rsid w:val="00EC3B3D"/>
    <w:rsid w:val="00EC3D7F"/>
    <w:rsid w:val="00EC41E9"/>
    <w:rsid w:val="00EC43C8"/>
    <w:rsid w:val="00EC4775"/>
    <w:rsid w:val="00EC47E0"/>
    <w:rsid w:val="00EC493A"/>
    <w:rsid w:val="00EC4B9D"/>
    <w:rsid w:val="00EC514C"/>
    <w:rsid w:val="00EC52A4"/>
    <w:rsid w:val="00EC5A26"/>
    <w:rsid w:val="00EC5B87"/>
    <w:rsid w:val="00EC5D70"/>
    <w:rsid w:val="00EC5EBA"/>
    <w:rsid w:val="00EC66F3"/>
    <w:rsid w:val="00EC6EDB"/>
    <w:rsid w:val="00EC71E4"/>
    <w:rsid w:val="00EC73D5"/>
    <w:rsid w:val="00EC777F"/>
    <w:rsid w:val="00ED0230"/>
    <w:rsid w:val="00ED028B"/>
    <w:rsid w:val="00ED0943"/>
    <w:rsid w:val="00ED0A20"/>
    <w:rsid w:val="00ED16D0"/>
    <w:rsid w:val="00ED1717"/>
    <w:rsid w:val="00ED17FA"/>
    <w:rsid w:val="00ED1DD8"/>
    <w:rsid w:val="00ED2B16"/>
    <w:rsid w:val="00ED362C"/>
    <w:rsid w:val="00ED4521"/>
    <w:rsid w:val="00ED4D88"/>
    <w:rsid w:val="00ED4DDE"/>
    <w:rsid w:val="00ED60DC"/>
    <w:rsid w:val="00ED6947"/>
    <w:rsid w:val="00ED6A06"/>
    <w:rsid w:val="00ED712C"/>
    <w:rsid w:val="00ED7C9F"/>
    <w:rsid w:val="00EE0B8D"/>
    <w:rsid w:val="00EE0D9F"/>
    <w:rsid w:val="00EE18D1"/>
    <w:rsid w:val="00EE1C38"/>
    <w:rsid w:val="00EE24E9"/>
    <w:rsid w:val="00EE28E5"/>
    <w:rsid w:val="00EE2A37"/>
    <w:rsid w:val="00EE2B9A"/>
    <w:rsid w:val="00EE358A"/>
    <w:rsid w:val="00EE42DB"/>
    <w:rsid w:val="00EE488A"/>
    <w:rsid w:val="00EE48AE"/>
    <w:rsid w:val="00EE4D59"/>
    <w:rsid w:val="00EE5016"/>
    <w:rsid w:val="00EE55E7"/>
    <w:rsid w:val="00EE57F8"/>
    <w:rsid w:val="00EE5864"/>
    <w:rsid w:val="00EE5A74"/>
    <w:rsid w:val="00EE5A8D"/>
    <w:rsid w:val="00EE5D85"/>
    <w:rsid w:val="00EE5F7A"/>
    <w:rsid w:val="00EE61C5"/>
    <w:rsid w:val="00EE64BF"/>
    <w:rsid w:val="00EE70DE"/>
    <w:rsid w:val="00EE72F0"/>
    <w:rsid w:val="00EE787B"/>
    <w:rsid w:val="00EE7F15"/>
    <w:rsid w:val="00EF0214"/>
    <w:rsid w:val="00EF038D"/>
    <w:rsid w:val="00EF1B2F"/>
    <w:rsid w:val="00EF2503"/>
    <w:rsid w:val="00EF2EF0"/>
    <w:rsid w:val="00EF30EE"/>
    <w:rsid w:val="00EF334A"/>
    <w:rsid w:val="00EF3997"/>
    <w:rsid w:val="00EF3AF2"/>
    <w:rsid w:val="00EF3F31"/>
    <w:rsid w:val="00EF49B3"/>
    <w:rsid w:val="00EF4D3F"/>
    <w:rsid w:val="00EF5109"/>
    <w:rsid w:val="00EF5912"/>
    <w:rsid w:val="00EF5AF5"/>
    <w:rsid w:val="00EF66F5"/>
    <w:rsid w:val="00EF6DE5"/>
    <w:rsid w:val="00EF6E65"/>
    <w:rsid w:val="00EF7B7F"/>
    <w:rsid w:val="00F0059E"/>
    <w:rsid w:val="00F006B0"/>
    <w:rsid w:val="00F00A4A"/>
    <w:rsid w:val="00F00C16"/>
    <w:rsid w:val="00F00C26"/>
    <w:rsid w:val="00F00EF3"/>
    <w:rsid w:val="00F00F1D"/>
    <w:rsid w:val="00F01044"/>
    <w:rsid w:val="00F0118C"/>
    <w:rsid w:val="00F014F7"/>
    <w:rsid w:val="00F01B80"/>
    <w:rsid w:val="00F01F3D"/>
    <w:rsid w:val="00F02491"/>
    <w:rsid w:val="00F024D6"/>
    <w:rsid w:val="00F026AF"/>
    <w:rsid w:val="00F0271B"/>
    <w:rsid w:val="00F0295B"/>
    <w:rsid w:val="00F02EDB"/>
    <w:rsid w:val="00F03336"/>
    <w:rsid w:val="00F03765"/>
    <w:rsid w:val="00F037B0"/>
    <w:rsid w:val="00F039B5"/>
    <w:rsid w:val="00F046FB"/>
    <w:rsid w:val="00F048EF"/>
    <w:rsid w:val="00F04B47"/>
    <w:rsid w:val="00F04C89"/>
    <w:rsid w:val="00F053FD"/>
    <w:rsid w:val="00F05CB3"/>
    <w:rsid w:val="00F064B3"/>
    <w:rsid w:val="00F067E8"/>
    <w:rsid w:val="00F068F8"/>
    <w:rsid w:val="00F06C5C"/>
    <w:rsid w:val="00F07DDA"/>
    <w:rsid w:val="00F07E46"/>
    <w:rsid w:val="00F07FE5"/>
    <w:rsid w:val="00F10209"/>
    <w:rsid w:val="00F10B59"/>
    <w:rsid w:val="00F10DA3"/>
    <w:rsid w:val="00F10EED"/>
    <w:rsid w:val="00F116E4"/>
    <w:rsid w:val="00F12439"/>
    <w:rsid w:val="00F1274D"/>
    <w:rsid w:val="00F12976"/>
    <w:rsid w:val="00F133AD"/>
    <w:rsid w:val="00F13415"/>
    <w:rsid w:val="00F13456"/>
    <w:rsid w:val="00F142F5"/>
    <w:rsid w:val="00F1430A"/>
    <w:rsid w:val="00F1440F"/>
    <w:rsid w:val="00F145EF"/>
    <w:rsid w:val="00F148AA"/>
    <w:rsid w:val="00F14B06"/>
    <w:rsid w:val="00F14FC2"/>
    <w:rsid w:val="00F1511E"/>
    <w:rsid w:val="00F1519A"/>
    <w:rsid w:val="00F159C3"/>
    <w:rsid w:val="00F15BAA"/>
    <w:rsid w:val="00F15C6E"/>
    <w:rsid w:val="00F15ED3"/>
    <w:rsid w:val="00F16901"/>
    <w:rsid w:val="00F17936"/>
    <w:rsid w:val="00F21712"/>
    <w:rsid w:val="00F21FDA"/>
    <w:rsid w:val="00F226AD"/>
    <w:rsid w:val="00F23286"/>
    <w:rsid w:val="00F23704"/>
    <w:rsid w:val="00F238AE"/>
    <w:rsid w:val="00F23E43"/>
    <w:rsid w:val="00F23F84"/>
    <w:rsid w:val="00F2468D"/>
    <w:rsid w:val="00F24A34"/>
    <w:rsid w:val="00F2571E"/>
    <w:rsid w:val="00F25BE5"/>
    <w:rsid w:val="00F25C77"/>
    <w:rsid w:val="00F26377"/>
    <w:rsid w:val="00F265FE"/>
    <w:rsid w:val="00F26671"/>
    <w:rsid w:val="00F27B98"/>
    <w:rsid w:val="00F31413"/>
    <w:rsid w:val="00F3181A"/>
    <w:rsid w:val="00F32C77"/>
    <w:rsid w:val="00F32ED0"/>
    <w:rsid w:val="00F33027"/>
    <w:rsid w:val="00F33CB2"/>
    <w:rsid w:val="00F33E37"/>
    <w:rsid w:val="00F34127"/>
    <w:rsid w:val="00F345A2"/>
    <w:rsid w:val="00F34909"/>
    <w:rsid w:val="00F34B50"/>
    <w:rsid w:val="00F34DED"/>
    <w:rsid w:val="00F34FBA"/>
    <w:rsid w:val="00F35236"/>
    <w:rsid w:val="00F352AB"/>
    <w:rsid w:val="00F354E8"/>
    <w:rsid w:val="00F3568F"/>
    <w:rsid w:val="00F3590A"/>
    <w:rsid w:val="00F35E72"/>
    <w:rsid w:val="00F36058"/>
    <w:rsid w:val="00F36855"/>
    <w:rsid w:val="00F36AA8"/>
    <w:rsid w:val="00F3704D"/>
    <w:rsid w:val="00F37E51"/>
    <w:rsid w:val="00F40ED1"/>
    <w:rsid w:val="00F410DF"/>
    <w:rsid w:val="00F41286"/>
    <w:rsid w:val="00F418C7"/>
    <w:rsid w:val="00F41945"/>
    <w:rsid w:val="00F41D1B"/>
    <w:rsid w:val="00F41F0E"/>
    <w:rsid w:val="00F42957"/>
    <w:rsid w:val="00F42D15"/>
    <w:rsid w:val="00F430AC"/>
    <w:rsid w:val="00F430B1"/>
    <w:rsid w:val="00F43269"/>
    <w:rsid w:val="00F43316"/>
    <w:rsid w:val="00F43C90"/>
    <w:rsid w:val="00F43EF5"/>
    <w:rsid w:val="00F4425A"/>
    <w:rsid w:val="00F45452"/>
    <w:rsid w:val="00F45BCB"/>
    <w:rsid w:val="00F45E06"/>
    <w:rsid w:val="00F4627A"/>
    <w:rsid w:val="00F46283"/>
    <w:rsid w:val="00F46607"/>
    <w:rsid w:val="00F46B9A"/>
    <w:rsid w:val="00F46DB8"/>
    <w:rsid w:val="00F4780C"/>
    <w:rsid w:val="00F47F8D"/>
    <w:rsid w:val="00F51483"/>
    <w:rsid w:val="00F51679"/>
    <w:rsid w:val="00F5172D"/>
    <w:rsid w:val="00F51CAD"/>
    <w:rsid w:val="00F51DE3"/>
    <w:rsid w:val="00F51E6C"/>
    <w:rsid w:val="00F52099"/>
    <w:rsid w:val="00F52642"/>
    <w:rsid w:val="00F52B08"/>
    <w:rsid w:val="00F53505"/>
    <w:rsid w:val="00F535EA"/>
    <w:rsid w:val="00F539AC"/>
    <w:rsid w:val="00F53ABB"/>
    <w:rsid w:val="00F54647"/>
    <w:rsid w:val="00F55170"/>
    <w:rsid w:val="00F55F86"/>
    <w:rsid w:val="00F5602A"/>
    <w:rsid w:val="00F5659C"/>
    <w:rsid w:val="00F56CBC"/>
    <w:rsid w:val="00F56D02"/>
    <w:rsid w:val="00F578E1"/>
    <w:rsid w:val="00F57BB1"/>
    <w:rsid w:val="00F604C4"/>
    <w:rsid w:val="00F604F5"/>
    <w:rsid w:val="00F605AB"/>
    <w:rsid w:val="00F60D06"/>
    <w:rsid w:val="00F612D1"/>
    <w:rsid w:val="00F61737"/>
    <w:rsid w:val="00F61CDE"/>
    <w:rsid w:val="00F61EDB"/>
    <w:rsid w:val="00F627A0"/>
    <w:rsid w:val="00F62F70"/>
    <w:rsid w:val="00F63280"/>
    <w:rsid w:val="00F634E8"/>
    <w:rsid w:val="00F6370F"/>
    <w:rsid w:val="00F63B0E"/>
    <w:rsid w:val="00F63C76"/>
    <w:rsid w:val="00F63D33"/>
    <w:rsid w:val="00F63EBE"/>
    <w:rsid w:val="00F64516"/>
    <w:rsid w:val="00F64935"/>
    <w:rsid w:val="00F653AE"/>
    <w:rsid w:val="00F6556D"/>
    <w:rsid w:val="00F65A3E"/>
    <w:rsid w:val="00F6626F"/>
    <w:rsid w:val="00F663EC"/>
    <w:rsid w:val="00F66CD1"/>
    <w:rsid w:val="00F670FD"/>
    <w:rsid w:val="00F6720C"/>
    <w:rsid w:val="00F679EF"/>
    <w:rsid w:val="00F67BCB"/>
    <w:rsid w:val="00F700AC"/>
    <w:rsid w:val="00F70523"/>
    <w:rsid w:val="00F70533"/>
    <w:rsid w:val="00F70C61"/>
    <w:rsid w:val="00F71432"/>
    <w:rsid w:val="00F7163A"/>
    <w:rsid w:val="00F719B0"/>
    <w:rsid w:val="00F7257E"/>
    <w:rsid w:val="00F72FC9"/>
    <w:rsid w:val="00F73292"/>
    <w:rsid w:val="00F7371B"/>
    <w:rsid w:val="00F74351"/>
    <w:rsid w:val="00F7475E"/>
    <w:rsid w:val="00F74A17"/>
    <w:rsid w:val="00F74C38"/>
    <w:rsid w:val="00F750B0"/>
    <w:rsid w:val="00F754BA"/>
    <w:rsid w:val="00F75586"/>
    <w:rsid w:val="00F7559E"/>
    <w:rsid w:val="00F75D70"/>
    <w:rsid w:val="00F75E25"/>
    <w:rsid w:val="00F760D1"/>
    <w:rsid w:val="00F760D4"/>
    <w:rsid w:val="00F76C1F"/>
    <w:rsid w:val="00F77E30"/>
    <w:rsid w:val="00F77F3C"/>
    <w:rsid w:val="00F80260"/>
    <w:rsid w:val="00F80E32"/>
    <w:rsid w:val="00F80F88"/>
    <w:rsid w:val="00F81101"/>
    <w:rsid w:val="00F8136E"/>
    <w:rsid w:val="00F81BA5"/>
    <w:rsid w:val="00F81C0B"/>
    <w:rsid w:val="00F824CA"/>
    <w:rsid w:val="00F82946"/>
    <w:rsid w:val="00F829EA"/>
    <w:rsid w:val="00F82DDF"/>
    <w:rsid w:val="00F82E14"/>
    <w:rsid w:val="00F82E5D"/>
    <w:rsid w:val="00F83048"/>
    <w:rsid w:val="00F83103"/>
    <w:rsid w:val="00F83640"/>
    <w:rsid w:val="00F83661"/>
    <w:rsid w:val="00F84881"/>
    <w:rsid w:val="00F85763"/>
    <w:rsid w:val="00F85A02"/>
    <w:rsid w:val="00F85FDA"/>
    <w:rsid w:val="00F8618D"/>
    <w:rsid w:val="00F86416"/>
    <w:rsid w:val="00F864AE"/>
    <w:rsid w:val="00F869A2"/>
    <w:rsid w:val="00F86D27"/>
    <w:rsid w:val="00F871FF"/>
    <w:rsid w:val="00F87BAC"/>
    <w:rsid w:val="00F87C19"/>
    <w:rsid w:val="00F87C74"/>
    <w:rsid w:val="00F87DA9"/>
    <w:rsid w:val="00F87DB4"/>
    <w:rsid w:val="00F902E6"/>
    <w:rsid w:val="00F903BE"/>
    <w:rsid w:val="00F90C4E"/>
    <w:rsid w:val="00F919B1"/>
    <w:rsid w:val="00F920A3"/>
    <w:rsid w:val="00F92941"/>
    <w:rsid w:val="00F92FEB"/>
    <w:rsid w:val="00F93319"/>
    <w:rsid w:val="00F93783"/>
    <w:rsid w:val="00F93DA7"/>
    <w:rsid w:val="00F93E7C"/>
    <w:rsid w:val="00F94B01"/>
    <w:rsid w:val="00F950E4"/>
    <w:rsid w:val="00F9543D"/>
    <w:rsid w:val="00F954C8"/>
    <w:rsid w:val="00F95983"/>
    <w:rsid w:val="00F95D90"/>
    <w:rsid w:val="00F95E32"/>
    <w:rsid w:val="00F96055"/>
    <w:rsid w:val="00F962C2"/>
    <w:rsid w:val="00F967B9"/>
    <w:rsid w:val="00F9699F"/>
    <w:rsid w:val="00F96C58"/>
    <w:rsid w:val="00F970A5"/>
    <w:rsid w:val="00F973DC"/>
    <w:rsid w:val="00F97A12"/>
    <w:rsid w:val="00F97B66"/>
    <w:rsid w:val="00FA009D"/>
    <w:rsid w:val="00FA03D6"/>
    <w:rsid w:val="00FA06CC"/>
    <w:rsid w:val="00FA082B"/>
    <w:rsid w:val="00FA0AA0"/>
    <w:rsid w:val="00FA0D7D"/>
    <w:rsid w:val="00FA1348"/>
    <w:rsid w:val="00FA1503"/>
    <w:rsid w:val="00FA17A0"/>
    <w:rsid w:val="00FA1F61"/>
    <w:rsid w:val="00FA2340"/>
    <w:rsid w:val="00FA2AB6"/>
    <w:rsid w:val="00FA34D0"/>
    <w:rsid w:val="00FA36D8"/>
    <w:rsid w:val="00FA490E"/>
    <w:rsid w:val="00FA5084"/>
    <w:rsid w:val="00FA558C"/>
    <w:rsid w:val="00FA5962"/>
    <w:rsid w:val="00FA5D4E"/>
    <w:rsid w:val="00FA5D92"/>
    <w:rsid w:val="00FA6DD1"/>
    <w:rsid w:val="00FA748B"/>
    <w:rsid w:val="00FA761E"/>
    <w:rsid w:val="00FA7D9B"/>
    <w:rsid w:val="00FB00F2"/>
    <w:rsid w:val="00FB0170"/>
    <w:rsid w:val="00FB072E"/>
    <w:rsid w:val="00FB07F6"/>
    <w:rsid w:val="00FB0AC5"/>
    <w:rsid w:val="00FB0F10"/>
    <w:rsid w:val="00FB0FD6"/>
    <w:rsid w:val="00FB100E"/>
    <w:rsid w:val="00FB1097"/>
    <w:rsid w:val="00FB12B4"/>
    <w:rsid w:val="00FB1379"/>
    <w:rsid w:val="00FB162D"/>
    <w:rsid w:val="00FB22D7"/>
    <w:rsid w:val="00FB2308"/>
    <w:rsid w:val="00FB3334"/>
    <w:rsid w:val="00FB37FF"/>
    <w:rsid w:val="00FB381E"/>
    <w:rsid w:val="00FB4396"/>
    <w:rsid w:val="00FB45B5"/>
    <w:rsid w:val="00FB4B56"/>
    <w:rsid w:val="00FB542D"/>
    <w:rsid w:val="00FB6221"/>
    <w:rsid w:val="00FB63E3"/>
    <w:rsid w:val="00FB65E0"/>
    <w:rsid w:val="00FB687E"/>
    <w:rsid w:val="00FB6A88"/>
    <w:rsid w:val="00FB6D61"/>
    <w:rsid w:val="00FB7D0F"/>
    <w:rsid w:val="00FC010E"/>
    <w:rsid w:val="00FC040F"/>
    <w:rsid w:val="00FC08CC"/>
    <w:rsid w:val="00FC0F60"/>
    <w:rsid w:val="00FC105F"/>
    <w:rsid w:val="00FC121B"/>
    <w:rsid w:val="00FC147F"/>
    <w:rsid w:val="00FC15D1"/>
    <w:rsid w:val="00FC1B7F"/>
    <w:rsid w:val="00FC1D6A"/>
    <w:rsid w:val="00FC1E69"/>
    <w:rsid w:val="00FC219E"/>
    <w:rsid w:val="00FC289B"/>
    <w:rsid w:val="00FC30EC"/>
    <w:rsid w:val="00FC3338"/>
    <w:rsid w:val="00FC4ABE"/>
    <w:rsid w:val="00FC4EB6"/>
    <w:rsid w:val="00FC5ABA"/>
    <w:rsid w:val="00FC5ED4"/>
    <w:rsid w:val="00FC6006"/>
    <w:rsid w:val="00FC675F"/>
    <w:rsid w:val="00FC6B04"/>
    <w:rsid w:val="00FC6C9A"/>
    <w:rsid w:val="00FC6D84"/>
    <w:rsid w:val="00FC6DC1"/>
    <w:rsid w:val="00FC7219"/>
    <w:rsid w:val="00FC7642"/>
    <w:rsid w:val="00FC7813"/>
    <w:rsid w:val="00FC7D0B"/>
    <w:rsid w:val="00FD00DD"/>
    <w:rsid w:val="00FD04F7"/>
    <w:rsid w:val="00FD0DF2"/>
    <w:rsid w:val="00FD1790"/>
    <w:rsid w:val="00FD1982"/>
    <w:rsid w:val="00FD1A0B"/>
    <w:rsid w:val="00FD1C19"/>
    <w:rsid w:val="00FD1EA5"/>
    <w:rsid w:val="00FD1FC4"/>
    <w:rsid w:val="00FD353B"/>
    <w:rsid w:val="00FD3649"/>
    <w:rsid w:val="00FD41F4"/>
    <w:rsid w:val="00FD434B"/>
    <w:rsid w:val="00FD43BF"/>
    <w:rsid w:val="00FD4A2F"/>
    <w:rsid w:val="00FD4F1B"/>
    <w:rsid w:val="00FD50A9"/>
    <w:rsid w:val="00FD5642"/>
    <w:rsid w:val="00FD66CD"/>
    <w:rsid w:val="00FD6AB5"/>
    <w:rsid w:val="00FD6C80"/>
    <w:rsid w:val="00FD6D02"/>
    <w:rsid w:val="00FD71D7"/>
    <w:rsid w:val="00FD7596"/>
    <w:rsid w:val="00FE02F3"/>
    <w:rsid w:val="00FE0312"/>
    <w:rsid w:val="00FE037E"/>
    <w:rsid w:val="00FE0B22"/>
    <w:rsid w:val="00FE0E56"/>
    <w:rsid w:val="00FE0F07"/>
    <w:rsid w:val="00FE0FFC"/>
    <w:rsid w:val="00FE11D9"/>
    <w:rsid w:val="00FE1C13"/>
    <w:rsid w:val="00FE21B2"/>
    <w:rsid w:val="00FE28AD"/>
    <w:rsid w:val="00FE2DD5"/>
    <w:rsid w:val="00FE328E"/>
    <w:rsid w:val="00FE374A"/>
    <w:rsid w:val="00FE3E00"/>
    <w:rsid w:val="00FE4509"/>
    <w:rsid w:val="00FE4522"/>
    <w:rsid w:val="00FE4671"/>
    <w:rsid w:val="00FE4B03"/>
    <w:rsid w:val="00FE4C0E"/>
    <w:rsid w:val="00FE4D7A"/>
    <w:rsid w:val="00FE4F26"/>
    <w:rsid w:val="00FE6018"/>
    <w:rsid w:val="00FE63AD"/>
    <w:rsid w:val="00FE72A5"/>
    <w:rsid w:val="00FE74C7"/>
    <w:rsid w:val="00FE75CB"/>
    <w:rsid w:val="00FE76AC"/>
    <w:rsid w:val="00FE7709"/>
    <w:rsid w:val="00FE7C27"/>
    <w:rsid w:val="00FE7FCA"/>
    <w:rsid w:val="00FF0F45"/>
    <w:rsid w:val="00FF1038"/>
    <w:rsid w:val="00FF12C3"/>
    <w:rsid w:val="00FF1600"/>
    <w:rsid w:val="00FF23D6"/>
    <w:rsid w:val="00FF25FF"/>
    <w:rsid w:val="00FF2A57"/>
    <w:rsid w:val="00FF2B7A"/>
    <w:rsid w:val="00FF35EE"/>
    <w:rsid w:val="00FF3FF8"/>
    <w:rsid w:val="00FF432B"/>
    <w:rsid w:val="00FF4504"/>
    <w:rsid w:val="00FF5665"/>
    <w:rsid w:val="00FF569A"/>
    <w:rsid w:val="00FF5A1D"/>
    <w:rsid w:val="00FF5F5C"/>
    <w:rsid w:val="00FF6883"/>
    <w:rsid w:val="00FF698B"/>
    <w:rsid w:val="00FF6A22"/>
    <w:rsid w:val="00FF6A89"/>
    <w:rsid w:val="00FF6ED2"/>
    <w:rsid w:val="00FF75D5"/>
    <w:rsid w:val="00FF7BAB"/>
    <w:rsid w:val="00FF7D16"/>
    <w:rsid w:val="00FF7E60"/>
    <w:rsid w:val="0130291E"/>
    <w:rsid w:val="014A3AF9"/>
    <w:rsid w:val="015203EF"/>
    <w:rsid w:val="01780D5A"/>
    <w:rsid w:val="01AC10B6"/>
    <w:rsid w:val="01AF05CD"/>
    <w:rsid w:val="01AF0AE4"/>
    <w:rsid w:val="01E205D5"/>
    <w:rsid w:val="01F05C31"/>
    <w:rsid w:val="01FB4EE9"/>
    <w:rsid w:val="023C261C"/>
    <w:rsid w:val="024E162B"/>
    <w:rsid w:val="02654CD8"/>
    <w:rsid w:val="028221DC"/>
    <w:rsid w:val="028523FC"/>
    <w:rsid w:val="02A43852"/>
    <w:rsid w:val="02C51E2A"/>
    <w:rsid w:val="02CC6654"/>
    <w:rsid w:val="0300439F"/>
    <w:rsid w:val="03096AEC"/>
    <w:rsid w:val="034B264A"/>
    <w:rsid w:val="03667F97"/>
    <w:rsid w:val="03AA7A6B"/>
    <w:rsid w:val="03CF3D76"/>
    <w:rsid w:val="042B44FD"/>
    <w:rsid w:val="044E1C84"/>
    <w:rsid w:val="0466617C"/>
    <w:rsid w:val="046D00C2"/>
    <w:rsid w:val="04741A17"/>
    <w:rsid w:val="047618BA"/>
    <w:rsid w:val="0498161D"/>
    <w:rsid w:val="049F249D"/>
    <w:rsid w:val="04A12EB8"/>
    <w:rsid w:val="04CF761A"/>
    <w:rsid w:val="04DE7BA1"/>
    <w:rsid w:val="04F236E0"/>
    <w:rsid w:val="04F55769"/>
    <w:rsid w:val="04F95927"/>
    <w:rsid w:val="05184220"/>
    <w:rsid w:val="057B6F77"/>
    <w:rsid w:val="059C1296"/>
    <w:rsid w:val="05B07F89"/>
    <w:rsid w:val="05B52477"/>
    <w:rsid w:val="05BB077C"/>
    <w:rsid w:val="05C25B9F"/>
    <w:rsid w:val="063B327C"/>
    <w:rsid w:val="06464324"/>
    <w:rsid w:val="0683580E"/>
    <w:rsid w:val="0684578D"/>
    <w:rsid w:val="06D37A10"/>
    <w:rsid w:val="06EF72D4"/>
    <w:rsid w:val="070006C7"/>
    <w:rsid w:val="07086182"/>
    <w:rsid w:val="071850EB"/>
    <w:rsid w:val="0777015F"/>
    <w:rsid w:val="078214E4"/>
    <w:rsid w:val="078440E6"/>
    <w:rsid w:val="078D6265"/>
    <w:rsid w:val="07922E7D"/>
    <w:rsid w:val="079454FD"/>
    <w:rsid w:val="07D11A99"/>
    <w:rsid w:val="07D251CD"/>
    <w:rsid w:val="07E80294"/>
    <w:rsid w:val="0810384C"/>
    <w:rsid w:val="08582463"/>
    <w:rsid w:val="08692696"/>
    <w:rsid w:val="08B55C1F"/>
    <w:rsid w:val="08CC525E"/>
    <w:rsid w:val="08DC76A3"/>
    <w:rsid w:val="08E527A4"/>
    <w:rsid w:val="090F4594"/>
    <w:rsid w:val="09264E78"/>
    <w:rsid w:val="09275048"/>
    <w:rsid w:val="093A4717"/>
    <w:rsid w:val="0958059D"/>
    <w:rsid w:val="09C972E2"/>
    <w:rsid w:val="0A0B085B"/>
    <w:rsid w:val="0A1548C7"/>
    <w:rsid w:val="0A8140B2"/>
    <w:rsid w:val="0AE8650E"/>
    <w:rsid w:val="0B1A4EA3"/>
    <w:rsid w:val="0B230ABE"/>
    <w:rsid w:val="0B2732B1"/>
    <w:rsid w:val="0B307CD8"/>
    <w:rsid w:val="0B4B174B"/>
    <w:rsid w:val="0B6F1342"/>
    <w:rsid w:val="0B8E21B6"/>
    <w:rsid w:val="0B981E30"/>
    <w:rsid w:val="0BA62D72"/>
    <w:rsid w:val="0BAF357A"/>
    <w:rsid w:val="0BB5358A"/>
    <w:rsid w:val="0C054E2E"/>
    <w:rsid w:val="0C075BC4"/>
    <w:rsid w:val="0C2829E3"/>
    <w:rsid w:val="0C356BC8"/>
    <w:rsid w:val="0CBA4084"/>
    <w:rsid w:val="0CD562F8"/>
    <w:rsid w:val="0CDC4FB7"/>
    <w:rsid w:val="0CF8501F"/>
    <w:rsid w:val="0D126068"/>
    <w:rsid w:val="0D5A22CF"/>
    <w:rsid w:val="0D5E38C1"/>
    <w:rsid w:val="0D8D4679"/>
    <w:rsid w:val="0DCF644A"/>
    <w:rsid w:val="0DE17C05"/>
    <w:rsid w:val="0E144FCE"/>
    <w:rsid w:val="0E201932"/>
    <w:rsid w:val="0E3E72BF"/>
    <w:rsid w:val="0E465B49"/>
    <w:rsid w:val="0E6429C0"/>
    <w:rsid w:val="0E6F0325"/>
    <w:rsid w:val="0E93548C"/>
    <w:rsid w:val="0E9E76A9"/>
    <w:rsid w:val="0EA468A7"/>
    <w:rsid w:val="0EF514C4"/>
    <w:rsid w:val="0F113151"/>
    <w:rsid w:val="0F240D4D"/>
    <w:rsid w:val="0F313E96"/>
    <w:rsid w:val="0F412CA4"/>
    <w:rsid w:val="0F4C789F"/>
    <w:rsid w:val="0F716B53"/>
    <w:rsid w:val="0F761AFD"/>
    <w:rsid w:val="0F932C13"/>
    <w:rsid w:val="0FA43D08"/>
    <w:rsid w:val="0FC378E5"/>
    <w:rsid w:val="0FE432CE"/>
    <w:rsid w:val="0FE92A33"/>
    <w:rsid w:val="1014174C"/>
    <w:rsid w:val="10435F95"/>
    <w:rsid w:val="104B7BCB"/>
    <w:rsid w:val="10A305BE"/>
    <w:rsid w:val="10BA6684"/>
    <w:rsid w:val="10BB499E"/>
    <w:rsid w:val="10C06975"/>
    <w:rsid w:val="10C7147B"/>
    <w:rsid w:val="10DA7A1C"/>
    <w:rsid w:val="10E405C2"/>
    <w:rsid w:val="10E66CC0"/>
    <w:rsid w:val="10F35209"/>
    <w:rsid w:val="112248C8"/>
    <w:rsid w:val="11236320"/>
    <w:rsid w:val="11296BB4"/>
    <w:rsid w:val="114C1362"/>
    <w:rsid w:val="11764303"/>
    <w:rsid w:val="117C611C"/>
    <w:rsid w:val="11C103DF"/>
    <w:rsid w:val="11D92CB0"/>
    <w:rsid w:val="11F66CE5"/>
    <w:rsid w:val="12340FB6"/>
    <w:rsid w:val="12446C3A"/>
    <w:rsid w:val="12486DE4"/>
    <w:rsid w:val="128067C3"/>
    <w:rsid w:val="12850FA9"/>
    <w:rsid w:val="128B382E"/>
    <w:rsid w:val="128E3988"/>
    <w:rsid w:val="1294328E"/>
    <w:rsid w:val="12F91D61"/>
    <w:rsid w:val="12FE111C"/>
    <w:rsid w:val="13100C47"/>
    <w:rsid w:val="1380199C"/>
    <w:rsid w:val="138D144C"/>
    <w:rsid w:val="139242D7"/>
    <w:rsid w:val="13942247"/>
    <w:rsid w:val="13B24583"/>
    <w:rsid w:val="13DD15B6"/>
    <w:rsid w:val="14513C2C"/>
    <w:rsid w:val="147308F0"/>
    <w:rsid w:val="14A8663A"/>
    <w:rsid w:val="14B5345E"/>
    <w:rsid w:val="14B71775"/>
    <w:rsid w:val="14DD3A15"/>
    <w:rsid w:val="14E46336"/>
    <w:rsid w:val="14E808BF"/>
    <w:rsid w:val="14EA6C53"/>
    <w:rsid w:val="14F968B4"/>
    <w:rsid w:val="158870BD"/>
    <w:rsid w:val="159C0CD3"/>
    <w:rsid w:val="15AC10CF"/>
    <w:rsid w:val="15E7583D"/>
    <w:rsid w:val="16105D63"/>
    <w:rsid w:val="163C0D7E"/>
    <w:rsid w:val="16430733"/>
    <w:rsid w:val="164506EA"/>
    <w:rsid w:val="16474BA2"/>
    <w:rsid w:val="169E5C5E"/>
    <w:rsid w:val="16B11F7D"/>
    <w:rsid w:val="172202CF"/>
    <w:rsid w:val="173825F4"/>
    <w:rsid w:val="178068EA"/>
    <w:rsid w:val="17887333"/>
    <w:rsid w:val="179225C1"/>
    <w:rsid w:val="17925116"/>
    <w:rsid w:val="17C916D3"/>
    <w:rsid w:val="17D41E88"/>
    <w:rsid w:val="17D41F99"/>
    <w:rsid w:val="181C3445"/>
    <w:rsid w:val="18295FB1"/>
    <w:rsid w:val="18481315"/>
    <w:rsid w:val="18BC71DB"/>
    <w:rsid w:val="18D34177"/>
    <w:rsid w:val="18E309FD"/>
    <w:rsid w:val="18E30C22"/>
    <w:rsid w:val="18EA7635"/>
    <w:rsid w:val="18F10B97"/>
    <w:rsid w:val="19345E47"/>
    <w:rsid w:val="194470AC"/>
    <w:rsid w:val="194B5B59"/>
    <w:rsid w:val="19582893"/>
    <w:rsid w:val="19886DAA"/>
    <w:rsid w:val="199D2912"/>
    <w:rsid w:val="19B6435B"/>
    <w:rsid w:val="19BD7A47"/>
    <w:rsid w:val="19D2478F"/>
    <w:rsid w:val="19F82445"/>
    <w:rsid w:val="19F95624"/>
    <w:rsid w:val="1A243C74"/>
    <w:rsid w:val="1A482C97"/>
    <w:rsid w:val="1A68731B"/>
    <w:rsid w:val="1A775E26"/>
    <w:rsid w:val="1A9D1D17"/>
    <w:rsid w:val="1B186F99"/>
    <w:rsid w:val="1B4B11BE"/>
    <w:rsid w:val="1B4D27E3"/>
    <w:rsid w:val="1B761637"/>
    <w:rsid w:val="1B9A2227"/>
    <w:rsid w:val="1BB941B5"/>
    <w:rsid w:val="1BE871E8"/>
    <w:rsid w:val="1C451DED"/>
    <w:rsid w:val="1C6172C3"/>
    <w:rsid w:val="1C6C512F"/>
    <w:rsid w:val="1C80506E"/>
    <w:rsid w:val="1C83521E"/>
    <w:rsid w:val="1C892719"/>
    <w:rsid w:val="1CBA0AE6"/>
    <w:rsid w:val="1CBA422A"/>
    <w:rsid w:val="1CC32C8D"/>
    <w:rsid w:val="1CCF45CC"/>
    <w:rsid w:val="1CF35537"/>
    <w:rsid w:val="1D0147EA"/>
    <w:rsid w:val="1D190A90"/>
    <w:rsid w:val="1D3613C3"/>
    <w:rsid w:val="1D4F3115"/>
    <w:rsid w:val="1D773012"/>
    <w:rsid w:val="1D84774D"/>
    <w:rsid w:val="1DDC7544"/>
    <w:rsid w:val="1DE63088"/>
    <w:rsid w:val="1E2D553F"/>
    <w:rsid w:val="1E421CCB"/>
    <w:rsid w:val="1E553C4E"/>
    <w:rsid w:val="1E5F41DE"/>
    <w:rsid w:val="1E7B0803"/>
    <w:rsid w:val="1F351091"/>
    <w:rsid w:val="1F524562"/>
    <w:rsid w:val="1F5B2E09"/>
    <w:rsid w:val="1F6274D3"/>
    <w:rsid w:val="1F7869D4"/>
    <w:rsid w:val="1F897CC1"/>
    <w:rsid w:val="1F8A3E43"/>
    <w:rsid w:val="1FD51DA1"/>
    <w:rsid w:val="1FE6395F"/>
    <w:rsid w:val="20014C16"/>
    <w:rsid w:val="200502E2"/>
    <w:rsid w:val="202857A3"/>
    <w:rsid w:val="202A1208"/>
    <w:rsid w:val="20426F88"/>
    <w:rsid w:val="2043225D"/>
    <w:rsid w:val="20437AF7"/>
    <w:rsid w:val="20483859"/>
    <w:rsid w:val="207D5D01"/>
    <w:rsid w:val="20DB48AD"/>
    <w:rsid w:val="20E82CA4"/>
    <w:rsid w:val="20EF186E"/>
    <w:rsid w:val="210B3F94"/>
    <w:rsid w:val="210F50C2"/>
    <w:rsid w:val="21186151"/>
    <w:rsid w:val="212D3CF1"/>
    <w:rsid w:val="21326E3C"/>
    <w:rsid w:val="214D0612"/>
    <w:rsid w:val="21556550"/>
    <w:rsid w:val="216E4BF2"/>
    <w:rsid w:val="21B533CB"/>
    <w:rsid w:val="21B83D7E"/>
    <w:rsid w:val="21D41C91"/>
    <w:rsid w:val="21EF0B69"/>
    <w:rsid w:val="21F1656B"/>
    <w:rsid w:val="22034CC2"/>
    <w:rsid w:val="22245157"/>
    <w:rsid w:val="22684318"/>
    <w:rsid w:val="22746A43"/>
    <w:rsid w:val="229519AF"/>
    <w:rsid w:val="22B32610"/>
    <w:rsid w:val="22BF31A4"/>
    <w:rsid w:val="22DF4A64"/>
    <w:rsid w:val="233F1212"/>
    <w:rsid w:val="23451F4D"/>
    <w:rsid w:val="23453D23"/>
    <w:rsid w:val="235028BA"/>
    <w:rsid w:val="23625884"/>
    <w:rsid w:val="237C2328"/>
    <w:rsid w:val="23A61009"/>
    <w:rsid w:val="23A677DB"/>
    <w:rsid w:val="23D52F3F"/>
    <w:rsid w:val="23DA47A7"/>
    <w:rsid w:val="23DC4C04"/>
    <w:rsid w:val="23E338C0"/>
    <w:rsid w:val="241B2B08"/>
    <w:rsid w:val="2455352D"/>
    <w:rsid w:val="246D1F2E"/>
    <w:rsid w:val="24B3315A"/>
    <w:rsid w:val="24C13F87"/>
    <w:rsid w:val="24D66281"/>
    <w:rsid w:val="25131BCC"/>
    <w:rsid w:val="25473B1D"/>
    <w:rsid w:val="25620BA3"/>
    <w:rsid w:val="2562586D"/>
    <w:rsid w:val="2571728C"/>
    <w:rsid w:val="259F2152"/>
    <w:rsid w:val="25B07D81"/>
    <w:rsid w:val="25C53B9C"/>
    <w:rsid w:val="25F420CF"/>
    <w:rsid w:val="25F718C2"/>
    <w:rsid w:val="260243E4"/>
    <w:rsid w:val="26CC2F27"/>
    <w:rsid w:val="27040E91"/>
    <w:rsid w:val="27225149"/>
    <w:rsid w:val="274758D3"/>
    <w:rsid w:val="274A4217"/>
    <w:rsid w:val="27940C02"/>
    <w:rsid w:val="27B27CE0"/>
    <w:rsid w:val="27CE211F"/>
    <w:rsid w:val="27E22AEE"/>
    <w:rsid w:val="27E30B0A"/>
    <w:rsid w:val="282922F6"/>
    <w:rsid w:val="28380A66"/>
    <w:rsid w:val="283A0BD4"/>
    <w:rsid w:val="284A4556"/>
    <w:rsid w:val="284F3003"/>
    <w:rsid w:val="2854342C"/>
    <w:rsid w:val="285C7F57"/>
    <w:rsid w:val="28634918"/>
    <w:rsid w:val="288372A7"/>
    <w:rsid w:val="28C67C1F"/>
    <w:rsid w:val="28EA3CF8"/>
    <w:rsid w:val="28F53645"/>
    <w:rsid w:val="28FB051A"/>
    <w:rsid w:val="29103536"/>
    <w:rsid w:val="294417B6"/>
    <w:rsid w:val="29604D54"/>
    <w:rsid w:val="29804FC6"/>
    <w:rsid w:val="298E2E7F"/>
    <w:rsid w:val="29C5729F"/>
    <w:rsid w:val="29E725BE"/>
    <w:rsid w:val="29F82ED6"/>
    <w:rsid w:val="2A2806C7"/>
    <w:rsid w:val="2A2E43BB"/>
    <w:rsid w:val="2A415A73"/>
    <w:rsid w:val="2A5B010F"/>
    <w:rsid w:val="2A65680A"/>
    <w:rsid w:val="2A8C6345"/>
    <w:rsid w:val="2A936B81"/>
    <w:rsid w:val="2A961D99"/>
    <w:rsid w:val="2AAD27F4"/>
    <w:rsid w:val="2AB355CA"/>
    <w:rsid w:val="2AD2231D"/>
    <w:rsid w:val="2B365A40"/>
    <w:rsid w:val="2B393C67"/>
    <w:rsid w:val="2B4726CB"/>
    <w:rsid w:val="2B482CB8"/>
    <w:rsid w:val="2B6C6DC2"/>
    <w:rsid w:val="2BD50A8F"/>
    <w:rsid w:val="2BD76556"/>
    <w:rsid w:val="2C341B5C"/>
    <w:rsid w:val="2C4C0E83"/>
    <w:rsid w:val="2C8C0049"/>
    <w:rsid w:val="2CA34349"/>
    <w:rsid w:val="2CBF0E30"/>
    <w:rsid w:val="2CC07130"/>
    <w:rsid w:val="2CC60893"/>
    <w:rsid w:val="2D191FE1"/>
    <w:rsid w:val="2D1D4794"/>
    <w:rsid w:val="2D376C20"/>
    <w:rsid w:val="2D6A3D37"/>
    <w:rsid w:val="2DAE1443"/>
    <w:rsid w:val="2DDE63E0"/>
    <w:rsid w:val="2DF6435F"/>
    <w:rsid w:val="2E107B86"/>
    <w:rsid w:val="2E183F44"/>
    <w:rsid w:val="2E6E7825"/>
    <w:rsid w:val="2E7B718B"/>
    <w:rsid w:val="2EBF5542"/>
    <w:rsid w:val="2EC65E63"/>
    <w:rsid w:val="2EDD649D"/>
    <w:rsid w:val="2EEC216E"/>
    <w:rsid w:val="2EF63A78"/>
    <w:rsid w:val="2EFA1880"/>
    <w:rsid w:val="2F31490D"/>
    <w:rsid w:val="2F340AFA"/>
    <w:rsid w:val="2F384E97"/>
    <w:rsid w:val="2F3906C6"/>
    <w:rsid w:val="2F797E53"/>
    <w:rsid w:val="2F8E2D86"/>
    <w:rsid w:val="2F921450"/>
    <w:rsid w:val="2FA643BE"/>
    <w:rsid w:val="2FFE67F6"/>
    <w:rsid w:val="303D2167"/>
    <w:rsid w:val="30BF1CA7"/>
    <w:rsid w:val="30C52988"/>
    <w:rsid w:val="30C96AB5"/>
    <w:rsid w:val="30D87774"/>
    <w:rsid w:val="30DB0223"/>
    <w:rsid w:val="30E74C88"/>
    <w:rsid w:val="31361FFB"/>
    <w:rsid w:val="315822DC"/>
    <w:rsid w:val="315C673F"/>
    <w:rsid w:val="3166095E"/>
    <w:rsid w:val="31762D80"/>
    <w:rsid w:val="319439BF"/>
    <w:rsid w:val="31A5542D"/>
    <w:rsid w:val="31B1163C"/>
    <w:rsid w:val="31D7089F"/>
    <w:rsid w:val="31DC1A73"/>
    <w:rsid w:val="31E37866"/>
    <w:rsid w:val="32196519"/>
    <w:rsid w:val="321C199E"/>
    <w:rsid w:val="325608B4"/>
    <w:rsid w:val="32565F7D"/>
    <w:rsid w:val="3265144F"/>
    <w:rsid w:val="32775BB6"/>
    <w:rsid w:val="32813AE2"/>
    <w:rsid w:val="32966863"/>
    <w:rsid w:val="329D1A78"/>
    <w:rsid w:val="32A930C6"/>
    <w:rsid w:val="32AB188B"/>
    <w:rsid w:val="32E0679B"/>
    <w:rsid w:val="32E53C11"/>
    <w:rsid w:val="333363A3"/>
    <w:rsid w:val="33373825"/>
    <w:rsid w:val="335C5EE7"/>
    <w:rsid w:val="33C934A4"/>
    <w:rsid w:val="33FC1AE9"/>
    <w:rsid w:val="3421668A"/>
    <w:rsid w:val="34365DDB"/>
    <w:rsid w:val="343C2669"/>
    <w:rsid w:val="343E5CC7"/>
    <w:rsid w:val="345D0A24"/>
    <w:rsid w:val="34644FA6"/>
    <w:rsid w:val="346B5984"/>
    <w:rsid w:val="346C7EC0"/>
    <w:rsid w:val="347239D2"/>
    <w:rsid w:val="3497078E"/>
    <w:rsid w:val="34AB366F"/>
    <w:rsid w:val="34B20527"/>
    <w:rsid w:val="34B325EB"/>
    <w:rsid w:val="34DF4EC2"/>
    <w:rsid w:val="35226C65"/>
    <w:rsid w:val="3535466F"/>
    <w:rsid w:val="353A1F83"/>
    <w:rsid w:val="35535640"/>
    <w:rsid w:val="35946856"/>
    <w:rsid w:val="35B86307"/>
    <w:rsid w:val="35CC3886"/>
    <w:rsid w:val="35CD6060"/>
    <w:rsid w:val="35CE0542"/>
    <w:rsid w:val="361A3196"/>
    <w:rsid w:val="361B0E1B"/>
    <w:rsid w:val="36276E95"/>
    <w:rsid w:val="36314B42"/>
    <w:rsid w:val="36745271"/>
    <w:rsid w:val="36760CE2"/>
    <w:rsid w:val="36AB69C6"/>
    <w:rsid w:val="36B669F3"/>
    <w:rsid w:val="36C16FE7"/>
    <w:rsid w:val="370A7E5B"/>
    <w:rsid w:val="37125EB6"/>
    <w:rsid w:val="373D7237"/>
    <w:rsid w:val="37555560"/>
    <w:rsid w:val="37956342"/>
    <w:rsid w:val="37B853BA"/>
    <w:rsid w:val="380460D1"/>
    <w:rsid w:val="381221C3"/>
    <w:rsid w:val="381B73CC"/>
    <w:rsid w:val="382707C2"/>
    <w:rsid w:val="38501941"/>
    <w:rsid w:val="38541566"/>
    <w:rsid w:val="38693601"/>
    <w:rsid w:val="388A6A2E"/>
    <w:rsid w:val="388D4BDA"/>
    <w:rsid w:val="38DB7049"/>
    <w:rsid w:val="38FB2B26"/>
    <w:rsid w:val="390F4FD0"/>
    <w:rsid w:val="39345BFF"/>
    <w:rsid w:val="3942210E"/>
    <w:rsid w:val="39562D47"/>
    <w:rsid w:val="395C27C2"/>
    <w:rsid w:val="395F69D9"/>
    <w:rsid w:val="39C533D0"/>
    <w:rsid w:val="3A056EA2"/>
    <w:rsid w:val="3A2B4282"/>
    <w:rsid w:val="3A4E4DD7"/>
    <w:rsid w:val="3A4F2234"/>
    <w:rsid w:val="3A5B6C96"/>
    <w:rsid w:val="3A5D5EC2"/>
    <w:rsid w:val="3A6308E1"/>
    <w:rsid w:val="3A6C248B"/>
    <w:rsid w:val="3AA11FF2"/>
    <w:rsid w:val="3AAA4F5B"/>
    <w:rsid w:val="3AB76BB9"/>
    <w:rsid w:val="3AC116CA"/>
    <w:rsid w:val="3B1771A3"/>
    <w:rsid w:val="3B1D354E"/>
    <w:rsid w:val="3B355583"/>
    <w:rsid w:val="3B5274B7"/>
    <w:rsid w:val="3B546A5D"/>
    <w:rsid w:val="3B7B53EB"/>
    <w:rsid w:val="3B9A144A"/>
    <w:rsid w:val="3BA05A17"/>
    <w:rsid w:val="3BBD0E81"/>
    <w:rsid w:val="3BD16687"/>
    <w:rsid w:val="3C0715E7"/>
    <w:rsid w:val="3C0D6D20"/>
    <w:rsid w:val="3C135FCD"/>
    <w:rsid w:val="3C231312"/>
    <w:rsid w:val="3C450735"/>
    <w:rsid w:val="3C6B66D2"/>
    <w:rsid w:val="3C7F71A1"/>
    <w:rsid w:val="3C8F4923"/>
    <w:rsid w:val="3C8F7022"/>
    <w:rsid w:val="3CAB6E0A"/>
    <w:rsid w:val="3CCA75B0"/>
    <w:rsid w:val="3CD276E5"/>
    <w:rsid w:val="3D1A3B38"/>
    <w:rsid w:val="3D537608"/>
    <w:rsid w:val="3D5C0C80"/>
    <w:rsid w:val="3D5F0676"/>
    <w:rsid w:val="3D7D3A9C"/>
    <w:rsid w:val="3D9B2BCC"/>
    <w:rsid w:val="3DB01D59"/>
    <w:rsid w:val="3DE15C01"/>
    <w:rsid w:val="3E081F53"/>
    <w:rsid w:val="3E1B0C44"/>
    <w:rsid w:val="3E263932"/>
    <w:rsid w:val="3E966544"/>
    <w:rsid w:val="3ECB0F00"/>
    <w:rsid w:val="3EE5022A"/>
    <w:rsid w:val="3EFB2DF7"/>
    <w:rsid w:val="3F1143CF"/>
    <w:rsid w:val="3F313AD0"/>
    <w:rsid w:val="3F5B2FC8"/>
    <w:rsid w:val="3F681D9B"/>
    <w:rsid w:val="3FAF4194"/>
    <w:rsid w:val="400230F6"/>
    <w:rsid w:val="40170EBE"/>
    <w:rsid w:val="40274340"/>
    <w:rsid w:val="402D2EE4"/>
    <w:rsid w:val="40B71C8B"/>
    <w:rsid w:val="40B7620A"/>
    <w:rsid w:val="40BF5793"/>
    <w:rsid w:val="41770928"/>
    <w:rsid w:val="41A43864"/>
    <w:rsid w:val="41F07257"/>
    <w:rsid w:val="421B2896"/>
    <w:rsid w:val="422C637C"/>
    <w:rsid w:val="42421F01"/>
    <w:rsid w:val="42447C69"/>
    <w:rsid w:val="42496353"/>
    <w:rsid w:val="424C6546"/>
    <w:rsid w:val="428E6275"/>
    <w:rsid w:val="42C14003"/>
    <w:rsid w:val="42CA6CC4"/>
    <w:rsid w:val="42D93416"/>
    <w:rsid w:val="42F0280C"/>
    <w:rsid w:val="43B802F0"/>
    <w:rsid w:val="440123AA"/>
    <w:rsid w:val="44040CC3"/>
    <w:rsid w:val="440E48F2"/>
    <w:rsid w:val="441409F2"/>
    <w:rsid w:val="442A7937"/>
    <w:rsid w:val="444A6B56"/>
    <w:rsid w:val="4472557B"/>
    <w:rsid w:val="448D516A"/>
    <w:rsid w:val="44AC63D1"/>
    <w:rsid w:val="44CA6C44"/>
    <w:rsid w:val="450F1786"/>
    <w:rsid w:val="451D566A"/>
    <w:rsid w:val="45242214"/>
    <w:rsid w:val="4576287E"/>
    <w:rsid w:val="458A49D6"/>
    <w:rsid w:val="45B66A89"/>
    <w:rsid w:val="45DB0460"/>
    <w:rsid w:val="45E77F42"/>
    <w:rsid w:val="46204214"/>
    <w:rsid w:val="462901AF"/>
    <w:rsid w:val="463453EF"/>
    <w:rsid w:val="46425D69"/>
    <w:rsid w:val="464E0734"/>
    <w:rsid w:val="46506AF0"/>
    <w:rsid w:val="467606FB"/>
    <w:rsid w:val="46C53D17"/>
    <w:rsid w:val="46D052BC"/>
    <w:rsid w:val="46E51719"/>
    <w:rsid w:val="47177A0D"/>
    <w:rsid w:val="472D2D15"/>
    <w:rsid w:val="474B0E5B"/>
    <w:rsid w:val="47656413"/>
    <w:rsid w:val="47683D6F"/>
    <w:rsid w:val="477935A6"/>
    <w:rsid w:val="477D304A"/>
    <w:rsid w:val="478126B8"/>
    <w:rsid w:val="478A0291"/>
    <w:rsid w:val="47967F4F"/>
    <w:rsid w:val="47A74320"/>
    <w:rsid w:val="47AA659F"/>
    <w:rsid w:val="47C35296"/>
    <w:rsid w:val="47DC5EA4"/>
    <w:rsid w:val="47EC536C"/>
    <w:rsid w:val="481E2F71"/>
    <w:rsid w:val="481F1934"/>
    <w:rsid w:val="483B01E7"/>
    <w:rsid w:val="486245ED"/>
    <w:rsid w:val="48771974"/>
    <w:rsid w:val="48807EFF"/>
    <w:rsid w:val="48C963E5"/>
    <w:rsid w:val="49074AF5"/>
    <w:rsid w:val="497A78ED"/>
    <w:rsid w:val="498F18F4"/>
    <w:rsid w:val="49957753"/>
    <w:rsid w:val="49D344AD"/>
    <w:rsid w:val="49E81F34"/>
    <w:rsid w:val="49F67A42"/>
    <w:rsid w:val="4A0D2197"/>
    <w:rsid w:val="4A7C3D27"/>
    <w:rsid w:val="4A8F56EE"/>
    <w:rsid w:val="4AB84C51"/>
    <w:rsid w:val="4AC14884"/>
    <w:rsid w:val="4AD305AE"/>
    <w:rsid w:val="4AD97B1D"/>
    <w:rsid w:val="4B08556A"/>
    <w:rsid w:val="4B0F0F31"/>
    <w:rsid w:val="4B2A3CD4"/>
    <w:rsid w:val="4B5613F4"/>
    <w:rsid w:val="4B647A26"/>
    <w:rsid w:val="4B97013C"/>
    <w:rsid w:val="4B9A6592"/>
    <w:rsid w:val="4B9D02C8"/>
    <w:rsid w:val="4BB40771"/>
    <w:rsid w:val="4BE264BE"/>
    <w:rsid w:val="4C3B01EA"/>
    <w:rsid w:val="4C4B7AE1"/>
    <w:rsid w:val="4C753BBC"/>
    <w:rsid w:val="4C7D083E"/>
    <w:rsid w:val="4CB63832"/>
    <w:rsid w:val="4CB638DA"/>
    <w:rsid w:val="4CD01863"/>
    <w:rsid w:val="4CD97399"/>
    <w:rsid w:val="4D212E95"/>
    <w:rsid w:val="4D420DA3"/>
    <w:rsid w:val="4D4C6A79"/>
    <w:rsid w:val="4D527C31"/>
    <w:rsid w:val="4D6B0009"/>
    <w:rsid w:val="4DA515B3"/>
    <w:rsid w:val="4DB636F3"/>
    <w:rsid w:val="4DB766E7"/>
    <w:rsid w:val="4DD813E2"/>
    <w:rsid w:val="4DE673CC"/>
    <w:rsid w:val="4DFF2043"/>
    <w:rsid w:val="4E0116C3"/>
    <w:rsid w:val="4E3E61BC"/>
    <w:rsid w:val="4E726074"/>
    <w:rsid w:val="4E8100E7"/>
    <w:rsid w:val="4E8C5143"/>
    <w:rsid w:val="4E8D2BF9"/>
    <w:rsid w:val="4EDC1CEF"/>
    <w:rsid w:val="4EE57289"/>
    <w:rsid w:val="4EEC35A8"/>
    <w:rsid w:val="4EF52F0A"/>
    <w:rsid w:val="4F0F5C99"/>
    <w:rsid w:val="4F2160C8"/>
    <w:rsid w:val="4F2A27C9"/>
    <w:rsid w:val="4F552FF0"/>
    <w:rsid w:val="4F90731C"/>
    <w:rsid w:val="4F9F52B9"/>
    <w:rsid w:val="4FCD5A91"/>
    <w:rsid w:val="4FD22017"/>
    <w:rsid w:val="4FD62B50"/>
    <w:rsid w:val="4FE443D5"/>
    <w:rsid w:val="4FEF5700"/>
    <w:rsid w:val="50036750"/>
    <w:rsid w:val="50281E7B"/>
    <w:rsid w:val="5034490B"/>
    <w:rsid w:val="50351B32"/>
    <w:rsid w:val="50450AEF"/>
    <w:rsid w:val="507141D3"/>
    <w:rsid w:val="50A4090D"/>
    <w:rsid w:val="50BC11FC"/>
    <w:rsid w:val="51194C04"/>
    <w:rsid w:val="512832A7"/>
    <w:rsid w:val="512B03AA"/>
    <w:rsid w:val="514A2496"/>
    <w:rsid w:val="517B3EC2"/>
    <w:rsid w:val="519620E1"/>
    <w:rsid w:val="51A01114"/>
    <w:rsid w:val="51A50527"/>
    <w:rsid w:val="51B02775"/>
    <w:rsid w:val="51E82E9D"/>
    <w:rsid w:val="52666165"/>
    <w:rsid w:val="52894517"/>
    <w:rsid w:val="529705DF"/>
    <w:rsid w:val="52A17C3B"/>
    <w:rsid w:val="52EC6D3D"/>
    <w:rsid w:val="52F21317"/>
    <w:rsid w:val="53283BC9"/>
    <w:rsid w:val="5369355D"/>
    <w:rsid w:val="537A016C"/>
    <w:rsid w:val="53A93B30"/>
    <w:rsid w:val="53B95C3E"/>
    <w:rsid w:val="53CC763B"/>
    <w:rsid w:val="53F76F96"/>
    <w:rsid w:val="53FD0E34"/>
    <w:rsid w:val="53FD4F81"/>
    <w:rsid w:val="54065C1E"/>
    <w:rsid w:val="545A061D"/>
    <w:rsid w:val="549B480C"/>
    <w:rsid w:val="550B70B4"/>
    <w:rsid w:val="555C74FD"/>
    <w:rsid w:val="558B7B2C"/>
    <w:rsid w:val="55E60481"/>
    <w:rsid w:val="562349C1"/>
    <w:rsid w:val="56463082"/>
    <w:rsid w:val="56682737"/>
    <w:rsid w:val="56770DFD"/>
    <w:rsid w:val="568D5485"/>
    <w:rsid w:val="56A47BE5"/>
    <w:rsid w:val="56F32FFF"/>
    <w:rsid w:val="56FB1740"/>
    <w:rsid w:val="57216186"/>
    <w:rsid w:val="57752BE1"/>
    <w:rsid w:val="57770758"/>
    <w:rsid w:val="577B0F4F"/>
    <w:rsid w:val="57B037D8"/>
    <w:rsid w:val="57B71097"/>
    <w:rsid w:val="57C567C4"/>
    <w:rsid w:val="57E72A6A"/>
    <w:rsid w:val="581B5647"/>
    <w:rsid w:val="58397833"/>
    <w:rsid w:val="584D50D5"/>
    <w:rsid w:val="58804FD5"/>
    <w:rsid w:val="589C03D6"/>
    <w:rsid w:val="58CA6E6C"/>
    <w:rsid w:val="58D81C95"/>
    <w:rsid w:val="58D81D7D"/>
    <w:rsid w:val="58D91494"/>
    <w:rsid w:val="59112520"/>
    <w:rsid w:val="5950436A"/>
    <w:rsid w:val="5972012C"/>
    <w:rsid w:val="59A738D9"/>
    <w:rsid w:val="59DF6DEB"/>
    <w:rsid w:val="5A1500D5"/>
    <w:rsid w:val="5A48390D"/>
    <w:rsid w:val="5A5663C2"/>
    <w:rsid w:val="5A6926DC"/>
    <w:rsid w:val="5A764C17"/>
    <w:rsid w:val="5A9064A9"/>
    <w:rsid w:val="5AA74CC2"/>
    <w:rsid w:val="5B0F4FA4"/>
    <w:rsid w:val="5B0F6E9E"/>
    <w:rsid w:val="5B106760"/>
    <w:rsid w:val="5B2F34F1"/>
    <w:rsid w:val="5B3279E6"/>
    <w:rsid w:val="5B4925C0"/>
    <w:rsid w:val="5B4B276A"/>
    <w:rsid w:val="5B620285"/>
    <w:rsid w:val="5B6E7A7F"/>
    <w:rsid w:val="5B7C58B9"/>
    <w:rsid w:val="5BB76A5D"/>
    <w:rsid w:val="5BB92D67"/>
    <w:rsid w:val="5BDD71F1"/>
    <w:rsid w:val="5C03538D"/>
    <w:rsid w:val="5C0A54B4"/>
    <w:rsid w:val="5C4E65BC"/>
    <w:rsid w:val="5C5E5168"/>
    <w:rsid w:val="5C6A3BE4"/>
    <w:rsid w:val="5CB34456"/>
    <w:rsid w:val="5CC1791E"/>
    <w:rsid w:val="5CC61A7C"/>
    <w:rsid w:val="5CDA4D08"/>
    <w:rsid w:val="5CE06727"/>
    <w:rsid w:val="5CF80C0D"/>
    <w:rsid w:val="5CFC03ED"/>
    <w:rsid w:val="5D102E88"/>
    <w:rsid w:val="5D1A2F45"/>
    <w:rsid w:val="5D4119A1"/>
    <w:rsid w:val="5D5F273B"/>
    <w:rsid w:val="5D610376"/>
    <w:rsid w:val="5D8D078E"/>
    <w:rsid w:val="5DC14D99"/>
    <w:rsid w:val="5E137235"/>
    <w:rsid w:val="5E2F7062"/>
    <w:rsid w:val="5E686408"/>
    <w:rsid w:val="5E740169"/>
    <w:rsid w:val="5EDA3A98"/>
    <w:rsid w:val="5EF0286E"/>
    <w:rsid w:val="5EF278DE"/>
    <w:rsid w:val="5EF60FFA"/>
    <w:rsid w:val="5F0502B0"/>
    <w:rsid w:val="5F24194A"/>
    <w:rsid w:val="5F2D5208"/>
    <w:rsid w:val="5F467339"/>
    <w:rsid w:val="5FD374D5"/>
    <w:rsid w:val="5FDA76BE"/>
    <w:rsid w:val="5FE55DBB"/>
    <w:rsid w:val="5FEF6847"/>
    <w:rsid w:val="5FF871DD"/>
    <w:rsid w:val="60242A7E"/>
    <w:rsid w:val="60452941"/>
    <w:rsid w:val="60890B55"/>
    <w:rsid w:val="60917464"/>
    <w:rsid w:val="60A84940"/>
    <w:rsid w:val="60DA6350"/>
    <w:rsid w:val="610A1B19"/>
    <w:rsid w:val="61387E04"/>
    <w:rsid w:val="61775B66"/>
    <w:rsid w:val="61A56744"/>
    <w:rsid w:val="62023274"/>
    <w:rsid w:val="624241C3"/>
    <w:rsid w:val="629A62EB"/>
    <w:rsid w:val="62EC299F"/>
    <w:rsid w:val="62F22FA3"/>
    <w:rsid w:val="62FA7217"/>
    <w:rsid w:val="63105A5C"/>
    <w:rsid w:val="6326593A"/>
    <w:rsid w:val="633415E5"/>
    <w:rsid w:val="634C28F9"/>
    <w:rsid w:val="6356047B"/>
    <w:rsid w:val="63B71951"/>
    <w:rsid w:val="63BC01F9"/>
    <w:rsid w:val="63D51533"/>
    <w:rsid w:val="63D643AC"/>
    <w:rsid w:val="63DF16B6"/>
    <w:rsid w:val="63E111B4"/>
    <w:rsid w:val="63E95AB5"/>
    <w:rsid w:val="63F864D1"/>
    <w:rsid w:val="64033040"/>
    <w:rsid w:val="64380D74"/>
    <w:rsid w:val="647F2F0C"/>
    <w:rsid w:val="648F3623"/>
    <w:rsid w:val="64BD7CA5"/>
    <w:rsid w:val="64C11D98"/>
    <w:rsid w:val="650C3321"/>
    <w:rsid w:val="65147F56"/>
    <w:rsid w:val="651B22DB"/>
    <w:rsid w:val="653E05B4"/>
    <w:rsid w:val="65705254"/>
    <w:rsid w:val="658A171D"/>
    <w:rsid w:val="65B71A79"/>
    <w:rsid w:val="65DC0F73"/>
    <w:rsid w:val="65F953CF"/>
    <w:rsid w:val="662427EE"/>
    <w:rsid w:val="66537FA0"/>
    <w:rsid w:val="6668375E"/>
    <w:rsid w:val="66727846"/>
    <w:rsid w:val="66AD0EB4"/>
    <w:rsid w:val="66B02FF4"/>
    <w:rsid w:val="66C17ADD"/>
    <w:rsid w:val="66C22037"/>
    <w:rsid w:val="66C66E59"/>
    <w:rsid w:val="66E97F71"/>
    <w:rsid w:val="67320801"/>
    <w:rsid w:val="67730316"/>
    <w:rsid w:val="677C018F"/>
    <w:rsid w:val="67B211FA"/>
    <w:rsid w:val="67C90DF3"/>
    <w:rsid w:val="67D5306D"/>
    <w:rsid w:val="682C639E"/>
    <w:rsid w:val="68536805"/>
    <w:rsid w:val="688373F4"/>
    <w:rsid w:val="688A1DD3"/>
    <w:rsid w:val="68977C3A"/>
    <w:rsid w:val="689E72BC"/>
    <w:rsid w:val="68A56223"/>
    <w:rsid w:val="68BA04CB"/>
    <w:rsid w:val="68C0633B"/>
    <w:rsid w:val="68DF02D4"/>
    <w:rsid w:val="68E127E7"/>
    <w:rsid w:val="69211A0C"/>
    <w:rsid w:val="693C244D"/>
    <w:rsid w:val="695C787B"/>
    <w:rsid w:val="69695BAE"/>
    <w:rsid w:val="69726CFC"/>
    <w:rsid w:val="69742612"/>
    <w:rsid w:val="697D523E"/>
    <w:rsid w:val="699E53C3"/>
    <w:rsid w:val="69B47C8A"/>
    <w:rsid w:val="69C0266B"/>
    <w:rsid w:val="6A002D52"/>
    <w:rsid w:val="6A114135"/>
    <w:rsid w:val="6A1D1710"/>
    <w:rsid w:val="6A361AA3"/>
    <w:rsid w:val="6A4A1526"/>
    <w:rsid w:val="6A58102E"/>
    <w:rsid w:val="6A8A4989"/>
    <w:rsid w:val="6A961FB0"/>
    <w:rsid w:val="6B052E49"/>
    <w:rsid w:val="6B165DDD"/>
    <w:rsid w:val="6B1C319C"/>
    <w:rsid w:val="6B446704"/>
    <w:rsid w:val="6BE942EF"/>
    <w:rsid w:val="6C6309F4"/>
    <w:rsid w:val="6C6C04F3"/>
    <w:rsid w:val="6C700663"/>
    <w:rsid w:val="6D206C32"/>
    <w:rsid w:val="6D502BA9"/>
    <w:rsid w:val="6D6E7FBC"/>
    <w:rsid w:val="6D9B0C54"/>
    <w:rsid w:val="6DAB42BF"/>
    <w:rsid w:val="6DB153E2"/>
    <w:rsid w:val="6DD23A58"/>
    <w:rsid w:val="6DF05678"/>
    <w:rsid w:val="6E182E3B"/>
    <w:rsid w:val="6E9E4F7D"/>
    <w:rsid w:val="6EA261CE"/>
    <w:rsid w:val="6EA67933"/>
    <w:rsid w:val="6EC54ABB"/>
    <w:rsid w:val="6EDC14F2"/>
    <w:rsid w:val="6EDF0256"/>
    <w:rsid w:val="6EFF2576"/>
    <w:rsid w:val="6F1005F6"/>
    <w:rsid w:val="6F342D4B"/>
    <w:rsid w:val="6F4525D2"/>
    <w:rsid w:val="6F4A1EB9"/>
    <w:rsid w:val="6F964BF5"/>
    <w:rsid w:val="6FA26ECA"/>
    <w:rsid w:val="6FC85A4F"/>
    <w:rsid w:val="6FF2051A"/>
    <w:rsid w:val="70157F44"/>
    <w:rsid w:val="705A2623"/>
    <w:rsid w:val="70637C93"/>
    <w:rsid w:val="707746B1"/>
    <w:rsid w:val="7097670B"/>
    <w:rsid w:val="70AF3FC9"/>
    <w:rsid w:val="70B55008"/>
    <w:rsid w:val="70CD3CDA"/>
    <w:rsid w:val="70E015F1"/>
    <w:rsid w:val="70E07441"/>
    <w:rsid w:val="70E742D4"/>
    <w:rsid w:val="711A1834"/>
    <w:rsid w:val="711A5049"/>
    <w:rsid w:val="712C2FE8"/>
    <w:rsid w:val="71782AD4"/>
    <w:rsid w:val="71A317E3"/>
    <w:rsid w:val="71AD2731"/>
    <w:rsid w:val="71D57F57"/>
    <w:rsid w:val="71EE45AD"/>
    <w:rsid w:val="7209500D"/>
    <w:rsid w:val="72182B43"/>
    <w:rsid w:val="722F162C"/>
    <w:rsid w:val="724141D5"/>
    <w:rsid w:val="726B05D3"/>
    <w:rsid w:val="726C3EBD"/>
    <w:rsid w:val="727D376D"/>
    <w:rsid w:val="727E0BC3"/>
    <w:rsid w:val="728F01DC"/>
    <w:rsid w:val="72911240"/>
    <w:rsid w:val="72B50C37"/>
    <w:rsid w:val="7317244C"/>
    <w:rsid w:val="73342280"/>
    <w:rsid w:val="733E1B18"/>
    <w:rsid w:val="735C012F"/>
    <w:rsid w:val="736B64B5"/>
    <w:rsid w:val="7383108F"/>
    <w:rsid w:val="738E0F25"/>
    <w:rsid w:val="73CB2F6B"/>
    <w:rsid w:val="73D60E0D"/>
    <w:rsid w:val="73E155DB"/>
    <w:rsid w:val="742B482D"/>
    <w:rsid w:val="74451E4F"/>
    <w:rsid w:val="747023E7"/>
    <w:rsid w:val="74824E33"/>
    <w:rsid w:val="74851D4C"/>
    <w:rsid w:val="74951989"/>
    <w:rsid w:val="74A024B5"/>
    <w:rsid w:val="74CF79CD"/>
    <w:rsid w:val="74EB37FA"/>
    <w:rsid w:val="7514636C"/>
    <w:rsid w:val="75236FFA"/>
    <w:rsid w:val="752F476C"/>
    <w:rsid w:val="753C6DAA"/>
    <w:rsid w:val="75532790"/>
    <w:rsid w:val="75874134"/>
    <w:rsid w:val="759413ED"/>
    <w:rsid w:val="75C362E6"/>
    <w:rsid w:val="75F751C7"/>
    <w:rsid w:val="76266EA8"/>
    <w:rsid w:val="766E34CB"/>
    <w:rsid w:val="768E6DA3"/>
    <w:rsid w:val="76FA2FA0"/>
    <w:rsid w:val="77026087"/>
    <w:rsid w:val="77174310"/>
    <w:rsid w:val="771D7434"/>
    <w:rsid w:val="773E7ACD"/>
    <w:rsid w:val="77527983"/>
    <w:rsid w:val="776C75C5"/>
    <w:rsid w:val="776E07B6"/>
    <w:rsid w:val="77C409A4"/>
    <w:rsid w:val="77DD199E"/>
    <w:rsid w:val="77FD28C8"/>
    <w:rsid w:val="781A2159"/>
    <w:rsid w:val="783A3A1D"/>
    <w:rsid w:val="785766B7"/>
    <w:rsid w:val="78814C05"/>
    <w:rsid w:val="788308C0"/>
    <w:rsid w:val="78B2699A"/>
    <w:rsid w:val="78B561E6"/>
    <w:rsid w:val="78B92A7B"/>
    <w:rsid w:val="78C23ACB"/>
    <w:rsid w:val="78CA7E8F"/>
    <w:rsid w:val="78E172A5"/>
    <w:rsid w:val="78F373BD"/>
    <w:rsid w:val="79075E64"/>
    <w:rsid w:val="79153980"/>
    <w:rsid w:val="791D3983"/>
    <w:rsid w:val="7940616D"/>
    <w:rsid w:val="794F5BBD"/>
    <w:rsid w:val="795108FF"/>
    <w:rsid w:val="797765A3"/>
    <w:rsid w:val="79A807B0"/>
    <w:rsid w:val="79C36276"/>
    <w:rsid w:val="79C502FA"/>
    <w:rsid w:val="79E05F40"/>
    <w:rsid w:val="7A1E03F2"/>
    <w:rsid w:val="7A4C3E24"/>
    <w:rsid w:val="7A5E7BA7"/>
    <w:rsid w:val="7AA27DE2"/>
    <w:rsid w:val="7AA4096B"/>
    <w:rsid w:val="7AB477DE"/>
    <w:rsid w:val="7ADF02AF"/>
    <w:rsid w:val="7AE00D2B"/>
    <w:rsid w:val="7AE663C2"/>
    <w:rsid w:val="7AF74BC9"/>
    <w:rsid w:val="7B040141"/>
    <w:rsid w:val="7B7B14F2"/>
    <w:rsid w:val="7B8B37BE"/>
    <w:rsid w:val="7BA50D98"/>
    <w:rsid w:val="7BBE289C"/>
    <w:rsid w:val="7BC56E6D"/>
    <w:rsid w:val="7BF73032"/>
    <w:rsid w:val="7C0C6B20"/>
    <w:rsid w:val="7C3D5B35"/>
    <w:rsid w:val="7C905E14"/>
    <w:rsid w:val="7CA3564E"/>
    <w:rsid w:val="7CE36BDE"/>
    <w:rsid w:val="7CE7060E"/>
    <w:rsid w:val="7CF06F87"/>
    <w:rsid w:val="7D31558C"/>
    <w:rsid w:val="7D3206D9"/>
    <w:rsid w:val="7D462BE8"/>
    <w:rsid w:val="7D7F7333"/>
    <w:rsid w:val="7DB8348E"/>
    <w:rsid w:val="7E2C0E66"/>
    <w:rsid w:val="7E5F222D"/>
    <w:rsid w:val="7E647F0B"/>
    <w:rsid w:val="7E6B6675"/>
    <w:rsid w:val="7EA112F3"/>
    <w:rsid w:val="7EE24E87"/>
    <w:rsid w:val="7F197837"/>
    <w:rsid w:val="7F5E620B"/>
    <w:rsid w:val="7F67643C"/>
    <w:rsid w:val="7F6D2A0B"/>
    <w:rsid w:val="7FC56E81"/>
    <w:rsid w:val="7FC85F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name="endnote reference"/>
    <w:lsdException w:qFormat="1" w:unhideWhenUsed="0" w:uiPriority="99"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qFormat="1" w:unhideWhenUsed="0" w:uiPriority="0" w:semiHidden="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2"/>
    <w:qFormat/>
    <w:uiPriority w:val="0"/>
    <w:pPr>
      <w:keepNext/>
      <w:keepLines/>
      <w:pageBreakBefore/>
      <w:numPr>
        <w:ilvl w:val="0"/>
        <w:numId w:val="1"/>
      </w:numPr>
      <w:tabs>
        <w:tab w:val="left" w:pos="432"/>
      </w:tabs>
      <w:spacing w:beforeLines="100" w:afterLines="100" w:line="360" w:lineRule="auto"/>
      <w:jc w:val="center"/>
      <w:outlineLvl w:val="0"/>
    </w:pPr>
    <w:rPr>
      <w:rFonts w:eastAsia="黑体"/>
      <w:bCs/>
      <w:kern w:val="44"/>
      <w:sz w:val="36"/>
      <w:szCs w:val="44"/>
      <w:lang w:val="zh-CN"/>
    </w:rPr>
  </w:style>
  <w:style w:type="paragraph" w:styleId="3">
    <w:name w:val="heading 2"/>
    <w:basedOn w:val="1"/>
    <w:next w:val="1"/>
    <w:link w:val="73"/>
    <w:qFormat/>
    <w:uiPriority w:val="0"/>
    <w:pPr>
      <w:keepNext/>
      <w:keepLines/>
      <w:numPr>
        <w:ilvl w:val="1"/>
        <w:numId w:val="1"/>
      </w:numPr>
      <w:tabs>
        <w:tab w:val="left" w:pos="432"/>
        <w:tab w:val="left" w:pos="576"/>
      </w:tabs>
      <w:adjustRightInd w:val="0"/>
      <w:spacing w:beforeLines="50" w:afterLines="50"/>
      <w:jc w:val="left"/>
      <w:outlineLvl w:val="1"/>
    </w:pPr>
    <w:rPr>
      <w:rFonts w:eastAsia="黑体"/>
      <w:bCs/>
      <w:sz w:val="28"/>
      <w:szCs w:val="28"/>
      <w:lang w:val="zh-CN"/>
    </w:rPr>
  </w:style>
  <w:style w:type="paragraph" w:styleId="4">
    <w:name w:val="heading 3"/>
    <w:basedOn w:val="3"/>
    <w:next w:val="1"/>
    <w:link w:val="74"/>
    <w:qFormat/>
    <w:uiPriority w:val="0"/>
    <w:pPr>
      <w:numPr>
        <w:ilvl w:val="2"/>
      </w:numPr>
      <w:tabs>
        <w:tab w:val="left" w:pos="736"/>
        <w:tab w:val="left" w:pos="2422"/>
        <w:tab w:val="clear" w:pos="576"/>
      </w:tabs>
      <w:spacing w:line="360" w:lineRule="auto"/>
      <w:outlineLvl w:val="2"/>
    </w:pPr>
    <w:rPr>
      <w:sz w:val="24"/>
    </w:rPr>
  </w:style>
  <w:style w:type="paragraph" w:styleId="5">
    <w:name w:val="heading 4"/>
    <w:basedOn w:val="4"/>
    <w:next w:val="1"/>
    <w:link w:val="75"/>
    <w:qFormat/>
    <w:uiPriority w:val="0"/>
    <w:pPr>
      <w:numPr>
        <w:ilvl w:val="3"/>
      </w:numPr>
      <w:tabs>
        <w:tab w:val="left" w:pos="864"/>
        <w:tab w:val="clear" w:pos="432"/>
        <w:tab w:val="clear" w:pos="736"/>
        <w:tab w:val="clear" w:pos="2422"/>
      </w:tabs>
      <w:outlineLvl w:val="3"/>
    </w:pPr>
    <w:rPr>
      <w:kern w:val="0"/>
    </w:rPr>
  </w:style>
  <w:style w:type="paragraph" w:styleId="6">
    <w:name w:val="heading 5"/>
    <w:basedOn w:val="1"/>
    <w:next w:val="1"/>
    <w:link w:val="76"/>
    <w:qFormat/>
    <w:uiPriority w:val="0"/>
    <w:pPr>
      <w:keepNext/>
      <w:keepLines/>
      <w:numPr>
        <w:ilvl w:val="4"/>
        <w:numId w:val="1"/>
      </w:numPr>
      <w:tabs>
        <w:tab w:val="left" w:pos="1008"/>
      </w:tabs>
      <w:spacing w:before="280" w:after="290" w:line="376" w:lineRule="auto"/>
      <w:outlineLvl w:val="4"/>
    </w:pPr>
    <w:rPr>
      <w:b/>
      <w:bCs/>
      <w:sz w:val="28"/>
      <w:szCs w:val="28"/>
      <w:lang w:val="zh-CN"/>
    </w:rPr>
  </w:style>
  <w:style w:type="paragraph" w:styleId="7">
    <w:name w:val="heading 6"/>
    <w:basedOn w:val="1"/>
    <w:next w:val="1"/>
    <w:link w:val="77"/>
    <w:qFormat/>
    <w:uiPriority w:val="0"/>
    <w:pPr>
      <w:keepNext/>
      <w:keepLines/>
      <w:numPr>
        <w:ilvl w:val="5"/>
        <w:numId w:val="1"/>
      </w:numPr>
      <w:tabs>
        <w:tab w:val="left" w:pos="1152"/>
      </w:tabs>
      <w:spacing w:before="240" w:after="64" w:line="320" w:lineRule="auto"/>
      <w:outlineLvl w:val="5"/>
    </w:pPr>
    <w:rPr>
      <w:rFonts w:ascii="Arial" w:hAnsi="Arial" w:eastAsia="黑体"/>
      <w:b/>
      <w:bCs/>
      <w:sz w:val="24"/>
      <w:lang w:val="zh-CN"/>
    </w:rPr>
  </w:style>
  <w:style w:type="paragraph" w:styleId="8">
    <w:name w:val="heading 7"/>
    <w:basedOn w:val="1"/>
    <w:next w:val="1"/>
    <w:link w:val="78"/>
    <w:qFormat/>
    <w:uiPriority w:val="0"/>
    <w:pPr>
      <w:keepNext/>
      <w:keepLines/>
      <w:numPr>
        <w:ilvl w:val="6"/>
        <w:numId w:val="1"/>
      </w:numPr>
      <w:tabs>
        <w:tab w:val="left" w:pos="1296"/>
      </w:tabs>
      <w:spacing w:before="240" w:after="64" w:line="320" w:lineRule="auto"/>
      <w:outlineLvl w:val="6"/>
    </w:pPr>
    <w:rPr>
      <w:b/>
      <w:bCs/>
      <w:sz w:val="24"/>
      <w:lang w:val="zh-CN"/>
    </w:rPr>
  </w:style>
  <w:style w:type="paragraph" w:styleId="9">
    <w:name w:val="heading 8"/>
    <w:basedOn w:val="1"/>
    <w:next w:val="1"/>
    <w:link w:val="79"/>
    <w:qFormat/>
    <w:uiPriority w:val="0"/>
    <w:pPr>
      <w:keepNext/>
      <w:keepLines/>
      <w:numPr>
        <w:ilvl w:val="7"/>
        <w:numId w:val="1"/>
      </w:numPr>
      <w:tabs>
        <w:tab w:val="left" w:pos="1440"/>
      </w:tabs>
      <w:spacing w:before="240" w:after="64" w:line="320" w:lineRule="auto"/>
      <w:outlineLvl w:val="7"/>
    </w:pPr>
    <w:rPr>
      <w:rFonts w:ascii="Arial" w:hAnsi="Arial" w:eastAsia="黑体"/>
      <w:sz w:val="24"/>
      <w:lang w:val="zh-CN"/>
    </w:rPr>
  </w:style>
  <w:style w:type="paragraph" w:styleId="10">
    <w:name w:val="heading 9"/>
    <w:basedOn w:val="1"/>
    <w:next w:val="1"/>
    <w:link w:val="80"/>
    <w:qFormat/>
    <w:uiPriority w:val="0"/>
    <w:pPr>
      <w:keepNext/>
      <w:keepLines/>
      <w:numPr>
        <w:ilvl w:val="8"/>
        <w:numId w:val="1"/>
      </w:numPr>
      <w:tabs>
        <w:tab w:val="left" w:pos="1584"/>
      </w:tabs>
      <w:spacing w:before="240" w:after="64" w:line="320" w:lineRule="auto"/>
      <w:outlineLvl w:val="8"/>
    </w:pPr>
    <w:rPr>
      <w:rFonts w:ascii="Arial" w:hAnsi="Arial" w:eastAsia="黑体"/>
      <w:szCs w:val="21"/>
      <w:lang w:val="zh-CN"/>
    </w:rPr>
  </w:style>
  <w:style w:type="character" w:default="1" w:styleId="62">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contextualSpacing/>
    </w:pPr>
  </w:style>
  <w:style w:type="paragraph" w:styleId="12">
    <w:name w:val="toc 7"/>
    <w:basedOn w:val="1"/>
    <w:next w:val="1"/>
    <w:qFormat/>
    <w:uiPriority w:val="39"/>
    <w:pPr>
      <w:ind w:left="1260"/>
      <w:jc w:val="left"/>
    </w:pPr>
    <w:rPr>
      <w:sz w:val="18"/>
      <w:szCs w:val="18"/>
    </w:rPr>
  </w:style>
  <w:style w:type="paragraph" w:styleId="13">
    <w:name w:val="Note Heading"/>
    <w:basedOn w:val="1"/>
    <w:next w:val="1"/>
    <w:link w:val="81"/>
    <w:qFormat/>
    <w:uiPriority w:val="0"/>
    <w:pPr>
      <w:jc w:val="center"/>
    </w:pPr>
    <w:rPr>
      <w:szCs w:val="20"/>
      <w:lang w:val="zh-CN"/>
    </w:rPr>
  </w:style>
  <w:style w:type="paragraph" w:styleId="14">
    <w:name w:val="List Number"/>
    <w:basedOn w:val="1"/>
    <w:qFormat/>
    <w:uiPriority w:val="0"/>
    <w:pPr>
      <w:tabs>
        <w:tab w:val="left" w:pos="425"/>
      </w:tabs>
      <w:ind w:left="425" w:hanging="425"/>
    </w:pPr>
  </w:style>
  <w:style w:type="paragraph" w:styleId="15">
    <w:name w:val="Normal Indent"/>
    <w:basedOn w:val="1"/>
    <w:link w:val="82"/>
    <w:qFormat/>
    <w:uiPriority w:val="0"/>
    <w:rPr>
      <w:sz w:val="28"/>
      <w:szCs w:val="20"/>
      <w:lang w:val="zh-CN"/>
    </w:rPr>
  </w:style>
  <w:style w:type="paragraph" w:styleId="16">
    <w:name w:val="caption"/>
    <w:basedOn w:val="1"/>
    <w:next w:val="1"/>
    <w:link w:val="83"/>
    <w:qFormat/>
    <w:uiPriority w:val="0"/>
    <w:pPr>
      <w:adjustRightInd w:val="0"/>
      <w:spacing w:line="360" w:lineRule="auto"/>
      <w:ind w:firstLine="200" w:firstLineChars="200"/>
      <w:textAlignment w:val="baseline"/>
    </w:pPr>
    <w:rPr>
      <w:rFonts w:ascii="Arial" w:hAnsi="Arial" w:eastAsia="黑体"/>
      <w:kern w:val="0"/>
      <w:sz w:val="20"/>
      <w:szCs w:val="20"/>
      <w:lang w:val="zh-CN"/>
    </w:rPr>
  </w:style>
  <w:style w:type="paragraph" w:styleId="17">
    <w:name w:val="List Bullet"/>
    <w:basedOn w:val="1"/>
    <w:qFormat/>
    <w:uiPriority w:val="0"/>
    <w:pPr>
      <w:tabs>
        <w:tab w:val="left" w:pos="360"/>
      </w:tabs>
      <w:ind w:left="360" w:hanging="360"/>
    </w:pPr>
    <w:rPr>
      <w:sz w:val="24"/>
    </w:rPr>
  </w:style>
  <w:style w:type="paragraph" w:styleId="18">
    <w:name w:val="Document Map"/>
    <w:basedOn w:val="1"/>
    <w:link w:val="84"/>
    <w:unhideWhenUsed/>
    <w:qFormat/>
    <w:uiPriority w:val="99"/>
    <w:rPr>
      <w:rFonts w:ascii="宋体"/>
      <w:sz w:val="18"/>
      <w:szCs w:val="18"/>
      <w:lang w:val="zh-CN"/>
    </w:rPr>
  </w:style>
  <w:style w:type="paragraph" w:styleId="19">
    <w:name w:val="toa heading"/>
    <w:basedOn w:val="1"/>
    <w:next w:val="1"/>
    <w:qFormat/>
    <w:uiPriority w:val="0"/>
    <w:pPr>
      <w:spacing w:before="120"/>
    </w:pPr>
    <w:rPr>
      <w:rFonts w:ascii="Arial" w:hAnsi="Arial"/>
      <w:b/>
      <w:bCs/>
    </w:rPr>
  </w:style>
  <w:style w:type="paragraph" w:styleId="20">
    <w:name w:val="annotation text"/>
    <w:basedOn w:val="1"/>
    <w:link w:val="85"/>
    <w:qFormat/>
    <w:uiPriority w:val="0"/>
    <w:pPr>
      <w:spacing w:line="360" w:lineRule="auto"/>
      <w:jc w:val="left"/>
    </w:pPr>
    <w:rPr>
      <w:rFonts w:eastAsia="仿宋_GB2312"/>
      <w:sz w:val="24"/>
      <w:lang w:val="zh-CN"/>
    </w:rPr>
  </w:style>
  <w:style w:type="paragraph" w:styleId="21">
    <w:name w:val="Body Text 3"/>
    <w:basedOn w:val="1"/>
    <w:link w:val="86"/>
    <w:qFormat/>
    <w:uiPriority w:val="0"/>
    <w:pPr>
      <w:spacing w:after="120"/>
    </w:pPr>
    <w:rPr>
      <w:sz w:val="16"/>
      <w:szCs w:val="16"/>
      <w:lang w:val="zh-CN"/>
    </w:rPr>
  </w:style>
  <w:style w:type="paragraph" w:styleId="22">
    <w:name w:val="List Bullet 3"/>
    <w:basedOn w:val="1"/>
    <w:qFormat/>
    <w:uiPriority w:val="0"/>
    <w:pPr>
      <w:tabs>
        <w:tab w:val="left" w:pos="1200"/>
      </w:tabs>
      <w:ind w:left="1200" w:hanging="360"/>
      <w:contextualSpacing/>
    </w:pPr>
  </w:style>
  <w:style w:type="paragraph" w:styleId="23">
    <w:name w:val="Body Text"/>
    <w:basedOn w:val="1"/>
    <w:link w:val="87"/>
    <w:qFormat/>
    <w:uiPriority w:val="0"/>
    <w:pPr>
      <w:spacing w:line="0" w:lineRule="atLeast"/>
      <w:jc w:val="center"/>
    </w:pPr>
    <w:rPr>
      <w:sz w:val="24"/>
      <w:szCs w:val="20"/>
      <w:lang w:val="zh-CN"/>
    </w:rPr>
  </w:style>
  <w:style w:type="paragraph" w:styleId="24">
    <w:name w:val="Body Text Indent"/>
    <w:basedOn w:val="1"/>
    <w:link w:val="88"/>
    <w:qFormat/>
    <w:uiPriority w:val="0"/>
    <w:pPr>
      <w:spacing w:after="120"/>
      <w:ind w:left="420" w:leftChars="200"/>
    </w:pPr>
    <w:rPr>
      <w:lang w:val="zh-CN"/>
    </w:rPr>
  </w:style>
  <w:style w:type="paragraph" w:styleId="25">
    <w:name w:val="List 2"/>
    <w:basedOn w:val="1"/>
    <w:qFormat/>
    <w:uiPriority w:val="0"/>
    <w:pPr>
      <w:spacing w:line="360" w:lineRule="exact"/>
      <w:jc w:val="center"/>
    </w:pPr>
    <w:rPr>
      <w:rFonts w:ascii="仿宋_GB2312" w:eastAsia="仿宋_GB2312"/>
      <w:szCs w:val="20"/>
    </w:rPr>
  </w:style>
  <w:style w:type="paragraph" w:styleId="26">
    <w:name w:val="toc 5"/>
    <w:basedOn w:val="1"/>
    <w:next w:val="1"/>
    <w:qFormat/>
    <w:uiPriority w:val="39"/>
    <w:pPr>
      <w:ind w:left="840"/>
      <w:jc w:val="left"/>
    </w:pPr>
    <w:rPr>
      <w:sz w:val="18"/>
      <w:szCs w:val="18"/>
    </w:rPr>
  </w:style>
  <w:style w:type="paragraph" w:styleId="27">
    <w:name w:val="toc 3"/>
    <w:basedOn w:val="1"/>
    <w:next w:val="1"/>
    <w:qFormat/>
    <w:uiPriority w:val="39"/>
    <w:pPr>
      <w:tabs>
        <w:tab w:val="left" w:pos="960"/>
        <w:tab w:val="right" w:leader="dot" w:pos="8948"/>
      </w:tabs>
      <w:ind w:left="420"/>
      <w:jc w:val="left"/>
    </w:pPr>
    <w:rPr>
      <w:i/>
      <w:iCs/>
      <w:sz w:val="20"/>
      <w:szCs w:val="20"/>
    </w:rPr>
  </w:style>
  <w:style w:type="paragraph" w:styleId="28">
    <w:name w:val="Plain Text"/>
    <w:basedOn w:val="1"/>
    <w:next w:val="29"/>
    <w:link w:val="89"/>
    <w:qFormat/>
    <w:uiPriority w:val="0"/>
    <w:rPr>
      <w:rFonts w:ascii="宋体" w:hAnsi="Courier New"/>
      <w:lang w:val="zh-CN"/>
    </w:rPr>
  </w:style>
  <w:style w:type="paragraph" w:customStyle="1" w:styleId="29">
    <w:name w:val="Default"/>
    <w:basedOn w:val="3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纯文本1"/>
    <w:basedOn w:val="1"/>
    <w:qFormat/>
    <w:uiPriority w:val="0"/>
    <w:pPr>
      <w:adjustRightInd w:val="0"/>
    </w:pPr>
    <w:rPr>
      <w:rFonts w:ascii="宋体" w:hAnsi="Courier New"/>
      <w:szCs w:val="20"/>
    </w:rPr>
  </w:style>
  <w:style w:type="paragraph" w:styleId="31">
    <w:name w:val="toc 8"/>
    <w:basedOn w:val="1"/>
    <w:next w:val="1"/>
    <w:qFormat/>
    <w:uiPriority w:val="39"/>
    <w:pPr>
      <w:ind w:left="1470"/>
      <w:jc w:val="left"/>
    </w:pPr>
    <w:rPr>
      <w:sz w:val="18"/>
      <w:szCs w:val="18"/>
    </w:rPr>
  </w:style>
  <w:style w:type="paragraph" w:styleId="32">
    <w:name w:val="Date"/>
    <w:basedOn w:val="1"/>
    <w:next w:val="1"/>
    <w:link w:val="90"/>
    <w:qFormat/>
    <w:uiPriority w:val="0"/>
    <w:rPr>
      <w:sz w:val="28"/>
      <w:szCs w:val="20"/>
      <w:lang w:val="zh-CN"/>
    </w:rPr>
  </w:style>
  <w:style w:type="paragraph" w:styleId="33">
    <w:name w:val="Body Text Indent 2"/>
    <w:basedOn w:val="1"/>
    <w:link w:val="91"/>
    <w:qFormat/>
    <w:uiPriority w:val="0"/>
    <w:pPr>
      <w:spacing w:beforeLines="50" w:line="360" w:lineRule="auto"/>
      <w:ind w:firstLine="480" w:firstLineChars="200"/>
    </w:pPr>
    <w:rPr>
      <w:rFonts w:ascii="宋体" w:hAnsi="宋体"/>
      <w:sz w:val="24"/>
      <w:lang w:val="zh-CN"/>
    </w:rPr>
  </w:style>
  <w:style w:type="paragraph" w:styleId="34">
    <w:name w:val="endnote text"/>
    <w:basedOn w:val="1"/>
    <w:link w:val="92"/>
    <w:qFormat/>
    <w:uiPriority w:val="99"/>
    <w:pPr>
      <w:snapToGrid w:val="0"/>
      <w:jc w:val="left"/>
    </w:pPr>
    <w:rPr>
      <w:lang w:val="zh-CN"/>
    </w:rPr>
  </w:style>
  <w:style w:type="paragraph" w:styleId="35">
    <w:name w:val="Balloon Text"/>
    <w:basedOn w:val="1"/>
    <w:link w:val="93"/>
    <w:unhideWhenUsed/>
    <w:qFormat/>
    <w:uiPriority w:val="99"/>
    <w:rPr>
      <w:sz w:val="18"/>
      <w:szCs w:val="18"/>
      <w:lang w:val="zh-CN"/>
    </w:rPr>
  </w:style>
  <w:style w:type="paragraph" w:styleId="36">
    <w:name w:val="footer"/>
    <w:basedOn w:val="1"/>
    <w:link w:val="71"/>
    <w:unhideWhenUsed/>
    <w:qFormat/>
    <w:uiPriority w:val="99"/>
    <w:pPr>
      <w:tabs>
        <w:tab w:val="center" w:pos="4153"/>
        <w:tab w:val="right" w:pos="8306"/>
      </w:tabs>
      <w:snapToGrid w:val="0"/>
      <w:jc w:val="left"/>
    </w:pPr>
    <w:rPr>
      <w:sz w:val="18"/>
      <w:szCs w:val="18"/>
      <w:lang w:val="zh-CN"/>
    </w:rPr>
  </w:style>
  <w:style w:type="paragraph" w:styleId="37">
    <w:name w:val="header"/>
    <w:basedOn w:val="1"/>
    <w:link w:val="94"/>
    <w:unhideWhenUsed/>
    <w:qFormat/>
    <w:uiPriority w:val="99"/>
    <w:pPr>
      <w:pBdr>
        <w:bottom w:val="single" w:color="auto" w:sz="6" w:space="1"/>
      </w:pBdr>
      <w:tabs>
        <w:tab w:val="center" w:pos="4153"/>
        <w:tab w:val="right" w:pos="8306"/>
      </w:tabs>
      <w:snapToGrid w:val="0"/>
      <w:jc w:val="center"/>
    </w:pPr>
    <w:rPr>
      <w:sz w:val="18"/>
      <w:szCs w:val="18"/>
      <w:lang w:val="zh-CN"/>
    </w:rPr>
  </w:style>
  <w:style w:type="paragraph" w:styleId="38">
    <w:name w:val="toc 1"/>
    <w:basedOn w:val="1"/>
    <w:next w:val="1"/>
    <w:qFormat/>
    <w:uiPriority w:val="39"/>
    <w:pPr>
      <w:spacing w:before="120" w:after="120"/>
      <w:jc w:val="left"/>
    </w:pPr>
    <w:rPr>
      <w:b/>
      <w:bCs/>
      <w:caps/>
      <w:sz w:val="20"/>
      <w:szCs w:val="20"/>
    </w:rPr>
  </w:style>
  <w:style w:type="paragraph" w:styleId="39">
    <w:name w:val="toc 4"/>
    <w:basedOn w:val="1"/>
    <w:next w:val="1"/>
    <w:qFormat/>
    <w:uiPriority w:val="39"/>
    <w:pPr>
      <w:ind w:left="630"/>
      <w:jc w:val="left"/>
    </w:pPr>
    <w:rPr>
      <w:sz w:val="18"/>
      <w:szCs w:val="18"/>
    </w:rPr>
  </w:style>
  <w:style w:type="paragraph" w:styleId="40">
    <w:name w:val="List Number 5"/>
    <w:basedOn w:val="1"/>
    <w:qFormat/>
    <w:uiPriority w:val="0"/>
    <w:pPr>
      <w:tabs>
        <w:tab w:val="left" w:pos="2040"/>
      </w:tabs>
      <w:ind w:left="2040" w:hanging="360"/>
    </w:pPr>
    <w:rPr>
      <w:szCs w:val="20"/>
    </w:rPr>
  </w:style>
  <w:style w:type="paragraph" w:styleId="41">
    <w:name w:val="List"/>
    <w:basedOn w:val="1"/>
    <w:qFormat/>
    <w:uiPriority w:val="0"/>
    <w:pPr>
      <w:ind w:left="200" w:hanging="200" w:hangingChars="200"/>
    </w:pPr>
  </w:style>
  <w:style w:type="paragraph" w:styleId="42">
    <w:name w:val="footnote text"/>
    <w:basedOn w:val="1"/>
    <w:link w:val="95"/>
    <w:semiHidden/>
    <w:qFormat/>
    <w:uiPriority w:val="0"/>
    <w:pPr>
      <w:snapToGrid w:val="0"/>
      <w:spacing w:line="360" w:lineRule="auto"/>
      <w:jc w:val="left"/>
    </w:pPr>
    <w:rPr>
      <w:rFonts w:eastAsia="仿宋_GB2312"/>
      <w:sz w:val="18"/>
      <w:szCs w:val="18"/>
      <w:lang w:val="zh-CN"/>
    </w:rPr>
  </w:style>
  <w:style w:type="paragraph" w:styleId="43">
    <w:name w:val="toc 6"/>
    <w:basedOn w:val="1"/>
    <w:next w:val="1"/>
    <w:qFormat/>
    <w:uiPriority w:val="39"/>
    <w:pPr>
      <w:ind w:left="1050"/>
      <w:jc w:val="left"/>
    </w:pPr>
    <w:rPr>
      <w:sz w:val="18"/>
      <w:szCs w:val="18"/>
    </w:rPr>
  </w:style>
  <w:style w:type="paragraph" w:styleId="44">
    <w:name w:val="List 5"/>
    <w:basedOn w:val="1"/>
    <w:qFormat/>
    <w:uiPriority w:val="0"/>
    <w:pPr>
      <w:ind w:left="100" w:leftChars="800" w:hanging="200" w:hangingChars="200"/>
      <w:contextualSpacing/>
    </w:pPr>
  </w:style>
  <w:style w:type="paragraph" w:styleId="45">
    <w:name w:val="Body Text Indent 3"/>
    <w:basedOn w:val="1"/>
    <w:link w:val="96"/>
    <w:qFormat/>
    <w:uiPriority w:val="0"/>
    <w:pPr>
      <w:spacing w:after="120"/>
      <w:ind w:left="420" w:leftChars="200"/>
    </w:pPr>
    <w:rPr>
      <w:sz w:val="16"/>
      <w:szCs w:val="16"/>
      <w:lang w:val="zh-CN"/>
    </w:rPr>
  </w:style>
  <w:style w:type="paragraph" w:styleId="46">
    <w:name w:val="table of figures"/>
    <w:basedOn w:val="1"/>
    <w:next w:val="1"/>
    <w:semiHidden/>
    <w:qFormat/>
    <w:uiPriority w:val="0"/>
    <w:pPr>
      <w:spacing w:line="360" w:lineRule="auto"/>
      <w:ind w:left="200" w:leftChars="200" w:hanging="200" w:hangingChars="200"/>
    </w:pPr>
    <w:rPr>
      <w:rFonts w:eastAsia="仿宋_GB2312"/>
      <w:sz w:val="24"/>
    </w:rPr>
  </w:style>
  <w:style w:type="paragraph" w:styleId="47">
    <w:name w:val="toc 2"/>
    <w:basedOn w:val="1"/>
    <w:next w:val="1"/>
    <w:qFormat/>
    <w:uiPriority w:val="39"/>
    <w:pPr>
      <w:tabs>
        <w:tab w:val="left" w:pos="840"/>
        <w:tab w:val="right" w:leader="dot" w:pos="8948"/>
      </w:tabs>
      <w:ind w:left="210"/>
      <w:jc w:val="left"/>
    </w:pPr>
    <w:rPr>
      <w:smallCaps/>
      <w:sz w:val="20"/>
      <w:szCs w:val="20"/>
    </w:rPr>
  </w:style>
  <w:style w:type="paragraph" w:styleId="48">
    <w:name w:val="toc 9"/>
    <w:basedOn w:val="1"/>
    <w:next w:val="1"/>
    <w:qFormat/>
    <w:uiPriority w:val="39"/>
    <w:pPr>
      <w:ind w:left="1680"/>
      <w:jc w:val="left"/>
    </w:pPr>
    <w:rPr>
      <w:sz w:val="18"/>
      <w:szCs w:val="18"/>
    </w:rPr>
  </w:style>
  <w:style w:type="paragraph" w:styleId="49">
    <w:name w:val="Body Text 2"/>
    <w:basedOn w:val="1"/>
    <w:link w:val="97"/>
    <w:qFormat/>
    <w:uiPriority w:val="0"/>
    <w:pPr>
      <w:spacing w:line="240" w:lineRule="exact"/>
    </w:pPr>
    <w:rPr>
      <w:b/>
      <w:color w:val="FF0000"/>
      <w:sz w:val="15"/>
      <w:lang w:val="zh-CN"/>
    </w:rPr>
  </w:style>
  <w:style w:type="paragraph" w:styleId="50">
    <w:name w:val="List 4"/>
    <w:basedOn w:val="1"/>
    <w:qFormat/>
    <w:uiPriority w:val="0"/>
    <w:pPr>
      <w:spacing w:line="360" w:lineRule="auto"/>
      <w:ind w:left="1680" w:hanging="420"/>
    </w:pPr>
    <w:rPr>
      <w:rFonts w:eastAsia="仿宋_GB2312"/>
      <w:sz w:val="24"/>
    </w:rPr>
  </w:style>
  <w:style w:type="paragraph" w:styleId="51">
    <w:name w:val="List Continue 2"/>
    <w:basedOn w:val="1"/>
    <w:qFormat/>
    <w:uiPriority w:val="0"/>
    <w:pPr>
      <w:spacing w:after="120"/>
      <w:ind w:left="840" w:leftChars="400"/>
      <w:contextualSpacing/>
    </w:pPr>
  </w:style>
  <w:style w:type="paragraph" w:styleId="52">
    <w:name w:val="HTML Preformatted"/>
    <w:basedOn w:val="1"/>
    <w:link w:val="98"/>
    <w:qFormat/>
    <w:uiPriority w:val="0"/>
    <w:rPr>
      <w:rFonts w:ascii="Courier New" w:hAnsi="Courier New"/>
      <w:sz w:val="20"/>
      <w:szCs w:val="20"/>
      <w:lang w:val="zh-CN"/>
    </w:rPr>
  </w:style>
  <w:style w:type="paragraph" w:styleId="53">
    <w:name w:val="Normal (Web)"/>
    <w:basedOn w:val="1"/>
    <w:link w:val="690"/>
    <w:qFormat/>
    <w:uiPriority w:val="99"/>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54">
    <w:name w:val="index 1"/>
    <w:basedOn w:val="1"/>
    <w:next w:val="1"/>
    <w:semiHidden/>
    <w:qFormat/>
    <w:uiPriority w:val="0"/>
    <w:rPr>
      <w:rFonts w:ascii="宋体" w:hAnsi="宋体"/>
    </w:rPr>
  </w:style>
  <w:style w:type="paragraph" w:styleId="55">
    <w:name w:val="Title"/>
    <w:basedOn w:val="1"/>
    <w:link w:val="99"/>
    <w:qFormat/>
    <w:uiPriority w:val="0"/>
    <w:pPr>
      <w:adjustRightInd w:val="0"/>
      <w:spacing w:before="240" w:after="60" w:line="360" w:lineRule="auto"/>
      <w:ind w:firstLine="200" w:firstLineChars="200"/>
      <w:jc w:val="center"/>
      <w:textAlignment w:val="baseline"/>
      <w:outlineLvl w:val="0"/>
    </w:pPr>
    <w:rPr>
      <w:rFonts w:ascii="Arial" w:hAnsi="Arial" w:eastAsia="仿宋_GB2312"/>
      <w:b/>
      <w:bCs/>
      <w:kern w:val="0"/>
      <w:sz w:val="32"/>
      <w:szCs w:val="32"/>
      <w:lang w:val="zh-CN"/>
    </w:rPr>
  </w:style>
  <w:style w:type="paragraph" w:styleId="56">
    <w:name w:val="annotation subject"/>
    <w:basedOn w:val="20"/>
    <w:next w:val="20"/>
    <w:link w:val="100"/>
    <w:semiHidden/>
    <w:qFormat/>
    <w:uiPriority w:val="99"/>
    <w:rPr>
      <w:b/>
      <w:bCs/>
    </w:rPr>
  </w:style>
  <w:style w:type="paragraph" w:styleId="57">
    <w:name w:val="Body Text First Indent 2"/>
    <w:basedOn w:val="24"/>
    <w:link w:val="702"/>
    <w:qFormat/>
    <w:uiPriority w:val="0"/>
    <w:pPr>
      <w:ind w:firstLine="420" w:firstLineChars="200"/>
    </w:pPr>
    <w:rPr>
      <w:rFonts w:asciiTheme="minorHAnsi" w:hAnsiTheme="minorHAnsi" w:eastAsiaTheme="minorEastAsia" w:cstheme="minorBidi"/>
      <w:lang w:val="en-US"/>
    </w:rPr>
  </w:style>
  <w:style w:type="table" w:styleId="59">
    <w:name w:val="Table Grid"/>
    <w:basedOn w:val="5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0">
    <w:name w:val="Table Elegant"/>
    <w:basedOn w:val="58"/>
    <w:qFormat/>
    <w:uiPriority w:val="0"/>
    <w:pPr>
      <w:widowControl w:val="0"/>
      <w:spacing w:line="360" w:lineRule="auto"/>
      <w:jc w:val="center"/>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styleId="61">
    <w:name w:val="Table Grid 7"/>
    <w:basedOn w:val="58"/>
    <w:qFormat/>
    <w:uiPriority w:val="0"/>
    <w:pPr>
      <w:widowControl w:val="0"/>
      <w:spacing w:line="360" w:lineRule="auto"/>
      <w:jc w:val="center"/>
    </w:pPr>
    <w:rPr>
      <w:bCs/>
    </w:rPr>
    <w:tblPr>
      <w:tblBorders>
        <w:top w:val="single" w:color="000000" w:sz="12" w:space="0"/>
        <w:bottom w:val="single" w:color="000000" w:sz="12" w:space="0"/>
        <w:insideH w:val="single" w:color="000000" w:sz="6" w:space="0"/>
        <w:insideV w:val="single" w:color="000000" w:sz="6" w:space="0"/>
      </w:tblBorders>
    </w:tblPr>
    <w:tcPr>
      <w:shd w:val="clear" w:color="auto" w:fill="auto"/>
      <w:vAlign w:val="center"/>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3">
    <w:name w:val="Strong"/>
    <w:qFormat/>
    <w:uiPriority w:val="22"/>
    <w:rPr>
      <w:b/>
      <w:bCs/>
    </w:rPr>
  </w:style>
  <w:style w:type="character" w:styleId="64">
    <w:name w:val="endnote reference"/>
    <w:semiHidden/>
    <w:qFormat/>
    <w:uiPriority w:val="0"/>
    <w:rPr>
      <w:vertAlign w:val="superscript"/>
    </w:rPr>
  </w:style>
  <w:style w:type="character" w:styleId="65">
    <w:name w:val="page number"/>
    <w:basedOn w:val="62"/>
    <w:qFormat/>
    <w:uiPriority w:val="0"/>
  </w:style>
  <w:style w:type="character" w:styleId="66">
    <w:name w:val="FollowedHyperlink"/>
    <w:unhideWhenUsed/>
    <w:qFormat/>
    <w:uiPriority w:val="0"/>
    <w:rPr>
      <w:color w:val="800080"/>
      <w:u w:val="single"/>
    </w:rPr>
  </w:style>
  <w:style w:type="character" w:styleId="67">
    <w:name w:val="Emphasis"/>
    <w:qFormat/>
    <w:uiPriority w:val="0"/>
    <w:rPr>
      <w:color w:val="CC0033"/>
    </w:rPr>
  </w:style>
  <w:style w:type="character" w:styleId="68">
    <w:name w:val="Hyperlink"/>
    <w:qFormat/>
    <w:uiPriority w:val="99"/>
    <w:rPr>
      <w:color w:val="0000FF"/>
      <w:u w:val="single"/>
    </w:rPr>
  </w:style>
  <w:style w:type="character" w:styleId="69">
    <w:name w:val="annotation reference"/>
    <w:basedOn w:val="62"/>
    <w:qFormat/>
    <w:uiPriority w:val="0"/>
    <w:rPr>
      <w:sz w:val="21"/>
      <w:szCs w:val="21"/>
    </w:rPr>
  </w:style>
  <w:style w:type="character" w:styleId="70">
    <w:name w:val="footnote reference"/>
    <w:semiHidden/>
    <w:qFormat/>
    <w:uiPriority w:val="0"/>
    <w:rPr>
      <w:vertAlign w:val="superscript"/>
    </w:rPr>
  </w:style>
  <w:style w:type="character" w:customStyle="1" w:styleId="71">
    <w:name w:val="页脚 字符1"/>
    <w:link w:val="36"/>
    <w:qFormat/>
    <w:uiPriority w:val="99"/>
    <w:rPr>
      <w:kern w:val="2"/>
      <w:sz w:val="18"/>
      <w:szCs w:val="18"/>
    </w:rPr>
  </w:style>
  <w:style w:type="character" w:customStyle="1" w:styleId="72">
    <w:name w:val="标题 1 字符2"/>
    <w:link w:val="2"/>
    <w:qFormat/>
    <w:uiPriority w:val="0"/>
    <w:rPr>
      <w:rFonts w:ascii="Times New Roman" w:hAnsi="Times New Roman" w:eastAsia="黑体"/>
      <w:bCs/>
      <w:kern w:val="44"/>
      <w:sz w:val="36"/>
      <w:szCs w:val="44"/>
      <w:lang w:val="zh-CN"/>
    </w:rPr>
  </w:style>
  <w:style w:type="character" w:customStyle="1" w:styleId="73">
    <w:name w:val="标题 2 字符2"/>
    <w:link w:val="3"/>
    <w:qFormat/>
    <w:uiPriority w:val="0"/>
    <w:rPr>
      <w:rFonts w:ascii="Times New Roman" w:hAnsi="Times New Roman" w:eastAsia="黑体"/>
      <w:bCs/>
      <w:kern w:val="2"/>
      <w:sz w:val="28"/>
      <w:szCs w:val="28"/>
      <w:lang w:val="zh-CN"/>
    </w:rPr>
  </w:style>
  <w:style w:type="character" w:customStyle="1" w:styleId="74">
    <w:name w:val="标题 3 字符2"/>
    <w:link w:val="4"/>
    <w:qFormat/>
    <w:uiPriority w:val="0"/>
    <w:rPr>
      <w:rFonts w:ascii="Times New Roman" w:hAnsi="Times New Roman" w:eastAsia="黑体"/>
      <w:bCs/>
      <w:kern w:val="2"/>
      <w:sz w:val="24"/>
      <w:szCs w:val="28"/>
      <w:lang w:val="zh-CN"/>
    </w:rPr>
  </w:style>
  <w:style w:type="character" w:customStyle="1" w:styleId="75">
    <w:name w:val="标题 4 字符2"/>
    <w:link w:val="5"/>
    <w:qFormat/>
    <w:uiPriority w:val="0"/>
    <w:rPr>
      <w:rFonts w:ascii="Times New Roman" w:hAnsi="Times New Roman" w:eastAsia="黑体"/>
      <w:bCs/>
      <w:sz w:val="24"/>
      <w:szCs w:val="28"/>
      <w:lang w:val="zh-CN"/>
    </w:rPr>
  </w:style>
  <w:style w:type="character" w:customStyle="1" w:styleId="76">
    <w:name w:val="标题 5 字符2"/>
    <w:link w:val="6"/>
    <w:qFormat/>
    <w:uiPriority w:val="0"/>
    <w:rPr>
      <w:rFonts w:ascii="Times New Roman" w:hAnsi="Times New Roman"/>
      <w:b/>
      <w:bCs/>
      <w:kern w:val="2"/>
      <w:sz w:val="28"/>
      <w:szCs w:val="28"/>
      <w:lang w:val="zh-CN"/>
    </w:rPr>
  </w:style>
  <w:style w:type="character" w:customStyle="1" w:styleId="77">
    <w:name w:val="标题 6 字符2"/>
    <w:link w:val="7"/>
    <w:qFormat/>
    <w:uiPriority w:val="0"/>
    <w:rPr>
      <w:rFonts w:ascii="Arial" w:hAnsi="Arial" w:eastAsia="黑体"/>
      <w:b/>
      <w:bCs/>
      <w:kern w:val="2"/>
      <w:sz w:val="24"/>
      <w:szCs w:val="24"/>
      <w:lang w:val="zh-CN"/>
    </w:rPr>
  </w:style>
  <w:style w:type="character" w:customStyle="1" w:styleId="78">
    <w:name w:val="标题 7 字符2"/>
    <w:link w:val="8"/>
    <w:qFormat/>
    <w:uiPriority w:val="0"/>
    <w:rPr>
      <w:rFonts w:ascii="Times New Roman" w:hAnsi="Times New Roman"/>
      <w:b/>
      <w:bCs/>
      <w:kern w:val="2"/>
      <w:sz w:val="24"/>
      <w:szCs w:val="24"/>
      <w:lang w:val="zh-CN"/>
    </w:rPr>
  </w:style>
  <w:style w:type="character" w:customStyle="1" w:styleId="79">
    <w:name w:val="标题 8 字符2"/>
    <w:link w:val="9"/>
    <w:qFormat/>
    <w:uiPriority w:val="0"/>
    <w:rPr>
      <w:rFonts w:ascii="Arial" w:hAnsi="Arial" w:eastAsia="黑体"/>
      <w:kern w:val="2"/>
      <w:sz w:val="24"/>
      <w:szCs w:val="24"/>
      <w:lang w:val="zh-CN"/>
    </w:rPr>
  </w:style>
  <w:style w:type="character" w:customStyle="1" w:styleId="80">
    <w:name w:val="标题 9 字符2"/>
    <w:link w:val="10"/>
    <w:qFormat/>
    <w:uiPriority w:val="0"/>
    <w:rPr>
      <w:rFonts w:ascii="Arial" w:hAnsi="Arial" w:eastAsia="黑体"/>
      <w:kern w:val="2"/>
      <w:sz w:val="21"/>
      <w:szCs w:val="21"/>
      <w:lang w:val="zh-CN"/>
    </w:rPr>
  </w:style>
  <w:style w:type="character" w:customStyle="1" w:styleId="81">
    <w:name w:val="注释标题 字符2"/>
    <w:link w:val="13"/>
    <w:qFormat/>
    <w:uiPriority w:val="0"/>
    <w:rPr>
      <w:kern w:val="2"/>
      <w:sz w:val="21"/>
    </w:rPr>
  </w:style>
  <w:style w:type="character" w:customStyle="1" w:styleId="82">
    <w:name w:val="正文缩进 字符1"/>
    <w:link w:val="15"/>
    <w:qFormat/>
    <w:uiPriority w:val="0"/>
    <w:rPr>
      <w:kern w:val="2"/>
      <w:sz w:val="28"/>
    </w:rPr>
  </w:style>
  <w:style w:type="character" w:customStyle="1" w:styleId="83">
    <w:name w:val="题注 字符1"/>
    <w:link w:val="16"/>
    <w:qFormat/>
    <w:uiPriority w:val="0"/>
    <w:rPr>
      <w:rFonts w:ascii="Arial" w:hAnsi="Arial" w:eastAsia="黑体" w:cs="Arial"/>
    </w:rPr>
  </w:style>
  <w:style w:type="character" w:customStyle="1" w:styleId="84">
    <w:name w:val="文档结构图 字符2"/>
    <w:link w:val="18"/>
    <w:qFormat/>
    <w:uiPriority w:val="99"/>
    <w:rPr>
      <w:rFonts w:ascii="宋体"/>
      <w:kern w:val="2"/>
      <w:sz w:val="18"/>
      <w:szCs w:val="18"/>
    </w:rPr>
  </w:style>
  <w:style w:type="character" w:customStyle="1" w:styleId="85">
    <w:name w:val="批注文字 字符2"/>
    <w:link w:val="20"/>
    <w:qFormat/>
    <w:uiPriority w:val="99"/>
    <w:rPr>
      <w:rFonts w:eastAsia="仿宋_GB2312"/>
      <w:kern w:val="2"/>
      <w:sz w:val="24"/>
      <w:szCs w:val="24"/>
    </w:rPr>
  </w:style>
  <w:style w:type="character" w:customStyle="1" w:styleId="86">
    <w:name w:val="正文文本 3 字符2"/>
    <w:link w:val="21"/>
    <w:qFormat/>
    <w:uiPriority w:val="0"/>
    <w:rPr>
      <w:kern w:val="2"/>
      <w:sz w:val="16"/>
      <w:szCs w:val="16"/>
    </w:rPr>
  </w:style>
  <w:style w:type="character" w:customStyle="1" w:styleId="87">
    <w:name w:val="正文文本 字符2"/>
    <w:link w:val="23"/>
    <w:qFormat/>
    <w:uiPriority w:val="0"/>
    <w:rPr>
      <w:kern w:val="2"/>
      <w:sz w:val="24"/>
    </w:rPr>
  </w:style>
  <w:style w:type="character" w:customStyle="1" w:styleId="88">
    <w:name w:val="正文文本缩进 字符2"/>
    <w:link w:val="24"/>
    <w:qFormat/>
    <w:uiPriority w:val="0"/>
    <w:rPr>
      <w:kern w:val="2"/>
      <w:sz w:val="21"/>
      <w:szCs w:val="24"/>
    </w:rPr>
  </w:style>
  <w:style w:type="character" w:customStyle="1" w:styleId="89">
    <w:name w:val="纯文本 字符2"/>
    <w:link w:val="28"/>
    <w:qFormat/>
    <w:uiPriority w:val="0"/>
    <w:rPr>
      <w:rFonts w:ascii="宋体" w:hAnsi="Courier New"/>
      <w:kern w:val="2"/>
      <w:sz w:val="21"/>
      <w:szCs w:val="24"/>
    </w:rPr>
  </w:style>
  <w:style w:type="character" w:customStyle="1" w:styleId="90">
    <w:name w:val="日期 字符2"/>
    <w:link w:val="32"/>
    <w:qFormat/>
    <w:uiPriority w:val="0"/>
    <w:rPr>
      <w:kern w:val="2"/>
      <w:sz w:val="28"/>
    </w:rPr>
  </w:style>
  <w:style w:type="character" w:customStyle="1" w:styleId="91">
    <w:name w:val="正文文本缩进 2 字符2"/>
    <w:link w:val="33"/>
    <w:qFormat/>
    <w:uiPriority w:val="0"/>
    <w:rPr>
      <w:rFonts w:ascii="宋体" w:hAnsi="宋体"/>
      <w:kern w:val="2"/>
      <w:sz w:val="24"/>
      <w:szCs w:val="24"/>
    </w:rPr>
  </w:style>
  <w:style w:type="character" w:customStyle="1" w:styleId="92">
    <w:name w:val="尾注文本 字符2"/>
    <w:link w:val="34"/>
    <w:qFormat/>
    <w:uiPriority w:val="99"/>
    <w:rPr>
      <w:kern w:val="2"/>
      <w:sz w:val="21"/>
      <w:szCs w:val="24"/>
    </w:rPr>
  </w:style>
  <w:style w:type="character" w:customStyle="1" w:styleId="93">
    <w:name w:val="批注框文本 字符2"/>
    <w:link w:val="35"/>
    <w:qFormat/>
    <w:uiPriority w:val="99"/>
    <w:rPr>
      <w:kern w:val="2"/>
      <w:sz w:val="18"/>
      <w:szCs w:val="18"/>
    </w:rPr>
  </w:style>
  <w:style w:type="character" w:customStyle="1" w:styleId="94">
    <w:name w:val="页眉 字符1"/>
    <w:link w:val="37"/>
    <w:qFormat/>
    <w:uiPriority w:val="99"/>
    <w:rPr>
      <w:kern w:val="2"/>
      <w:sz w:val="18"/>
      <w:szCs w:val="18"/>
    </w:rPr>
  </w:style>
  <w:style w:type="character" w:customStyle="1" w:styleId="95">
    <w:name w:val="脚注文本 字符2"/>
    <w:link w:val="42"/>
    <w:semiHidden/>
    <w:qFormat/>
    <w:uiPriority w:val="0"/>
    <w:rPr>
      <w:rFonts w:eastAsia="仿宋_GB2312"/>
      <w:kern w:val="2"/>
      <w:sz w:val="18"/>
      <w:szCs w:val="18"/>
    </w:rPr>
  </w:style>
  <w:style w:type="character" w:customStyle="1" w:styleId="96">
    <w:name w:val="正文文本缩进 3 字符2"/>
    <w:link w:val="45"/>
    <w:qFormat/>
    <w:uiPriority w:val="0"/>
    <w:rPr>
      <w:kern w:val="2"/>
      <w:sz w:val="16"/>
      <w:szCs w:val="16"/>
    </w:rPr>
  </w:style>
  <w:style w:type="character" w:customStyle="1" w:styleId="97">
    <w:name w:val="正文文本 2 字符2"/>
    <w:link w:val="49"/>
    <w:qFormat/>
    <w:uiPriority w:val="0"/>
    <w:rPr>
      <w:b/>
      <w:color w:val="FF0000"/>
      <w:kern w:val="2"/>
      <w:sz w:val="15"/>
      <w:szCs w:val="24"/>
    </w:rPr>
  </w:style>
  <w:style w:type="character" w:customStyle="1" w:styleId="98">
    <w:name w:val="HTML 预设格式 字符2"/>
    <w:link w:val="52"/>
    <w:qFormat/>
    <w:uiPriority w:val="0"/>
    <w:rPr>
      <w:rFonts w:ascii="Courier New" w:hAnsi="Courier New"/>
      <w:kern w:val="2"/>
    </w:rPr>
  </w:style>
  <w:style w:type="character" w:customStyle="1" w:styleId="99">
    <w:name w:val="标题 字符2"/>
    <w:link w:val="55"/>
    <w:qFormat/>
    <w:uiPriority w:val="0"/>
    <w:rPr>
      <w:rFonts w:ascii="Arial" w:hAnsi="Arial" w:eastAsia="仿宋_GB2312" w:cs="Arial"/>
      <w:b/>
      <w:bCs/>
      <w:sz w:val="32"/>
      <w:szCs w:val="32"/>
    </w:rPr>
  </w:style>
  <w:style w:type="character" w:customStyle="1" w:styleId="100">
    <w:name w:val="批注主题 字符2"/>
    <w:link w:val="56"/>
    <w:semiHidden/>
    <w:qFormat/>
    <w:uiPriority w:val="99"/>
    <w:rPr>
      <w:rFonts w:eastAsia="仿宋_GB2312"/>
      <w:b/>
      <w:bCs/>
      <w:kern w:val="2"/>
      <w:sz w:val="24"/>
      <w:szCs w:val="24"/>
    </w:rPr>
  </w:style>
  <w:style w:type="paragraph" w:customStyle="1" w:styleId="101">
    <w:name w:val="环评正文"/>
    <w:basedOn w:val="32"/>
    <w:link w:val="102"/>
    <w:qFormat/>
    <w:uiPriority w:val="0"/>
    <w:pPr>
      <w:spacing w:line="500" w:lineRule="exact"/>
      <w:ind w:firstLine="560" w:firstLineChars="200"/>
    </w:pPr>
    <w:rPr>
      <w:rFonts w:ascii="仿宋_GB2312" w:eastAsia="仿宋_GB2312"/>
    </w:rPr>
  </w:style>
  <w:style w:type="character" w:customStyle="1" w:styleId="102">
    <w:name w:val="环评正文 Char"/>
    <w:link w:val="101"/>
    <w:qFormat/>
    <w:uiPriority w:val="0"/>
    <w:rPr>
      <w:rFonts w:ascii="仿宋_GB2312" w:eastAsia="仿宋_GB2312"/>
      <w:kern w:val="2"/>
      <w:sz w:val="28"/>
      <w:lang w:val="zh-CN" w:eastAsia="zh-CN"/>
    </w:rPr>
  </w:style>
  <w:style w:type="character" w:customStyle="1" w:styleId="103">
    <w:name w:val="fontstyle01"/>
    <w:qFormat/>
    <w:uiPriority w:val="0"/>
    <w:rPr>
      <w:rFonts w:hint="eastAsia" w:ascii="宋体" w:hAnsi="宋体" w:eastAsia="宋体"/>
      <w:color w:val="000000"/>
      <w:sz w:val="24"/>
      <w:szCs w:val="24"/>
    </w:rPr>
  </w:style>
  <w:style w:type="character" w:customStyle="1" w:styleId="104">
    <w:name w:val="样式 亚行正文 + 自动设置 Char"/>
    <w:link w:val="105"/>
    <w:qFormat/>
    <w:uiPriority w:val="0"/>
    <w:rPr>
      <w:snapToGrid w:val="0"/>
      <w:spacing w:val="-2"/>
      <w:sz w:val="24"/>
      <w:szCs w:val="24"/>
    </w:rPr>
  </w:style>
  <w:style w:type="paragraph" w:customStyle="1" w:styleId="105">
    <w:name w:val="样式 亚行正文 + 自动设置"/>
    <w:basedOn w:val="1"/>
    <w:link w:val="104"/>
    <w:qFormat/>
    <w:uiPriority w:val="0"/>
    <w:pPr>
      <w:spacing w:line="360" w:lineRule="auto"/>
      <w:ind w:firstLine="200" w:firstLineChars="200"/>
    </w:pPr>
    <w:rPr>
      <w:snapToGrid w:val="0"/>
      <w:spacing w:val="-2"/>
      <w:kern w:val="0"/>
      <w:sz w:val="24"/>
      <w:lang w:val="zh-CN"/>
    </w:rPr>
  </w:style>
  <w:style w:type="character" w:customStyle="1" w:styleId="106">
    <w:name w:val="fontstyle11"/>
    <w:qFormat/>
    <w:uiPriority w:val="0"/>
    <w:rPr>
      <w:rFonts w:hint="default" w:ascii="Times New Roman" w:hAnsi="Times New Roman" w:cs="Times New Roman"/>
      <w:color w:val="000000"/>
      <w:sz w:val="24"/>
      <w:szCs w:val="24"/>
    </w:rPr>
  </w:style>
  <w:style w:type="character" w:customStyle="1" w:styleId="107">
    <w:name w:val="lff段落 Char"/>
    <w:link w:val="108"/>
    <w:qFormat/>
    <w:uiPriority w:val="0"/>
    <w:rPr>
      <w:rFonts w:eastAsia="仿宋_GB2312"/>
      <w:kern w:val="2"/>
      <w:sz w:val="24"/>
    </w:rPr>
  </w:style>
  <w:style w:type="paragraph" w:customStyle="1" w:styleId="108">
    <w:name w:val="lff段落"/>
    <w:basedOn w:val="1"/>
    <w:link w:val="107"/>
    <w:qFormat/>
    <w:uiPriority w:val="0"/>
    <w:pPr>
      <w:spacing w:line="360" w:lineRule="auto"/>
      <w:ind w:firstLine="480" w:firstLineChars="200"/>
    </w:pPr>
    <w:rPr>
      <w:rFonts w:eastAsia="仿宋_GB2312"/>
      <w:sz w:val="24"/>
      <w:szCs w:val="20"/>
      <w:lang w:val="zh-CN"/>
    </w:rPr>
  </w:style>
  <w:style w:type="character" w:customStyle="1" w:styleId="109">
    <w:name w:val="孙普文字 Char Char"/>
    <w:qFormat/>
    <w:uiPriority w:val="0"/>
    <w:rPr>
      <w:rFonts w:ascii="宋体" w:hAnsi="Courier New" w:eastAsia="仿宋_GB2312"/>
      <w:kern w:val="2"/>
      <w:sz w:val="24"/>
      <w:lang w:val="en-US" w:eastAsia="zh-CN" w:bidi="ar-SA"/>
    </w:rPr>
  </w:style>
  <w:style w:type="character" w:customStyle="1" w:styleId="110">
    <w:name w:val="style71"/>
    <w:qFormat/>
    <w:uiPriority w:val="0"/>
    <w:rPr>
      <w:b/>
      <w:bCs/>
      <w:color w:val="000000"/>
      <w:sz w:val="24"/>
      <w:szCs w:val="24"/>
    </w:rPr>
  </w:style>
  <w:style w:type="character" w:customStyle="1" w:styleId="111">
    <w:name w:val="new-text"/>
    <w:basedOn w:val="62"/>
    <w:qFormat/>
    <w:uiPriority w:val="0"/>
  </w:style>
  <w:style w:type="character" w:customStyle="1" w:styleId="112">
    <w:name w:val="正文文本首行缩进 2 字符2"/>
    <w:link w:val="113"/>
    <w:qFormat/>
    <w:uiPriority w:val="0"/>
    <w:rPr>
      <w:rFonts w:ascii="宋体"/>
      <w:kern w:val="2"/>
      <w:sz w:val="28"/>
      <w:szCs w:val="24"/>
    </w:rPr>
  </w:style>
  <w:style w:type="paragraph" w:customStyle="1" w:styleId="113">
    <w:name w:val="正文文本首行缩进 21"/>
    <w:basedOn w:val="24"/>
    <w:link w:val="112"/>
    <w:qFormat/>
    <w:uiPriority w:val="0"/>
    <w:pPr>
      <w:tabs>
        <w:tab w:val="left" w:pos="1085"/>
      </w:tabs>
      <w:spacing w:after="0" w:line="240" w:lineRule="atLeast"/>
      <w:ind w:left="100" w:leftChars="0" w:right="40" w:firstLine="400"/>
    </w:pPr>
    <w:rPr>
      <w:rFonts w:ascii="宋体"/>
      <w:sz w:val="28"/>
    </w:rPr>
  </w:style>
  <w:style w:type="character" w:customStyle="1" w:styleId="114">
    <w:name w:val="newsbody"/>
    <w:basedOn w:val="62"/>
    <w:qFormat/>
    <w:uiPriority w:val="0"/>
  </w:style>
  <w:style w:type="character" w:customStyle="1" w:styleId="115">
    <w:name w:val="hangju1"/>
    <w:qFormat/>
    <w:uiPriority w:val="0"/>
  </w:style>
  <w:style w:type="character" w:customStyle="1" w:styleId="116">
    <w:name w:val="样式 样式 表格 + (中文) 黑体 + (中文) 黑体 Char"/>
    <w:qFormat/>
    <w:uiPriority w:val="0"/>
    <w:rPr>
      <w:rFonts w:ascii="宋体" w:hAnsi="宋体" w:eastAsia="黑体"/>
      <w:color w:val="000000"/>
      <w:spacing w:val="-8"/>
      <w:kern w:val="2"/>
      <w:sz w:val="24"/>
      <w:szCs w:val="24"/>
      <w:lang w:val="en-US" w:eastAsia="zh-CN" w:bidi="ar-SA"/>
    </w:rPr>
  </w:style>
  <w:style w:type="character" w:customStyle="1" w:styleId="117">
    <w:name w:val="表格文字 Char"/>
    <w:link w:val="118"/>
    <w:qFormat/>
    <w:uiPriority w:val="0"/>
    <w:rPr>
      <w:rFonts w:hAnsi="宋体"/>
      <w:color w:val="0070C0"/>
      <w:sz w:val="21"/>
      <w:szCs w:val="21"/>
      <w:lang w:val="en-US" w:eastAsia="zh-CN" w:bidi="ar-SA"/>
    </w:rPr>
  </w:style>
  <w:style w:type="paragraph" w:customStyle="1" w:styleId="118">
    <w:name w:val="表格文字"/>
    <w:next w:val="1"/>
    <w:link w:val="117"/>
    <w:qFormat/>
    <w:uiPriority w:val="0"/>
    <w:pPr>
      <w:widowControl w:val="0"/>
      <w:autoSpaceDE w:val="0"/>
      <w:autoSpaceDN w:val="0"/>
      <w:adjustRightInd w:val="0"/>
      <w:jc w:val="center"/>
    </w:pPr>
    <w:rPr>
      <w:rFonts w:ascii="Times New Roman" w:hAnsi="宋体" w:eastAsia="宋体" w:cs="Times New Roman"/>
      <w:color w:val="0070C0"/>
      <w:sz w:val="21"/>
      <w:szCs w:val="21"/>
      <w:lang w:val="en-US" w:eastAsia="zh-CN" w:bidi="ar-SA"/>
    </w:rPr>
  </w:style>
  <w:style w:type="character" w:customStyle="1" w:styleId="119">
    <w:name w:val="style131"/>
    <w:qFormat/>
    <w:uiPriority w:val="0"/>
    <w:rPr>
      <w:sz w:val="18"/>
      <w:szCs w:val="18"/>
    </w:rPr>
  </w:style>
  <w:style w:type="character" w:customStyle="1" w:styleId="120">
    <w:name w:val="书籍标题1"/>
    <w:qFormat/>
    <w:uiPriority w:val="33"/>
    <w:rPr>
      <w:rFonts w:ascii="Times New Roman" w:hAnsi="Times New Roman" w:eastAsia="黑体"/>
      <w:bCs/>
      <w:spacing w:val="5"/>
      <w:sz w:val="21"/>
    </w:rPr>
  </w:style>
  <w:style w:type="character" w:customStyle="1" w:styleId="121">
    <w:name w:val="表格标题 Char3"/>
    <w:qFormat/>
    <w:uiPriority w:val="0"/>
    <w:rPr>
      <w:rFonts w:eastAsia="仿宋_GB2312"/>
      <w:kern w:val="2"/>
      <w:sz w:val="24"/>
      <w:szCs w:val="24"/>
      <w:lang w:val="en-US" w:eastAsia="zh-CN" w:bidi="ar-SA"/>
    </w:rPr>
  </w:style>
  <w:style w:type="character" w:customStyle="1" w:styleId="122">
    <w:name w:val="【表中文字】 Char"/>
    <w:link w:val="123"/>
    <w:qFormat/>
    <w:uiPriority w:val="0"/>
    <w:rPr>
      <w:kern w:val="2"/>
      <w:sz w:val="21"/>
    </w:rPr>
  </w:style>
  <w:style w:type="paragraph" w:customStyle="1" w:styleId="123">
    <w:name w:val="【表中文字】"/>
    <w:basedOn w:val="1"/>
    <w:link w:val="122"/>
    <w:qFormat/>
    <w:uiPriority w:val="0"/>
    <w:pPr>
      <w:jc w:val="center"/>
    </w:pPr>
    <w:rPr>
      <w:szCs w:val="20"/>
      <w:lang w:val="zh-CN"/>
    </w:rPr>
  </w:style>
  <w:style w:type="character" w:customStyle="1" w:styleId="124">
    <w:name w:val="greencolor1"/>
    <w:qFormat/>
    <w:uiPriority w:val="0"/>
    <w:rPr>
      <w:color w:val="008000"/>
      <w:sz w:val="24"/>
      <w:szCs w:val="24"/>
    </w:rPr>
  </w:style>
  <w:style w:type="character" w:customStyle="1" w:styleId="125">
    <w:name w:val="lff表头 Char"/>
    <w:link w:val="126"/>
    <w:qFormat/>
    <w:uiPriority w:val="0"/>
    <w:rPr>
      <w:rFonts w:eastAsia="仿宋_GB2312"/>
      <w:kern w:val="2"/>
      <w:sz w:val="24"/>
    </w:rPr>
  </w:style>
  <w:style w:type="paragraph" w:customStyle="1" w:styleId="126">
    <w:name w:val="lff表头"/>
    <w:basedOn w:val="108"/>
    <w:link w:val="125"/>
    <w:qFormat/>
    <w:uiPriority w:val="0"/>
    <w:pPr>
      <w:jc w:val="center"/>
    </w:pPr>
  </w:style>
  <w:style w:type="character" w:customStyle="1" w:styleId="127">
    <w:name w:val="孙普文字 Char2"/>
    <w:qFormat/>
    <w:uiPriority w:val="0"/>
    <w:rPr>
      <w:rFonts w:ascii="宋体" w:hAnsi="Courier New" w:eastAsia="仿宋_GB2312"/>
      <w:kern w:val="2"/>
      <w:sz w:val="24"/>
      <w:lang w:val="en-US" w:eastAsia="zh-CN" w:bidi="ar-SA"/>
    </w:rPr>
  </w:style>
  <w:style w:type="character" w:customStyle="1" w:styleId="128">
    <w:name w:val="标题 3 Char1"/>
    <w:qFormat/>
    <w:uiPriority w:val="0"/>
    <w:rPr>
      <w:rFonts w:eastAsia="宋体"/>
      <w:b/>
      <w:bCs/>
      <w:kern w:val="2"/>
      <w:sz w:val="32"/>
      <w:szCs w:val="32"/>
      <w:lang w:val="en-US" w:eastAsia="zh-CN" w:bidi="ar-SA"/>
    </w:rPr>
  </w:style>
  <w:style w:type="character" w:customStyle="1" w:styleId="129">
    <w:name w:val="表格标题 Char2"/>
    <w:qFormat/>
    <w:uiPriority w:val="0"/>
    <w:rPr>
      <w:rFonts w:eastAsia="仿宋_GB2312"/>
      <w:kern w:val="2"/>
      <w:sz w:val="24"/>
      <w:szCs w:val="24"/>
      <w:lang w:val="en-US" w:eastAsia="zh-CN" w:bidi="ar-SA"/>
    </w:rPr>
  </w:style>
  <w:style w:type="character" w:customStyle="1" w:styleId="130">
    <w:name w:val="样式 正文文本缩进 + 黑色 Char"/>
    <w:link w:val="131"/>
    <w:qFormat/>
    <w:uiPriority w:val="0"/>
    <w:rPr>
      <w:color w:val="000000"/>
      <w:kern w:val="2"/>
      <w:sz w:val="24"/>
      <w:szCs w:val="24"/>
    </w:rPr>
  </w:style>
  <w:style w:type="paragraph" w:customStyle="1" w:styleId="131">
    <w:name w:val="样式 正文文本缩进 + 黑色"/>
    <w:basedOn w:val="24"/>
    <w:link w:val="130"/>
    <w:qFormat/>
    <w:uiPriority w:val="0"/>
    <w:pPr>
      <w:spacing w:after="0" w:line="360" w:lineRule="auto"/>
      <w:ind w:left="0" w:leftChars="0" w:firstLine="200" w:firstLineChars="200"/>
    </w:pPr>
    <w:rPr>
      <w:color w:val="000000"/>
      <w:sz w:val="24"/>
    </w:rPr>
  </w:style>
  <w:style w:type="character" w:customStyle="1" w:styleId="132">
    <w:name w:val="样式1 Char"/>
    <w:link w:val="133"/>
    <w:qFormat/>
    <w:uiPriority w:val="0"/>
    <w:rPr>
      <w:b/>
      <w:kern w:val="2"/>
      <w:sz w:val="21"/>
      <w:szCs w:val="21"/>
    </w:rPr>
  </w:style>
  <w:style w:type="paragraph" w:customStyle="1" w:styleId="133">
    <w:name w:val="样式1"/>
    <w:basedOn w:val="1"/>
    <w:link w:val="132"/>
    <w:qFormat/>
    <w:uiPriority w:val="0"/>
    <w:pPr>
      <w:spacing w:before="20" w:after="20"/>
    </w:pPr>
    <w:rPr>
      <w:b/>
      <w:szCs w:val="21"/>
      <w:lang w:val="zh-CN"/>
    </w:rPr>
  </w:style>
  <w:style w:type="character" w:customStyle="1" w:styleId="134">
    <w:name w:val="_Equation Caption"/>
    <w:qFormat/>
    <w:uiPriority w:val="0"/>
  </w:style>
  <w:style w:type="character" w:customStyle="1" w:styleId="135">
    <w:name w:val="c1"/>
    <w:qFormat/>
    <w:uiPriority w:val="0"/>
    <w:rPr>
      <w:rFonts w:hint="eastAsia" w:ascii="宋体" w:hAnsi="宋体" w:eastAsia="宋体"/>
      <w:sz w:val="18"/>
      <w:szCs w:val="18"/>
    </w:rPr>
  </w:style>
  <w:style w:type="character" w:customStyle="1" w:styleId="136">
    <w:name w:val="节标题 1.1 Char1"/>
    <w:qFormat/>
    <w:uiPriority w:val="0"/>
    <w:rPr>
      <w:rFonts w:ascii="仿宋_GB2312" w:hAnsi="Arial" w:eastAsia="仿宋_GB2312"/>
      <w:b/>
      <w:bCs/>
      <w:kern w:val="2"/>
      <w:sz w:val="28"/>
      <w:szCs w:val="32"/>
      <w:lang w:val="en-US" w:eastAsia="zh-CN" w:bidi="ar-SA"/>
    </w:rPr>
  </w:style>
  <w:style w:type="character" w:customStyle="1" w:styleId="137">
    <w:name w:val="标题3"/>
    <w:basedOn w:val="62"/>
    <w:qFormat/>
    <w:uiPriority w:val="0"/>
  </w:style>
  <w:style w:type="character" w:customStyle="1" w:styleId="138">
    <w:name w:val="表格 Char"/>
    <w:qFormat/>
    <w:uiPriority w:val="0"/>
    <w:rPr>
      <w:rFonts w:ascii="宋体" w:hAnsi="宋体"/>
      <w:color w:val="000000"/>
      <w:spacing w:val="-8"/>
      <w:kern w:val="2"/>
      <w:sz w:val="24"/>
      <w:szCs w:val="24"/>
      <w:lang w:val="en-US" w:eastAsia="zh-CN" w:bidi="ar-SA"/>
    </w:rPr>
  </w:style>
  <w:style w:type="character" w:customStyle="1" w:styleId="139">
    <w:name w:val="FL正文 Char"/>
    <w:link w:val="140"/>
    <w:qFormat/>
    <w:locked/>
    <w:uiPriority w:val="0"/>
    <w:rPr>
      <w:sz w:val="24"/>
    </w:rPr>
  </w:style>
  <w:style w:type="paragraph" w:customStyle="1" w:styleId="140">
    <w:name w:val="FL正文"/>
    <w:basedOn w:val="1"/>
    <w:link w:val="139"/>
    <w:qFormat/>
    <w:uiPriority w:val="0"/>
    <w:pPr>
      <w:spacing w:line="360" w:lineRule="auto"/>
      <w:ind w:firstLine="200" w:firstLineChars="200"/>
    </w:pPr>
    <w:rPr>
      <w:kern w:val="0"/>
      <w:sz w:val="24"/>
      <w:szCs w:val="20"/>
      <w:lang w:val="zh-CN"/>
    </w:rPr>
  </w:style>
  <w:style w:type="character" w:customStyle="1" w:styleId="141">
    <w:name w:val="正文(首行缩进) Char"/>
    <w:link w:val="142"/>
    <w:qFormat/>
    <w:uiPriority w:val="0"/>
    <w:rPr>
      <w:rFonts w:ascii="宋体" w:hAnsi="宋体"/>
      <w:snapToGrid w:val="0"/>
      <w:sz w:val="24"/>
      <w:szCs w:val="24"/>
    </w:rPr>
  </w:style>
  <w:style w:type="paragraph" w:customStyle="1" w:styleId="142">
    <w:name w:val="正文(首行缩进)"/>
    <w:basedOn w:val="1"/>
    <w:link w:val="141"/>
    <w:qFormat/>
    <w:uiPriority w:val="0"/>
    <w:pPr>
      <w:spacing w:line="360" w:lineRule="auto"/>
      <w:ind w:firstLine="510"/>
    </w:pPr>
    <w:rPr>
      <w:rFonts w:ascii="宋体" w:hAnsi="宋体"/>
      <w:snapToGrid w:val="0"/>
      <w:kern w:val="0"/>
      <w:sz w:val="24"/>
      <w:lang w:val="zh-CN"/>
    </w:rPr>
  </w:style>
  <w:style w:type="character" w:customStyle="1" w:styleId="143">
    <w:name w:val="君邦正文 Char"/>
    <w:link w:val="144"/>
    <w:qFormat/>
    <w:uiPriority w:val="0"/>
    <w:rPr>
      <w:sz w:val="24"/>
      <w:lang w:val="en-US" w:eastAsia="zh-CN" w:bidi="ar-SA"/>
    </w:rPr>
  </w:style>
  <w:style w:type="paragraph" w:customStyle="1" w:styleId="144">
    <w:name w:val="君邦正文"/>
    <w:link w:val="143"/>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character" w:customStyle="1" w:styleId="145">
    <w:name w:val="Char1 Char1"/>
    <w:link w:val="146"/>
    <w:qFormat/>
    <w:uiPriority w:val="0"/>
    <w:rPr>
      <w:kern w:val="2"/>
      <w:sz w:val="24"/>
      <w:szCs w:val="24"/>
    </w:rPr>
  </w:style>
  <w:style w:type="paragraph" w:customStyle="1" w:styleId="146">
    <w:name w:val="Char11"/>
    <w:basedOn w:val="1"/>
    <w:link w:val="145"/>
    <w:qFormat/>
    <w:uiPriority w:val="0"/>
    <w:rPr>
      <w:sz w:val="24"/>
      <w:lang w:val="zh-CN"/>
    </w:rPr>
  </w:style>
  <w:style w:type="character" w:customStyle="1" w:styleId="147">
    <w:name w:val="表格标题 Char1"/>
    <w:qFormat/>
    <w:uiPriority w:val="0"/>
    <w:rPr>
      <w:rFonts w:eastAsia="仿宋_GB2312"/>
      <w:kern w:val="2"/>
      <w:sz w:val="24"/>
      <w:szCs w:val="24"/>
      <w:lang w:val="en-US" w:eastAsia="zh-CN" w:bidi="ar-SA"/>
    </w:rPr>
  </w:style>
  <w:style w:type="character" w:customStyle="1" w:styleId="148">
    <w:name w:val="f4"/>
    <w:basedOn w:val="62"/>
    <w:qFormat/>
    <w:uiPriority w:val="0"/>
  </w:style>
  <w:style w:type="character" w:customStyle="1" w:styleId="149">
    <w:name w:val="正文文本首行缩进 字符2"/>
    <w:link w:val="150"/>
    <w:qFormat/>
    <w:uiPriority w:val="0"/>
    <w:rPr>
      <w:rFonts w:ascii="宋体" w:hAnsi="宋体"/>
      <w:kern w:val="2"/>
      <w:sz w:val="24"/>
    </w:rPr>
  </w:style>
  <w:style w:type="paragraph" w:customStyle="1" w:styleId="150">
    <w:name w:val="正文文本首行缩进1"/>
    <w:basedOn w:val="1"/>
    <w:link w:val="149"/>
    <w:qFormat/>
    <w:uiPriority w:val="0"/>
    <w:pPr>
      <w:overflowPunct w:val="0"/>
      <w:autoSpaceDE w:val="0"/>
      <w:autoSpaceDN w:val="0"/>
      <w:adjustRightInd w:val="0"/>
      <w:spacing w:line="460" w:lineRule="exact"/>
      <w:ind w:firstLine="567"/>
      <w:textAlignment w:val="baseline"/>
    </w:pPr>
    <w:rPr>
      <w:rFonts w:ascii="宋体" w:hAnsi="宋体"/>
      <w:sz w:val="24"/>
      <w:szCs w:val="20"/>
      <w:lang w:val="zh-CN"/>
    </w:rPr>
  </w:style>
  <w:style w:type="character" w:customStyle="1" w:styleId="151">
    <w:name w:val="图文框 Char"/>
    <w:link w:val="152"/>
    <w:qFormat/>
    <w:uiPriority w:val="0"/>
    <w:rPr>
      <w:rFonts w:ascii="宋体"/>
      <w:color w:val="000000"/>
      <w:kern w:val="28"/>
      <w:sz w:val="21"/>
      <w:lang w:val="en-US" w:eastAsia="zh-CN"/>
    </w:rPr>
  </w:style>
  <w:style w:type="paragraph" w:customStyle="1" w:styleId="152">
    <w:name w:val="图文框"/>
    <w:basedOn w:val="1"/>
    <w:link w:val="151"/>
    <w:qFormat/>
    <w:uiPriority w:val="0"/>
    <w:pPr>
      <w:autoSpaceDE w:val="0"/>
      <w:autoSpaceDN w:val="0"/>
      <w:adjustRightInd w:val="0"/>
      <w:snapToGrid w:val="0"/>
      <w:jc w:val="center"/>
    </w:pPr>
    <w:rPr>
      <w:rFonts w:ascii="宋体"/>
      <w:color w:val="000000"/>
      <w:kern w:val="28"/>
      <w:szCs w:val="20"/>
    </w:rPr>
  </w:style>
  <w:style w:type="character" w:customStyle="1" w:styleId="153">
    <w:name w:val="p9l1"/>
    <w:qFormat/>
    <w:uiPriority w:val="0"/>
    <w:rPr>
      <w:sz w:val="18"/>
      <w:szCs w:val="18"/>
      <w:u w:val="none"/>
    </w:rPr>
  </w:style>
  <w:style w:type="character" w:customStyle="1" w:styleId="154">
    <w:name w:val="样式 标题 3 + 华文中宋 小三 段前: 6 磅 段后: 6 磅 行距: 多倍行距 1.4 字行 Char1"/>
    <w:qFormat/>
    <w:uiPriority w:val="0"/>
    <w:rPr>
      <w:rFonts w:ascii="华文中宋" w:hAnsi="华文中宋" w:eastAsia="华文中宋"/>
      <w:b/>
      <w:bCs/>
      <w:color w:val="000000"/>
      <w:kern w:val="2"/>
      <w:sz w:val="30"/>
      <w:szCs w:val="30"/>
      <w:lang w:val="en-US" w:eastAsia="zh-CN" w:bidi="ar-SA"/>
    </w:rPr>
  </w:style>
  <w:style w:type="character" w:customStyle="1" w:styleId="155">
    <w:name w:val="已访问的超链接1"/>
    <w:qFormat/>
    <w:uiPriority w:val="0"/>
    <w:rPr>
      <w:color w:val="800080"/>
      <w:u w:val="single"/>
    </w:rPr>
  </w:style>
  <w:style w:type="character" w:customStyle="1" w:styleId="156">
    <w:name w:val="Char Char2"/>
    <w:qFormat/>
    <w:uiPriority w:val="0"/>
    <w:rPr>
      <w:rFonts w:eastAsia="仿宋_GB2312"/>
      <w:kern w:val="2"/>
      <w:sz w:val="18"/>
      <w:szCs w:val="18"/>
      <w:lang w:val="en-US" w:eastAsia="zh-CN" w:bidi="ar-SA"/>
    </w:rPr>
  </w:style>
  <w:style w:type="character" w:customStyle="1" w:styleId="157">
    <w:name w:val="样式 纯文本孙普文字Plain Text普通文字普通文字 Char Char普通文字 Char普通文字 Char C... Char"/>
    <w:link w:val="158"/>
    <w:qFormat/>
    <w:uiPriority w:val="0"/>
    <w:rPr>
      <w:rFonts w:eastAsia="楷体_GB2312"/>
      <w:kern w:val="2"/>
      <w:sz w:val="24"/>
      <w:szCs w:val="24"/>
    </w:rPr>
  </w:style>
  <w:style w:type="paragraph" w:customStyle="1" w:styleId="158">
    <w:name w:val="样式 纯文本孙普文字Plain Text普通文字普通文字 Char Char普通文字 Char普通文字 Char C..."/>
    <w:basedOn w:val="28"/>
    <w:link w:val="157"/>
    <w:qFormat/>
    <w:uiPriority w:val="0"/>
    <w:pPr>
      <w:spacing w:line="360" w:lineRule="auto"/>
      <w:ind w:firstLine="480" w:firstLineChars="200"/>
      <w:textAlignment w:val="top"/>
    </w:pPr>
    <w:rPr>
      <w:rFonts w:ascii="Times New Roman" w:hAnsi="Times New Roman" w:eastAsia="楷体_GB2312"/>
      <w:sz w:val="24"/>
    </w:rPr>
  </w:style>
  <w:style w:type="character" w:customStyle="1" w:styleId="159">
    <w:name w:val="style51"/>
    <w:qFormat/>
    <w:uiPriority w:val="0"/>
    <w:rPr>
      <w:rFonts w:hint="default" w:ascii="Arial" w:hAnsi="Arial" w:cs="Arial"/>
      <w:sz w:val="18"/>
      <w:szCs w:val="18"/>
    </w:rPr>
  </w:style>
  <w:style w:type="character" w:customStyle="1" w:styleId="160">
    <w:name w:val="样式 表格 + (中文) 黑体 Char"/>
    <w:basedOn w:val="138"/>
    <w:qFormat/>
    <w:uiPriority w:val="0"/>
    <w:rPr>
      <w:rFonts w:ascii="宋体" w:hAnsi="宋体"/>
      <w:color w:val="000000"/>
      <w:spacing w:val="-8"/>
      <w:kern w:val="2"/>
      <w:sz w:val="24"/>
      <w:szCs w:val="24"/>
      <w:lang w:val="en-US" w:eastAsia="zh-CN" w:bidi="ar-SA"/>
    </w:rPr>
  </w:style>
  <w:style w:type="character" w:customStyle="1" w:styleId="161">
    <w:name w:val="t_tag"/>
    <w:basedOn w:val="62"/>
    <w:qFormat/>
    <w:uiPriority w:val="0"/>
  </w:style>
  <w:style w:type="character" w:customStyle="1" w:styleId="162">
    <w:name w:val="亚行正文 Char"/>
    <w:link w:val="163"/>
    <w:qFormat/>
    <w:uiPriority w:val="0"/>
    <w:rPr>
      <w:snapToGrid w:val="0"/>
      <w:sz w:val="24"/>
      <w:szCs w:val="24"/>
    </w:rPr>
  </w:style>
  <w:style w:type="paragraph" w:customStyle="1" w:styleId="163">
    <w:name w:val="亚行正文"/>
    <w:basedOn w:val="1"/>
    <w:link w:val="162"/>
    <w:qFormat/>
    <w:uiPriority w:val="0"/>
    <w:pPr>
      <w:wordWrap w:val="0"/>
      <w:spacing w:line="360" w:lineRule="auto"/>
      <w:ind w:left="-2" w:leftChars="-1" w:firstLine="473" w:firstLineChars="197"/>
    </w:pPr>
    <w:rPr>
      <w:snapToGrid w:val="0"/>
      <w:kern w:val="0"/>
      <w:sz w:val="24"/>
      <w:lang w:val="zh-CN"/>
    </w:rPr>
  </w:style>
  <w:style w:type="character" w:customStyle="1" w:styleId="164">
    <w:name w:val="表1 Char"/>
    <w:link w:val="165"/>
    <w:qFormat/>
    <w:locked/>
    <w:uiPriority w:val="0"/>
    <w:rPr>
      <w:rFonts w:eastAsia="仿宋"/>
      <w:kern w:val="2"/>
      <w:sz w:val="24"/>
      <w:szCs w:val="28"/>
    </w:rPr>
  </w:style>
  <w:style w:type="paragraph" w:customStyle="1" w:styleId="165">
    <w:name w:val="表1"/>
    <w:basedOn w:val="1"/>
    <w:next w:val="1"/>
    <w:link w:val="164"/>
    <w:qFormat/>
    <w:uiPriority w:val="0"/>
    <w:pPr>
      <w:jc w:val="center"/>
    </w:pPr>
    <w:rPr>
      <w:rFonts w:eastAsia="仿宋"/>
      <w:sz w:val="24"/>
      <w:szCs w:val="28"/>
      <w:lang w:val="zh-CN"/>
    </w:rPr>
  </w:style>
  <w:style w:type="character" w:customStyle="1" w:styleId="166">
    <w:name w:val="标题 4 Char1"/>
    <w:qFormat/>
    <w:uiPriority w:val="0"/>
    <w:rPr>
      <w:rFonts w:eastAsia="楷体_GB2312"/>
      <w:bCs/>
      <w:snapToGrid w:val="0"/>
      <w:sz w:val="24"/>
      <w:szCs w:val="24"/>
    </w:rPr>
  </w:style>
  <w:style w:type="character" w:customStyle="1" w:styleId="167">
    <w:name w:val="Level 4"/>
    <w:basedOn w:val="62"/>
    <w:qFormat/>
    <w:uiPriority w:val="0"/>
  </w:style>
  <w:style w:type="character" w:customStyle="1" w:styleId="168">
    <w:name w:val="正文001 Char"/>
    <w:link w:val="169"/>
    <w:qFormat/>
    <w:uiPriority w:val="0"/>
    <w:rPr>
      <w:rFonts w:ascii="Arial" w:hAnsi="Arial" w:cs="Arial"/>
      <w:kern w:val="2"/>
      <w:sz w:val="24"/>
      <w:szCs w:val="24"/>
    </w:rPr>
  </w:style>
  <w:style w:type="paragraph" w:customStyle="1" w:styleId="169">
    <w:name w:val="正文001"/>
    <w:basedOn w:val="1"/>
    <w:link w:val="168"/>
    <w:qFormat/>
    <w:uiPriority w:val="0"/>
    <w:pPr>
      <w:spacing w:before="60" w:line="460" w:lineRule="exact"/>
      <w:ind w:firstLine="482"/>
    </w:pPr>
    <w:rPr>
      <w:rFonts w:ascii="Arial" w:hAnsi="Arial"/>
      <w:sz w:val="24"/>
      <w:lang w:val="zh-CN"/>
    </w:rPr>
  </w:style>
  <w:style w:type="character" w:customStyle="1" w:styleId="170">
    <w:name w:val="焚烧 正文 Char"/>
    <w:basedOn w:val="168"/>
    <w:link w:val="171"/>
    <w:qFormat/>
    <w:uiPriority w:val="0"/>
    <w:rPr>
      <w:rFonts w:ascii="Arial" w:hAnsi="Arial" w:cs="Arial"/>
      <w:kern w:val="2"/>
      <w:sz w:val="24"/>
      <w:szCs w:val="24"/>
    </w:rPr>
  </w:style>
  <w:style w:type="paragraph" w:customStyle="1" w:styleId="171">
    <w:name w:val="焚烧 正文"/>
    <w:basedOn w:val="169"/>
    <w:link w:val="170"/>
    <w:qFormat/>
    <w:uiPriority w:val="0"/>
    <w:rPr>
      <w:rFonts w:ascii="Times New Roman" w:hAnsi="Times New Roman"/>
    </w:rPr>
  </w:style>
  <w:style w:type="character" w:customStyle="1" w:styleId="172">
    <w:name w:val="样式 (符号) 宋体 小四 行距: 多倍行距 1.3 字行 Char"/>
    <w:link w:val="173"/>
    <w:qFormat/>
    <w:uiPriority w:val="0"/>
    <w:rPr>
      <w:b/>
      <w:kern w:val="2"/>
      <w:sz w:val="21"/>
      <w:szCs w:val="21"/>
    </w:rPr>
  </w:style>
  <w:style w:type="paragraph" w:customStyle="1" w:styleId="173">
    <w:name w:val="样式 (符号) 宋体 小四 行距: 多倍行距 1.3 字行"/>
    <w:basedOn w:val="1"/>
    <w:link w:val="172"/>
    <w:qFormat/>
    <w:uiPriority w:val="0"/>
    <w:pPr>
      <w:spacing w:line="360" w:lineRule="auto"/>
      <w:jc w:val="center"/>
    </w:pPr>
    <w:rPr>
      <w:b/>
      <w:szCs w:val="21"/>
      <w:lang w:val="zh-CN"/>
    </w:rPr>
  </w:style>
  <w:style w:type="character" w:customStyle="1" w:styleId="174">
    <w:name w:val="热电厂正文 Char"/>
    <w:link w:val="175"/>
    <w:qFormat/>
    <w:uiPriority w:val="0"/>
    <w:rPr>
      <w:kern w:val="2"/>
      <w:sz w:val="24"/>
      <w:szCs w:val="24"/>
    </w:rPr>
  </w:style>
  <w:style w:type="paragraph" w:customStyle="1" w:styleId="175">
    <w:name w:val="热电厂正文"/>
    <w:basedOn w:val="1"/>
    <w:link w:val="174"/>
    <w:qFormat/>
    <w:uiPriority w:val="0"/>
    <w:pPr>
      <w:spacing w:line="480" w:lineRule="exact"/>
      <w:ind w:firstLine="200" w:firstLineChars="200"/>
    </w:pPr>
    <w:rPr>
      <w:sz w:val="24"/>
      <w:lang w:val="zh-CN"/>
    </w:rPr>
  </w:style>
  <w:style w:type="character" w:customStyle="1" w:styleId="176">
    <w:name w:val="样式 热电厂正文 + 首行缩进:  2 字符 Char"/>
    <w:link w:val="177"/>
    <w:qFormat/>
    <w:uiPriority w:val="0"/>
    <w:rPr>
      <w:kern w:val="2"/>
      <w:sz w:val="24"/>
    </w:rPr>
  </w:style>
  <w:style w:type="paragraph" w:customStyle="1" w:styleId="177">
    <w:name w:val="样式 热电厂正文 + 首行缩进:  2 字符"/>
    <w:basedOn w:val="1"/>
    <w:link w:val="176"/>
    <w:qFormat/>
    <w:uiPriority w:val="0"/>
    <w:pPr>
      <w:spacing w:line="480" w:lineRule="exact"/>
      <w:ind w:firstLine="480" w:firstLineChars="200"/>
    </w:pPr>
    <w:rPr>
      <w:sz w:val="24"/>
      <w:szCs w:val="20"/>
      <w:lang w:val="zh-CN"/>
    </w:rPr>
  </w:style>
  <w:style w:type="character" w:customStyle="1" w:styleId="178">
    <w:name w:val="h3 Char2"/>
    <w:qFormat/>
    <w:uiPriority w:val="0"/>
    <w:rPr>
      <w:rFonts w:ascii="宋体" w:hAnsi="宋体" w:eastAsia="宋体"/>
      <w:b/>
      <w:bCs/>
      <w:color w:val="000000"/>
      <w:kern w:val="2"/>
      <w:sz w:val="24"/>
      <w:szCs w:val="24"/>
      <w:lang w:val="en-US" w:eastAsia="zh-CN" w:bidi="ar-SA"/>
    </w:rPr>
  </w:style>
  <w:style w:type="character" w:customStyle="1" w:styleId="179">
    <w:name w:val="style21"/>
    <w:qFormat/>
    <w:uiPriority w:val="0"/>
    <w:rPr>
      <w:rFonts w:ascii="宋体" w:hAnsi="宋体" w:eastAsia="宋体" w:cs="宋体"/>
      <w:b/>
      <w:bCs/>
      <w:kern w:val="2"/>
      <w:sz w:val="21"/>
      <w:szCs w:val="21"/>
      <w:lang w:val="en-US" w:eastAsia="zh-CN" w:bidi="ar-SA"/>
    </w:rPr>
  </w:style>
  <w:style w:type="character" w:customStyle="1" w:styleId="180">
    <w:name w:val="表头5H Char"/>
    <w:link w:val="181"/>
    <w:qFormat/>
    <w:uiPriority w:val="0"/>
    <w:rPr>
      <w:rFonts w:ascii="黑体" w:eastAsia="黑体"/>
      <w:kern w:val="2"/>
      <w:sz w:val="24"/>
      <w:szCs w:val="24"/>
    </w:rPr>
  </w:style>
  <w:style w:type="paragraph" w:customStyle="1" w:styleId="181">
    <w:name w:val="表头5H"/>
    <w:basedOn w:val="1"/>
    <w:link w:val="180"/>
    <w:qFormat/>
    <w:uiPriority w:val="0"/>
    <w:pPr>
      <w:spacing w:line="312" w:lineRule="auto"/>
      <w:jc w:val="center"/>
    </w:pPr>
    <w:rPr>
      <w:rFonts w:ascii="黑体" w:eastAsia="黑体"/>
      <w:sz w:val="24"/>
      <w:lang w:val="zh-CN"/>
    </w:rPr>
  </w:style>
  <w:style w:type="character" w:customStyle="1" w:styleId="182">
    <w:name w:val="样式 标题 2h2MVA2Titre2Heading 2 HiddenHeading 2 CCBSH22Leve... Char"/>
    <w:link w:val="183"/>
    <w:qFormat/>
    <w:uiPriority w:val="0"/>
    <w:rPr>
      <w:rFonts w:eastAsia="黑体"/>
      <w:b/>
      <w:bCs/>
      <w:kern w:val="2"/>
      <w:sz w:val="30"/>
    </w:rPr>
  </w:style>
  <w:style w:type="paragraph" w:customStyle="1" w:styleId="183">
    <w:name w:val="样式 标题 2h2MVA2Titre2Heading 2 HiddenHeading 2 CCBSH22Leve..."/>
    <w:basedOn w:val="3"/>
    <w:link w:val="182"/>
    <w:qFormat/>
    <w:uiPriority w:val="0"/>
    <w:pPr>
      <w:numPr>
        <w:ilvl w:val="0"/>
        <w:numId w:val="0"/>
      </w:numPr>
      <w:overflowPunct w:val="0"/>
      <w:autoSpaceDE w:val="0"/>
      <w:autoSpaceDN w:val="0"/>
      <w:spacing w:beforeLines="0" w:afterLines="0"/>
      <w:ind w:firstLine="482"/>
      <w:textAlignment w:val="baseline"/>
    </w:pPr>
    <w:rPr>
      <w:b/>
      <w:sz w:val="30"/>
      <w:szCs w:val="20"/>
    </w:rPr>
  </w:style>
  <w:style w:type="character" w:customStyle="1" w:styleId="184">
    <w:name w:val="样式6 Char"/>
    <w:qFormat/>
    <w:uiPriority w:val="0"/>
    <w:rPr>
      <w:rFonts w:eastAsia="宋体" w:cs="宋体"/>
      <w:kern w:val="2"/>
      <w:sz w:val="24"/>
      <w:lang w:val="en-US" w:eastAsia="zh-CN" w:bidi="ar-SA"/>
    </w:rPr>
  </w:style>
  <w:style w:type="character" w:customStyle="1" w:styleId="185">
    <w:name w:val="样式7 Char"/>
    <w:link w:val="186"/>
    <w:qFormat/>
    <w:uiPriority w:val="0"/>
    <w:rPr>
      <w:rFonts w:eastAsia="宋体" w:cs="宋体"/>
      <w:kern w:val="2"/>
      <w:sz w:val="24"/>
      <w:szCs w:val="24"/>
      <w:lang w:val="en-US" w:eastAsia="zh-CN" w:bidi="ar-SA"/>
    </w:rPr>
  </w:style>
  <w:style w:type="paragraph" w:customStyle="1" w:styleId="186">
    <w:name w:val="样式7"/>
    <w:basedOn w:val="1"/>
    <w:link w:val="185"/>
    <w:qFormat/>
    <w:uiPriority w:val="0"/>
    <w:pPr>
      <w:spacing w:line="360" w:lineRule="auto"/>
      <w:ind w:firstLine="427" w:firstLineChars="178"/>
    </w:pPr>
    <w:rPr>
      <w:rFonts w:cs="宋体"/>
      <w:sz w:val="24"/>
    </w:rPr>
  </w:style>
  <w:style w:type="character" w:customStyle="1" w:styleId="187">
    <w:name w:val="tree正文 Char"/>
    <w:link w:val="188"/>
    <w:qFormat/>
    <w:uiPriority w:val="0"/>
    <w:rPr>
      <w:kern w:val="2"/>
      <w:sz w:val="24"/>
      <w:szCs w:val="24"/>
    </w:rPr>
  </w:style>
  <w:style w:type="paragraph" w:customStyle="1" w:styleId="188">
    <w:name w:val="tree正文"/>
    <w:basedOn w:val="1"/>
    <w:link w:val="187"/>
    <w:qFormat/>
    <w:uiPriority w:val="0"/>
    <w:pPr>
      <w:spacing w:line="440" w:lineRule="exact"/>
      <w:ind w:firstLine="200" w:firstLineChars="200"/>
    </w:pPr>
    <w:rPr>
      <w:sz w:val="24"/>
      <w:lang w:val="zh-CN"/>
    </w:rPr>
  </w:style>
  <w:style w:type="character" w:customStyle="1" w:styleId="189">
    <w:name w:val="报告正文 Char2"/>
    <w:link w:val="190"/>
    <w:qFormat/>
    <w:uiPriority w:val="0"/>
    <w:rPr>
      <w:rFonts w:ascii="宋体"/>
      <w:kern w:val="2"/>
      <w:sz w:val="24"/>
    </w:rPr>
  </w:style>
  <w:style w:type="paragraph" w:customStyle="1" w:styleId="190">
    <w:name w:val="报告正文"/>
    <w:basedOn w:val="1"/>
    <w:link w:val="189"/>
    <w:qFormat/>
    <w:uiPriority w:val="0"/>
    <w:pPr>
      <w:adjustRightInd w:val="0"/>
      <w:snapToGrid w:val="0"/>
      <w:spacing w:line="360" w:lineRule="auto"/>
      <w:ind w:firstLine="200" w:firstLineChars="200"/>
    </w:pPr>
    <w:rPr>
      <w:rFonts w:ascii="宋体"/>
      <w:sz w:val="24"/>
      <w:szCs w:val="20"/>
      <w:lang w:val="zh-CN"/>
    </w:rPr>
  </w:style>
  <w:style w:type="character" w:customStyle="1" w:styleId="191">
    <w:name w:val="样式 小四 首行缩进:  0.99 厘米 行距: 1.5 倍行距 Char"/>
    <w:link w:val="192"/>
    <w:qFormat/>
    <w:uiPriority w:val="0"/>
    <w:rPr>
      <w:bCs/>
      <w:color w:val="0000FF"/>
      <w:kern w:val="2"/>
      <w:sz w:val="24"/>
    </w:rPr>
  </w:style>
  <w:style w:type="paragraph" w:customStyle="1" w:styleId="192">
    <w:name w:val="样式 小四 首行缩进:  0.99 厘米 行距: 1.5 倍行距"/>
    <w:basedOn w:val="1"/>
    <w:link w:val="191"/>
    <w:qFormat/>
    <w:uiPriority w:val="0"/>
    <w:pPr>
      <w:spacing w:line="360" w:lineRule="auto"/>
      <w:ind w:firstLine="480" w:firstLineChars="200"/>
    </w:pPr>
    <w:rPr>
      <w:bCs/>
      <w:color w:val="0000FF"/>
      <w:sz w:val="24"/>
      <w:szCs w:val="20"/>
      <w:lang w:val="zh-CN"/>
    </w:rPr>
  </w:style>
  <w:style w:type="character" w:customStyle="1" w:styleId="193">
    <w:name w:val="x正文 Char1"/>
    <w:link w:val="194"/>
    <w:qFormat/>
    <w:uiPriority w:val="0"/>
    <w:rPr>
      <w:kern w:val="2"/>
      <w:sz w:val="24"/>
      <w:szCs w:val="21"/>
    </w:rPr>
  </w:style>
  <w:style w:type="paragraph" w:customStyle="1" w:styleId="194">
    <w:name w:val="x正文"/>
    <w:basedOn w:val="1"/>
    <w:link w:val="193"/>
    <w:qFormat/>
    <w:uiPriority w:val="0"/>
    <w:pPr>
      <w:spacing w:line="300" w:lineRule="auto"/>
      <w:ind w:firstLine="200" w:firstLineChars="200"/>
    </w:pPr>
    <w:rPr>
      <w:sz w:val="24"/>
      <w:szCs w:val="21"/>
      <w:lang w:val="zh-CN"/>
    </w:rPr>
  </w:style>
  <w:style w:type="character" w:customStyle="1" w:styleId="195">
    <w:name w:val="headline-content2"/>
    <w:basedOn w:val="62"/>
    <w:qFormat/>
    <w:uiPriority w:val="0"/>
  </w:style>
  <w:style w:type="character" w:customStyle="1" w:styleId="196">
    <w:name w:val="样式 表内文字 + 首行缩进:  1.78 字符 Char"/>
    <w:link w:val="197"/>
    <w:qFormat/>
    <w:uiPriority w:val="0"/>
    <w:rPr>
      <w:rFonts w:cs="宋体"/>
      <w:sz w:val="21"/>
    </w:rPr>
  </w:style>
  <w:style w:type="paragraph" w:customStyle="1" w:styleId="197">
    <w:name w:val="样式 表内文字 + 首行缩进:  1.78 字符"/>
    <w:basedOn w:val="1"/>
    <w:link w:val="196"/>
    <w:qFormat/>
    <w:uiPriority w:val="0"/>
    <w:pPr>
      <w:autoSpaceDE w:val="0"/>
      <w:autoSpaceDN w:val="0"/>
      <w:adjustRightInd w:val="0"/>
      <w:spacing w:line="320" w:lineRule="exact"/>
      <w:jc w:val="center"/>
    </w:pPr>
    <w:rPr>
      <w:kern w:val="0"/>
      <w:szCs w:val="20"/>
      <w:lang w:val="zh-CN"/>
    </w:rPr>
  </w:style>
  <w:style w:type="character" w:customStyle="1" w:styleId="198">
    <w:name w:val="样式 样式 表内文字 + 首行缩进:  1.78 字符 + 自动设置 Char"/>
    <w:link w:val="199"/>
    <w:qFormat/>
    <w:uiPriority w:val="0"/>
    <w:rPr>
      <w:sz w:val="21"/>
    </w:rPr>
  </w:style>
  <w:style w:type="paragraph" w:customStyle="1" w:styleId="199">
    <w:name w:val="样式 样式 表内文字 + 首行缩进:  1.78 字符 + 自动设置"/>
    <w:basedOn w:val="197"/>
    <w:link w:val="198"/>
    <w:qFormat/>
    <w:uiPriority w:val="0"/>
  </w:style>
  <w:style w:type="character" w:customStyle="1" w:styleId="200">
    <w:name w:val="样式 红色 首行缩进:  2 字符 Char"/>
    <w:link w:val="201"/>
    <w:qFormat/>
    <w:uiPriority w:val="0"/>
    <w:rPr>
      <w:rFonts w:cs="宋体"/>
      <w:kern w:val="2"/>
      <w:sz w:val="24"/>
    </w:rPr>
  </w:style>
  <w:style w:type="paragraph" w:customStyle="1" w:styleId="201">
    <w:name w:val="样式 红色 首行缩进:  2 字符"/>
    <w:basedOn w:val="1"/>
    <w:link w:val="200"/>
    <w:qFormat/>
    <w:uiPriority w:val="0"/>
    <w:pPr>
      <w:adjustRightInd w:val="0"/>
      <w:snapToGrid w:val="0"/>
      <w:spacing w:line="360" w:lineRule="auto"/>
      <w:ind w:firstLine="480" w:firstLineChars="200"/>
    </w:pPr>
    <w:rPr>
      <w:sz w:val="24"/>
      <w:szCs w:val="20"/>
      <w:lang w:val="zh-CN"/>
    </w:rPr>
  </w:style>
  <w:style w:type="character" w:customStyle="1" w:styleId="202">
    <w:name w:val="正文文本_"/>
    <w:link w:val="203"/>
    <w:qFormat/>
    <w:uiPriority w:val="0"/>
    <w:rPr>
      <w:rFonts w:ascii="MingLiU" w:hAnsi="MingLiU" w:eastAsia="MingLiU" w:cs="MingLiU"/>
      <w:spacing w:val="-10"/>
      <w:sz w:val="14"/>
      <w:szCs w:val="14"/>
      <w:shd w:val="clear" w:color="auto" w:fill="FFFFFF"/>
    </w:rPr>
  </w:style>
  <w:style w:type="paragraph" w:customStyle="1" w:styleId="203">
    <w:name w:val="正文文本1"/>
    <w:basedOn w:val="1"/>
    <w:link w:val="202"/>
    <w:qFormat/>
    <w:uiPriority w:val="0"/>
    <w:pPr>
      <w:shd w:val="clear" w:color="auto" w:fill="FFFFFF"/>
      <w:spacing w:before="180" w:line="236" w:lineRule="exact"/>
      <w:ind w:firstLine="280"/>
      <w:jc w:val="distribute"/>
    </w:pPr>
    <w:rPr>
      <w:rFonts w:ascii="MingLiU" w:hAnsi="MingLiU" w:eastAsia="MingLiU"/>
      <w:spacing w:val="-10"/>
      <w:kern w:val="0"/>
      <w:sz w:val="14"/>
      <w:szCs w:val="14"/>
      <w:lang w:val="zh-CN"/>
    </w:rPr>
  </w:style>
  <w:style w:type="character" w:customStyle="1" w:styleId="204">
    <w:name w:val="正文文本 + Times New Roman"/>
    <w:qFormat/>
    <w:uiPriority w:val="0"/>
    <w:rPr>
      <w:rFonts w:ascii="Times New Roman" w:hAnsi="Times New Roman" w:eastAsia="Times New Roman" w:cs="Times New Roman"/>
      <w:b/>
      <w:bCs/>
      <w:color w:val="000000"/>
      <w:spacing w:val="0"/>
      <w:w w:val="100"/>
      <w:position w:val="0"/>
      <w:sz w:val="14"/>
      <w:szCs w:val="14"/>
      <w:shd w:val="clear" w:color="auto" w:fill="FFFFFF"/>
      <w:lang w:val="en-US"/>
    </w:rPr>
  </w:style>
  <w:style w:type="character" w:customStyle="1" w:styleId="205">
    <w:name w:val="正文文本 + Sylfaen"/>
    <w:qFormat/>
    <w:uiPriority w:val="0"/>
    <w:rPr>
      <w:rFonts w:ascii="Sylfaen" w:hAnsi="Sylfaen" w:eastAsia="Sylfaen" w:cs="Sylfaen"/>
      <w:color w:val="000000"/>
      <w:spacing w:val="0"/>
      <w:w w:val="100"/>
      <w:position w:val="0"/>
      <w:sz w:val="17"/>
      <w:szCs w:val="17"/>
      <w:u w:val="none"/>
      <w:shd w:val="clear" w:color="auto" w:fill="FFFFFF"/>
      <w:lang w:val="en-US"/>
    </w:rPr>
  </w:style>
  <w:style w:type="character" w:customStyle="1" w:styleId="206">
    <w:name w:val="正文文本 + 间距 1 pt"/>
    <w:qFormat/>
    <w:uiPriority w:val="0"/>
    <w:rPr>
      <w:rFonts w:ascii="MingLiU" w:hAnsi="MingLiU" w:eastAsia="MingLiU" w:cs="MingLiU"/>
      <w:color w:val="000000"/>
      <w:spacing w:val="30"/>
      <w:w w:val="100"/>
      <w:position w:val="0"/>
      <w:sz w:val="16"/>
      <w:szCs w:val="16"/>
      <w:u w:val="none"/>
      <w:shd w:val="clear" w:color="auto" w:fill="FFFFFF"/>
      <w:lang w:val="zh-TW"/>
    </w:rPr>
  </w:style>
  <w:style w:type="character" w:customStyle="1" w:styleId="207">
    <w:name w:val="正文文本 + 间距 -1 pt"/>
    <w:qFormat/>
    <w:uiPriority w:val="0"/>
    <w:rPr>
      <w:rFonts w:ascii="MingLiU" w:hAnsi="MingLiU" w:eastAsia="MingLiU" w:cs="MingLiU"/>
      <w:color w:val="000000"/>
      <w:spacing w:val="-30"/>
      <w:w w:val="100"/>
      <w:position w:val="0"/>
      <w:sz w:val="16"/>
      <w:szCs w:val="16"/>
      <w:u w:val="none"/>
      <w:shd w:val="clear" w:color="auto" w:fill="FFFFFF"/>
      <w:lang w:val="zh-TW"/>
    </w:rPr>
  </w:style>
  <w:style w:type="character" w:customStyle="1" w:styleId="208">
    <w:name w:val="正文文本 + Century Gothic"/>
    <w:qFormat/>
    <w:uiPriority w:val="0"/>
    <w:rPr>
      <w:rFonts w:ascii="Century Gothic" w:hAnsi="Century Gothic" w:eastAsia="Century Gothic" w:cs="Century Gothic"/>
      <w:color w:val="000000"/>
      <w:spacing w:val="0"/>
      <w:w w:val="100"/>
      <w:position w:val="0"/>
      <w:sz w:val="14"/>
      <w:szCs w:val="14"/>
      <w:u w:val="none"/>
      <w:shd w:val="clear" w:color="auto" w:fill="FFFFFF"/>
      <w:lang w:val="zh-CN"/>
    </w:rPr>
  </w:style>
  <w:style w:type="character" w:customStyle="1" w:styleId="209">
    <w:name w:val="apple-converted-space"/>
    <w:qFormat/>
    <w:uiPriority w:val="0"/>
  </w:style>
  <w:style w:type="character" w:customStyle="1" w:styleId="210">
    <w:name w:val="ca-1"/>
    <w:qFormat/>
    <w:uiPriority w:val="0"/>
  </w:style>
  <w:style w:type="character" w:customStyle="1" w:styleId="211">
    <w:name w:val="ca-0"/>
    <w:qFormat/>
    <w:uiPriority w:val="0"/>
  </w:style>
  <w:style w:type="character" w:customStyle="1" w:styleId="212">
    <w:name w:val="纯文本 Char1"/>
    <w:qFormat/>
    <w:uiPriority w:val="0"/>
    <w:rPr>
      <w:rFonts w:ascii="宋体" w:hAnsi="Courier New" w:eastAsia="宋体"/>
      <w:kern w:val="2"/>
      <w:sz w:val="21"/>
      <w:lang w:val="en-US" w:eastAsia="zh-CN" w:bidi="ar-SA"/>
    </w:rPr>
  </w:style>
  <w:style w:type="character" w:customStyle="1" w:styleId="213">
    <w:name w:val="1正文段落 Char"/>
    <w:link w:val="214"/>
    <w:qFormat/>
    <w:uiPriority w:val="0"/>
    <w:rPr>
      <w:snapToGrid w:val="0"/>
      <w:sz w:val="24"/>
      <w:szCs w:val="24"/>
    </w:rPr>
  </w:style>
  <w:style w:type="paragraph" w:customStyle="1" w:styleId="214">
    <w:name w:val="1正文段落"/>
    <w:basedOn w:val="1"/>
    <w:link w:val="213"/>
    <w:qFormat/>
    <w:uiPriority w:val="0"/>
    <w:pPr>
      <w:spacing w:line="360" w:lineRule="auto"/>
      <w:ind w:firstLine="480" w:firstLineChars="200"/>
      <w:jc w:val="left"/>
    </w:pPr>
    <w:rPr>
      <w:snapToGrid w:val="0"/>
      <w:kern w:val="0"/>
      <w:sz w:val="24"/>
      <w:lang w:val="zh-CN"/>
    </w:rPr>
  </w:style>
  <w:style w:type="character" w:customStyle="1" w:styleId="215">
    <w:name w:val="Char Char25"/>
    <w:qFormat/>
    <w:uiPriority w:val="0"/>
    <w:rPr>
      <w:rFonts w:ascii="宋体" w:eastAsia="宋体"/>
      <w:lang w:bidi="ar-SA"/>
    </w:rPr>
  </w:style>
  <w:style w:type="character" w:customStyle="1" w:styleId="216">
    <w:name w:val="书籍标题11"/>
    <w:qFormat/>
    <w:uiPriority w:val="0"/>
    <w:rPr>
      <w:rFonts w:ascii="Cambria" w:hAnsi="Cambria" w:eastAsia="宋体" w:cs="Times New Roman"/>
      <w:b/>
      <w:bCs/>
      <w:i/>
      <w:iCs/>
      <w:color w:val="auto"/>
    </w:rPr>
  </w:style>
  <w:style w:type="character" w:customStyle="1" w:styleId="217">
    <w:name w:val="图表注 Char1"/>
    <w:qFormat/>
    <w:uiPriority w:val="0"/>
    <w:rPr>
      <w:rFonts w:ascii="Arial" w:hAnsi="Arial" w:eastAsia="黑体" w:cs="Arial"/>
      <w:kern w:val="2"/>
      <w:lang w:val="en-US" w:eastAsia="zh-CN" w:bidi="ar-SA"/>
    </w:rPr>
  </w:style>
  <w:style w:type="character" w:customStyle="1" w:styleId="218">
    <w:name w:val="标题  2  郭 Char"/>
    <w:link w:val="219"/>
    <w:qFormat/>
    <w:uiPriority w:val="0"/>
    <w:rPr>
      <w:rFonts w:eastAsia="黑体"/>
      <w:bCs/>
      <w:kern w:val="2"/>
      <w:sz w:val="30"/>
      <w:szCs w:val="30"/>
    </w:rPr>
  </w:style>
  <w:style w:type="paragraph" w:customStyle="1" w:styleId="219">
    <w:name w:val="标题  2  郭"/>
    <w:basedOn w:val="1"/>
    <w:link w:val="218"/>
    <w:qFormat/>
    <w:uiPriority w:val="0"/>
    <w:pPr>
      <w:keepNext/>
      <w:keepLines/>
      <w:tabs>
        <w:tab w:val="left" w:pos="0"/>
      </w:tabs>
      <w:adjustRightInd w:val="0"/>
      <w:spacing w:beforeLines="30" w:afterLines="30" w:line="480" w:lineRule="auto"/>
      <w:jc w:val="left"/>
      <w:textAlignment w:val="baseline"/>
      <w:outlineLvl w:val="1"/>
    </w:pPr>
    <w:rPr>
      <w:rFonts w:eastAsia="黑体"/>
      <w:bCs/>
      <w:sz w:val="30"/>
      <w:szCs w:val="30"/>
      <w:lang w:val="zh-CN"/>
    </w:rPr>
  </w:style>
  <w:style w:type="character" w:customStyle="1" w:styleId="220">
    <w:name w:val="样式 标题 3h33rd levelH33Head 3level_3PIM 3Level 3 Head二级节名...2 Char"/>
    <w:link w:val="221"/>
    <w:qFormat/>
    <w:uiPriority w:val="0"/>
    <w:rPr>
      <w:rFonts w:ascii="宋体" w:hAnsi="黑体"/>
      <w:b/>
      <w:kern w:val="2"/>
      <w:sz w:val="28"/>
      <w:szCs w:val="28"/>
    </w:rPr>
  </w:style>
  <w:style w:type="paragraph" w:customStyle="1" w:styleId="221">
    <w:name w:val="样式 标题 3h33rd levelH33Head 3level_3PIM 3Level 3 Head二级节名...2"/>
    <w:basedOn w:val="4"/>
    <w:next w:val="1"/>
    <w:link w:val="220"/>
    <w:qFormat/>
    <w:uiPriority w:val="0"/>
    <w:pPr>
      <w:numPr>
        <w:ilvl w:val="0"/>
        <w:numId w:val="0"/>
      </w:numPr>
      <w:tabs>
        <w:tab w:val="left" w:pos="426"/>
        <w:tab w:val="clear" w:pos="432"/>
      </w:tabs>
      <w:spacing w:beforeLines="0" w:afterLines="0" w:line="240" w:lineRule="auto"/>
      <w:ind w:left="426"/>
    </w:pPr>
    <w:rPr>
      <w:rFonts w:ascii="宋体" w:hAnsi="黑体" w:eastAsia="宋体"/>
      <w:b/>
      <w:bCs w:val="0"/>
      <w:sz w:val="28"/>
    </w:rPr>
  </w:style>
  <w:style w:type="character" w:customStyle="1" w:styleId="222">
    <w:name w:val="样式 规划 正文 + 首行缩进:  2 字符 Char"/>
    <w:link w:val="223"/>
    <w:qFormat/>
    <w:uiPriority w:val="0"/>
    <w:rPr>
      <w:color w:val="008000"/>
      <w:sz w:val="24"/>
    </w:rPr>
  </w:style>
  <w:style w:type="paragraph" w:customStyle="1" w:styleId="223">
    <w:name w:val="样式 规划 正文 + 首行缩进:  2 字符"/>
    <w:basedOn w:val="1"/>
    <w:link w:val="222"/>
    <w:qFormat/>
    <w:uiPriority w:val="0"/>
    <w:pPr>
      <w:autoSpaceDE w:val="0"/>
      <w:autoSpaceDN w:val="0"/>
      <w:adjustRightInd w:val="0"/>
      <w:snapToGrid w:val="0"/>
      <w:spacing w:line="360" w:lineRule="auto"/>
      <w:ind w:firstLine="480" w:firstLineChars="200"/>
    </w:pPr>
    <w:rPr>
      <w:color w:val="008000"/>
      <w:kern w:val="0"/>
      <w:sz w:val="24"/>
      <w:szCs w:val="20"/>
      <w:lang w:val="zh-CN"/>
    </w:rPr>
  </w:style>
  <w:style w:type="character" w:customStyle="1" w:styleId="224">
    <w:name w:val="样式 小四"/>
    <w:qFormat/>
    <w:uiPriority w:val="0"/>
    <w:rPr>
      <w:rFonts w:ascii="Times New Roman" w:hAnsi="Times New Roman" w:eastAsia="宋体"/>
      <w:kern w:val="0"/>
      <w:sz w:val="24"/>
    </w:rPr>
  </w:style>
  <w:style w:type="character" w:customStyle="1" w:styleId="225">
    <w:name w:val="样式3 Char Char"/>
    <w:link w:val="226"/>
    <w:qFormat/>
    <w:uiPriority w:val="0"/>
    <w:rPr>
      <w:kern w:val="2"/>
      <w:sz w:val="24"/>
    </w:rPr>
  </w:style>
  <w:style w:type="paragraph" w:customStyle="1" w:styleId="226">
    <w:name w:val="样式3"/>
    <w:basedOn w:val="1"/>
    <w:link w:val="225"/>
    <w:qFormat/>
    <w:uiPriority w:val="0"/>
    <w:pPr>
      <w:tabs>
        <w:tab w:val="left" w:pos="580"/>
      </w:tabs>
      <w:snapToGrid w:val="0"/>
      <w:spacing w:line="420" w:lineRule="atLeast"/>
    </w:pPr>
    <w:rPr>
      <w:sz w:val="24"/>
      <w:szCs w:val="20"/>
      <w:lang w:val="zh-CN"/>
    </w:rPr>
  </w:style>
  <w:style w:type="character" w:customStyle="1" w:styleId="227">
    <w:name w:val="正文样式1 Char1"/>
    <w:link w:val="228"/>
    <w:qFormat/>
    <w:uiPriority w:val="0"/>
    <w:rPr>
      <w:rFonts w:ascii="宋体"/>
      <w:kern w:val="2"/>
      <w:sz w:val="24"/>
      <w:szCs w:val="24"/>
    </w:rPr>
  </w:style>
  <w:style w:type="paragraph" w:customStyle="1" w:styleId="228">
    <w:name w:val="正文样式1"/>
    <w:basedOn w:val="1"/>
    <w:link w:val="227"/>
    <w:qFormat/>
    <w:uiPriority w:val="0"/>
    <w:pPr>
      <w:spacing w:line="360" w:lineRule="auto"/>
      <w:ind w:firstLine="480" w:firstLineChars="200"/>
    </w:pPr>
    <w:rPr>
      <w:rFonts w:ascii="宋体"/>
      <w:sz w:val="24"/>
      <w:lang w:val="zh-CN"/>
    </w:rPr>
  </w:style>
  <w:style w:type="character" w:customStyle="1" w:styleId="229">
    <w:name w:val="样式 标题 2 + 黑体 四号 非加粗 Char Char"/>
    <w:link w:val="230"/>
    <w:qFormat/>
    <w:uiPriority w:val="0"/>
    <w:rPr>
      <w:rFonts w:ascii="黑体" w:hAnsi="黑体" w:eastAsia="黑体"/>
      <w:b/>
      <w:bCs/>
      <w:kern w:val="2"/>
      <w:sz w:val="28"/>
      <w:szCs w:val="32"/>
    </w:rPr>
  </w:style>
  <w:style w:type="paragraph" w:customStyle="1" w:styleId="230">
    <w:name w:val="样式 标题 2 + 黑体 四号 非加粗"/>
    <w:basedOn w:val="3"/>
    <w:link w:val="229"/>
    <w:qFormat/>
    <w:uiPriority w:val="0"/>
    <w:pPr>
      <w:numPr>
        <w:ilvl w:val="0"/>
        <w:numId w:val="0"/>
      </w:numPr>
      <w:spacing w:beforeLines="0" w:afterLines="0"/>
    </w:pPr>
    <w:rPr>
      <w:b/>
      <w:szCs w:val="32"/>
    </w:rPr>
  </w:style>
  <w:style w:type="character" w:customStyle="1" w:styleId="231">
    <w:name w:val="AGT ESIA Char2"/>
    <w:qFormat/>
    <w:uiPriority w:val="0"/>
    <w:rPr>
      <w:rFonts w:ascii="Cambria" w:hAnsi="Cambria" w:eastAsia="黑体"/>
      <w:kern w:val="2"/>
    </w:rPr>
  </w:style>
  <w:style w:type="character" w:customStyle="1" w:styleId="232">
    <w:name w:val="正文格式 Char"/>
    <w:link w:val="233"/>
    <w:qFormat/>
    <w:uiPriority w:val="0"/>
    <w:rPr>
      <w:rFonts w:ascii="宋体" w:hAnsi="宋体"/>
      <w:sz w:val="24"/>
      <w:szCs w:val="24"/>
    </w:rPr>
  </w:style>
  <w:style w:type="paragraph" w:customStyle="1" w:styleId="233">
    <w:name w:val="正文格式"/>
    <w:basedOn w:val="1"/>
    <w:link w:val="232"/>
    <w:qFormat/>
    <w:uiPriority w:val="0"/>
    <w:pPr>
      <w:spacing w:beforeLines="10" w:afterLines="10" w:line="360" w:lineRule="auto"/>
      <w:ind w:firstLine="482" w:firstLineChars="200"/>
    </w:pPr>
    <w:rPr>
      <w:rFonts w:ascii="宋体" w:hAnsi="宋体"/>
      <w:kern w:val="0"/>
      <w:sz w:val="24"/>
      <w:lang w:val="zh-CN"/>
    </w:rPr>
  </w:style>
  <w:style w:type="character" w:customStyle="1" w:styleId="234">
    <w:name w:val="文本11 Char"/>
    <w:link w:val="235"/>
    <w:qFormat/>
    <w:uiPriority w:val="0"/>
    <w:rPr>
      <w:color w:val="000000"/>
      <w:kern w:val="2"/>
      <w:sz w:val="24"/>
      <w:szCs w:val="24"/>
    </w:rPr>
  </w:style>
  <w:style w:type="paragraph" w:customStyle="1" w:styleId="235">
    <w:name w:val="文本11"/>
    <w:basedOn w:val="1"/>
    <w:link w:val="234"/>
    <w:qFormat/>
    <w:uiPriority w:val="0"/>
    <w:pPr>
      <w:spacing w:line="360" w:lineRule="auto"/>
      <w:ind w:firstLine="200" w:firstLineChars="200"/>
    </w:pPr>
    <w:rPr>
      <w:color w:val="000000"/>
      <w:sz w:val="24"/>
      <w:lang w:val="zh-CN"/>
    </w:rPr>
  </w:style>
  <w:style w:type="character" w:customStyle="1" w:styleId="236">
    <w:name w:val="正文小四 Char"/>
    <w:link w:val="237"/>
    <w:qFormat/>
    <w:locked/>
    <w:uiPriority w:val="0"/>
    <w:rPr>
      <w:rFonts w:eastAsia="Times New Roman"/>
      <w:kern w:val="2"/>
      <w:sz w:val="24"/>
      <w:szCs w:val="24"/>
      <w:lang w:val="en-US" w:eastAsia="zh-CN" w:bidi="ar-SA"/>
    </w:rPr>
  </w:style>
  <w:style w:type="paragraph" w:customStyle="1" w:styleId="237">
    <w:name w:val="正文小四"/>
    <w:link w:val="236"/>
    <w:qFormat/>
    <w:uiPriority w:val="0"/>
    <w:pPr>
      <w:spacing w:line="360" w:lineRule="auto"/>
      <w:ind w:firstLine="200" w:firstLineChars="200"/>
    </w:pPr>
    <w:rPr>
      <w:rFonts w:ascii="Times New Roman" w:hAnsi="Times New Roman" w:eastAsia="Times New Roman" w:cs="Times New Roman"/>
      <w:kern w:val="2"/>
      <w:sz w:val="24"/>
      <w:szCs w:val="24"/>
      <w:lang w:val="en-US" w:eastAsia="zh-CN" w:bidi="ar-SA"/>
    </w:rPr>
  </w:style>
  <w:style w:type="character" w:styleId="238">
    <w:name w:val="Placeholder Text"/>
    <w:semiHidden/>
    <w:qFormat/>
    <w:uiPriority w:val="99"/>
    <w:rPr>
      <w:color w:val="808080"/>
    </w:rPr>
  </w:style>
  <w:style w:type="character" w:customStyle="1" w:styleId="239">
    <w:name w:val="表格内字体 Char"/>
    <w:link w:val="240"/>
    <w:qFormat/>
    <w:uiPriority w:val="0"/>
    <w:rPr>
      <w:szCs w:val="18"/>
    </w:rPr>
  </w:style>
  <w:style w:type="paragraph" w:customStyle="1" w:styleId="240">
    <w:name w:val="表格内字体"/>
    <w:basedOn w:val="1"/>
    <w:link w:val="239"/>
    <w:qFormat/>
    <w:uiPriority w:val="0"/>
    <w:pPr>
      <w:jc w:val="center"/>
    </w:pPr>
    <w:rPr>
      <w:kern w:val="0"/>
      <w:sz w:val="20"/>
      <w:szCs w:val="18"/>
      <w:lang w:val="zh-CN"/>
    </w:rPr>
  </w:style>
  <w:style w:type="character" w:customStyle="1" w:styleId="241">
    <w:name w:val="fontstyle21"/>
    <w:qFormat/>
    <w:uiPriority w:val="0"/>
    <w:rPr>
      <w:rFonts w:hint="eastAsia" w:ascii="TimesNewRomanPSMT" w:hAnsi="TimesNewRomanPSMT" w:eastAsia="TimesNewRomanPSMT"/>
      <w:color w:val="000000"/>
      <w:sz w:val="24"/>
      <w:szCs w:val="24"/>
    </w:rPr>
  </w:style>
  <w:style w:type="character" w:customStyle="1" w:styleId="242">
    <w:name w:val="未处理的提及1"/>
    <w:unhideWhenUsed/>
    <w:qFormat/>
    <w:uiPriority w:val="99"/>
    <w:rPr>
      <w:color w:val="605E5C"/>
      <w:shd w:val="clear" w:color="auto" w:fill="E1DFDD"/>
    </w:rPr>
  </w:style>
  <w:style w:type="character" w:customStyle="1" w:styleId="243">
    <w:name w:val="fontstyle31"/>
    <w:qFormat/>
    <w:uiPriority w:val="0"/>
    <w:rPr>
      <w:rFonts w:hint="default" w:ascii="Times New Roman" w:hAnsi="Times New Roman" w:cs="Times New Roman"/>
      <w:color w:val="000000"/>
      <w:sz w:val="22"/>
      <w:szCs w:val="22"/>
    </w:rPr>
  </w:style>
  <w:style w:type="character" w:customStyle="1" w:styleId="244">
    <w:name w:val="表内字体111 Char"/>
    <w:link w:val="245"/>
    <w:qFormat/>
    <w:uiPriority w:val="0"/>
    <w:rPr>
      <w:snapToGrid w:val="0"/>
      <w:sz w:val="21"/>
      <w:szCs w:val="24"/>
    </w:rPr>
  </w:style>
  <w:style w:type="paragraph" w:customStyle="1" w:styleId="245">
    <w:name w:val="表内字体111"/>
    <w:basedOn w:val="1"/>
    <w:link w:val="244"/>
    <w:qFormat/>
    <w:uiPriority w:val="0"/>
    <w:pPr>
      <w:adjustRightInd w:val="0"/>
      <w:snapToGrid w:val="0"/>
      <w:jc w:val="center"/>
    </w:pPr>
    <w:rPr>
      <w:snapToGrid w:val="0"/>
      <w:kern w:val="0"/>
      <w:lang w:val="zh-CN"/>
    </w:rPr>
  </w:style>
  <w:style w:type="character" w:customStyle="1" w:styleId="246">
    <w:name w:val="fontstyle41"/>
    <w:qFormat/>
    <w:uiPriority w:val="0"/>
    <w:rPr>
      <w:rFonts w:hint="default" w:ascii="Times New Roman" w:hAnsi="Times New Roman" w:cs="Times New Roman"/>
      <w:color w:val="000000"/>
      <w:sz w:val="22"/>
      <w:szCs w:val="22"/>
    </w:rPr>
  </w:style>
  <w:style w:type="character" w:customStyle="1" w:styleId="247">
    <w:name w:val="页眉 字符"/>
    <w:qFormat/>
    <w:uiPriority w:val="99"/>
    <w:rPr>
      <w:sz w:val="18"/>
      <w:szCs w:val="18"/>
    </w:rPr>
  </w:style>
  <w:style w:type="character" w:customStyle="1" w:styleId="248">
    <w:name w:val="页脚 字符"/>
    <w:qFormat/>
    <w:uiPriority w:val="99"/>
    <w:rPr>
      <w:sz w:val="18"/>
      <w:szCs w:val="18"/>
    </w:rPr>
  </w:style>
  <w:style w:type="character" w:customStyle="1" w:styleId="249">
    <w:name w:val="正文文本缩进 字符"/>
    <w:qFormat/>
    <w:uiPriority w:val="0"/>
    <w:rPr>
      <w:rFonts w:ascii="Times New Roman" w:hAnsi="Times New Roman" w:eastAsia="宋体" w:cs="Times New Roman"/>
      <w:szCs w:val="24"/>
    </w:rPr>
  </w:style>
  <w:style w:type="character" w:customStyle="1" w:styleId="250">
    <w:name w:val="纯文本 字符"/>
    <w:qFormat/>
    <w:uiPriority w:val="0"/>
    <w:rPr>
      <w:rFonts w:ascii="宋体" w:hAnsi="Courier New" w:eastAsia="宋体" w:cs="Times New Roman"/>
      <w:szCs w:val="24"/>
    </w:rPr>
  </w:style>
  <w:style w:type="character" w:customStyle="1" w:styleId="251">
    <w:name w:val="批注文字 字符"/>
    <w:semiHidden/>
    <w:qFormat/>
    <w:uiPriority w:val="99"/>
    <w:rPr>
      <w:rFonts w:ascii="Times New Roman" w:hAnsi="Times New Roman" w:eastAsia="宋体" w:cs="Times New Roman"/>
      <w:szCs w:val="24"/>
    </w:rPr>
  </w:style>
  <w:style w:type="character" w:customStyle="1" w:styleId="252">
    <w:name w:val="批注主题 字符"/>
    <w:semiHidden/>
    <w:qFormat/>
    <w:uiPriority w:val="99"/>
    <w:rPr>
      <w:rFonts w:ascii="Times New Roman" w:hAnsi="Times New Roman" w:eastAsia="宋体" w:cs="Times New Roman"/>
      <w:b/>
      <w:bCs/>
      <w:szCs w:val="24"/>
    </w:rPr>
  </w:style>
  <w:style w:type="character" w:customStyle="1" w:styleId="253">
    <w:name w:val="批注框文本 字符"/>
    <w:semiHidden/>
    <w:qFormat/>
    <w:uiPriority w:val="99"/>
    <w:rPr>
      <w:rFonts w:ascii="Times New Roman" w:hAnsi="Times New Roman" w:eastAsia="宋体" w:cs="Times New Roman"/>
      <w:sz w:val="18"/>
      <w:szCs w:val="18"/>
    </w:rPr>
  </w:style>
  <w:style w:type="character" w:customStyle="1" w:styleId="254">
    <w:name w:val="标题 1 字符"/>
    <w:qFormat/>
    <w:uiPriority w:val="9"/>
    <w:rPr>
      <w:rFonts w:ascii="Times New Roman" w:hAnsi="Times New Roman" w:eastAsia="宋体" w:cs="Times New Roman"/>
      <w:b/>
      <w:bCs/>
      <w:kern w:val="44"/>
      <w:sz w:val="44"/>
      <w:szCs w:val="44"/>
    </w:rPr>
  </w:style>
  <w:style w:type="character" w:customStyle="1" w:styleId="255">
    <w:name w:val="标题 2 字符"/>
    <w:semiHidden/>
    <w:qFormat/>
    <w:uiPriority w:val="9"/>
    <w:rPr>
      <w:rFonts w:ascii="Cambria" w:hAnsi="Cambria" w:eastAsia="宋体" w:cs="Times New Roman"/>
      <w:b/>
      <w:bCs/>
      <w:sz w:val="32"/>
      <w:szCs w:val="32"/>
    </w:rPr>
  </w:style>
  <w:style w:type="character" w:customStyle="1" w:styleId="256">
    <w:name w:val="标题 3 字符"/>
    <w:semiHidden/>
    <w:qFormat/>
    <w:uiPriority w:val="9"/>
    <w:rPr>
      <w:rFonts w:ascii="Times New Roman" w:hAnsi="Times New Roman" w:eastAsia="宋体" w:cs="Times New Roman"/>
      <w:b/>
      <w:bCs/>
      <w:sz w:val="32"/>
      <w:szCs w:val="32"/>
    </w:rPr>
  </w:style>
  <w:style w:type="character" w:customStyle="1" w:styleId="257">
    <w:name w:val="标题 4 字符"/>
    <w:semiHidden/>
    <w:qFormat/>
    <w:uiPriority w:val="9"/>
    <w:rPr>
      <w:rFonts w:ascii="Cambria" w:hAnsi="Cambria" w:eastAsia="宋体" w:cs="Times New Roman"/>
      <w:b/>
      <w:bCs/>
      <w:sz w:val="28"/>
      <w:szCs w:val="28"/>
    </w:rPr>
  </w:style>
  <w:style w:type="character" w:customStyle="1" w:styleId="258">
    <w:name w:val="标题 5 字符"/>
    <w:semiHidden/>
    <w:qFormat/>
    <w:uiPriority w:val="9"/>
    <w:rPr>
      <w:rFonts w:ascii="Times New Roman" w:hAnsi="Times New Roman" w:eastAsia="宋体" w:cs="Times New Roman"/>
      <w:b/>
      <w:bCs/>
      <w:sz w:val="28"/>
      <w:szCs w:val="28"/>
    </w:rPr>
  </w:style>
  <w:style w:type="character" w:customStyle="1" w:styleId="259">
    <w:name w:val="标题 6 字符"/>
    <w:semiHidden/>
    <w:qFormat/>
    <w:uiPriority w:val="9"/>
    <w:rPr>
      <w:rFonts w:ascii="Cambria" w:hAnsi="Cambria" w:eastAsia="宋体" w:cs="Times New Roman"/>
      <w:b/>
      <w:bCs/>
      <w:sz w:val="24"/>
      <w:szCs w:val="24"/>
    </w:rPr>
  </w:style>
  <w:style w:type="character" w:customStyle="1" w:styleId="260">
    <w:name w:val="标题 7 字符"/>
    <w:semiHidden/>
    <w:qFormat/>
    <w:uiPriority w:val="9"/>
    <w:rPr>
      <w:rFonts w:ascii="Times New Roman" w:hAnsi="Times New Roman" w:eastAsia="宋体" w:cs="Times New Roman"/>
      <w:b/>
      <w:bCs/>
      <w:sz w:val="24"/>
      <w:szCs w:val="24"/>
    </w:rPr>
  </w:style>
  <w:style w:type="character" w:customStyle="1" w:styleId="261">
    <w:name w:val="标题 8 字符"/>
    <w:semiHidden/>
    <w:qFormat/>
    <w:uiPriority w:val="9"/>
    <w:rPr>
      <w:rFonts w:ascii="Cambria" w:hAnsi="Cambria" w:eastAsia="宋体" w:cs="Times New Roman"/>
      <w:sz w:val="24"/>
      <w:szCs w:val="24"/>
    </w:rPr>
  </w:style>
  <w:style w:type="character" w:customStyle="1" w:styleId="262">
    <w:name w:val="标题 9 字符"/>
    <w:semiHidden/>
    <w:qFormat/>
    <w:uiPriority w:val="9"/>
    <w:rPr>
      <w:rFonts w:ascii="Cambria" w:hAnsi="Cambria" w:eastAsia="宋体" w:cs="Times New Roman"/>
      <w:szCs w:val="21"/>
    </w:rPr>
  </w:style>
  <w:style w:type="character" w:customStyle="1" w:styleId="263">
    <w:name w:val="标题 字符"/>
    <w:qFormat/>
    <w:uiPriority w:val="10"/>
    <w:rPr>
      <w:rFonts w:ascii="Cambria" w:hAnsi="Cambria" w:eastAsia="宋体" w:cs="Times New Roman"/>
      <w:b/>
      <w:bCs/>
      <w:sz w:val="32"/>
      <w:szCs w:val="32"/>
    </w:rPr>
  </w:style>
  <w:style w:type="character" w:customStyle="1" w:styleId="264">
    <w:name w:val="文档结构图 字符"/>
    <w:semiHidden/>
    <w:qFormat/>
    <w:uiPriority w:val="99"/>
    <w:rPr>
      <w:rFonts w:ascii="Microsoft YaHei UI" w:hAnsi="Times New Roman" w:eastAsia="Microsoft YaHei UI" w:cs="Times New Roman"/>
      <w:sz w:val="18"/>
      <w:szCs w:val="18"/>
    </w:rPr>
  </w:style>
  <w:style w:type="character" w:customStyle="1" w:styleId="265">
    <w:name w:val="正文文本缩进 2 字符"/>
    <w:semiHidden/>
    <w:qFormat/>
    <w:uiPriority w:val="99"/>
    <w:rPr>
      <w:rFonts w:ascii="Times New Roman" w:hAnsi="Times New Roman" w:eastAsia="宋体" w:cs="Times New Roman"/>
      <w:szCs w:val="24"/>
    </w:rPr>
  </w:style>
  <w:style w:type="character" w:customStyle="1" w:styleId="266">
    <w:name w:val="日期 字符"/>
    <w:semiHidden/>
    <w:qFormat/>
    <w:uiPriority w:val="99"/>
    <w:rPr>
      <w:rFonts w:ascii="Times New Roman" w:hAnsi="Times New Roman" w:eastAsia="宋体" w:cs="Times New Roman"/>
      <w:szCs w:val="24"/>
    </w:rPr>
  </w:style>
  <w:style w:type="character" w:customStyle="1" w:styleId="267">
    <w:name w:val="正文文本缩进 3 字符"/>
    <w:semiHidden/>
    <w:qFormat/>
    <w:uiPriority w:val="99"/>
    <w:rPr>
      <w:rFonts w:ascii="Times New Roman" w:hAnsi="Times New Roman" w:eastAsia="宋体" w:cs="Times New Roman"/>
      <w:sz w:val="16"/>
      <w:szCs w:val="16"/>
    </w:rPr>
  </w:style>
  <w:style w:type="character" w:customStyle="1" w:styleId="268">
    <w:name w:val="正文文本 字符"/>
    <w:semiHidden/>
    <w:qFormat/>
    <w:uiPriority w:val="99"/>
    <w:rPr>
      <w:rFonts w:ascii="Times New Roman" w:hAnsi="Times New Roman" w:eastAsia="宋体" w:cs="Times New Roman"/>
      <w:szCs w:val="24"/>
    </w:rPr>
  </w:style>
  <w:style w:type="character" w:customStyle="1" w:styleId="269">
    <w:name w:val="正文文本 2 字符"/>
    <w:semiHidden/>
    <w:qFormat/>
    <w:uiPriority w:val="99"/>
    <w:rPr>
      <w:rFonts w:ascii="Times New Roman" w:hAnsi="Times New Roman" w:eastAsia="宋体" w:cs="Times New Roman"/>
      <w:szCs w:val="24"/>
    </w:rPr>
  </w:style>
  <w:style w:type="character" w:customStyle="1" w:styleId="270">
    <w:name w:val="注释标题 字符"/>
    <w:semiHidden/>
    <w:qFormat/>
    <w:uiPriority w:val="99"/>
    <w:rPr>
      <w:rFonts w:ascii="Times New Roman" w:hAnsi="Times New Roman" w:eastAsia="宋体" w:cs="Times New Roman"/>
      <w:szCs w:val="24"/>
    </w:rPr>
  </w:style>
  <w:style w:type="character" w:customStyle="1" w:styleId="271">
    <w:name w:val="正文文本 3 字符"/>
    <w:semiHidden/>
    <w:qFormat/>
    <w:uiPriority w:val="99"/>
    <w:rPr>
      <w:rFonts w:ascii="Times New Roman" w:hAnsi="Times New Roman" w:eastAsia="宋体" w:cs="Times New Roman"/>
      <w:sz w:val="16"/>
      <w:szCs w:val="16"/>
    </w:rPr>
  </w:style>
  <w:style w:type="character" w:customStyle="1" w:styleId="272">
    <w:name w:val="HTML 预设格式 字符"/>
    <w:semiHidden/>
    <w:qFormat/>
    <w:uiPriority w:val="99"/>
    <w:rPr>
      <w:rFonts w:ascii="Courier New" w:hAnsi="Courier New" w:eastAsia="宋体" w:cs="Courier New"/>
      <w:sz w:val="20"/>
      <w:szCs w:val="20"/>
    </w:rPr>
  </w:style>
  <w:style w:type="character" w:customStyle="1" w:styleId="273">
    <w:name w:val="正文文本首行缩进 2 字符"/>
    <w:semiHidden/>
    <w:qFormat/>
    <w:uiPriority w:val="99"/>
  </w:style>
  <w:style w:type="character" w:customStyle="1" w:styleId="274">
    <w:name w:val="正文文本首行缩进 字符"/>
    <w:semiHidden/>
    <w:qFormat/>
    <w:uiPriority w:val="99"/>
  </w:style>
  <w:style w:type="character" w:customStyle="1" w:styleId="275">
    <w:name w:val="尾注文本 字符"/>
    <w:semiHidden/>
    <w:qFormat/>
    <w:uiPriority w:val="99"/>
    <w:rPr>
      <w:rFonts w:ascii="Times New Roman" w:hAnsi="Times New Roman" w:eastAsia="宋体" w:cs="Times New Roman"/>
      <w:szCs w:val="24"/>
    </w:rPr>
  </w:style>
  <w:style w:type="character" w:customStyle="1" w:styleId="276">
    <w:name w:val="脚注文本 字符"/>
    <w:semiHidden/>
    <w:qFormat/>
    <w:uiPriority w:val="99"/>
    <w:rPr>
      <w:rFonts w:ascii="Times New Roman" w:hAnsi="Times New Roman" w:eastAsia="宋体" w:cs="Times New Roman"/>
      <w:sz w:val="18"/>
      <w:szCs w:val="18"/>
    </w:rPr>
  </w:style>
  <w:style w:type="character" w:customStyle="1" w:styleId="277">
    <w:name w:val="未处理的提及2"/>
    <w:unhideWhenUsed/>
    <w:qFormat/>
    <w:uiPriority w:val="99"/>
    <w:rPr>
      <w:color w:val="605E5C"/>
      <w:shd w:val="clear" w:color="auto" w:fill="E1DFDD"/>
    </w:rPr>
  </w:style>
  <w:style w:type="character" w:customStyle="1" w:styleId="278">
    <w:name w:val="description"/>
    <w:qFormat/>
    <w:uiPriority w:val="0"/>
  </w:style>
  <w:style w:type="character" w:customStyle="1" w:styleId="279">
    <w:name w:val="标题 1 字符1"/>
    <w:qFormat/>
    <w:uiPriority w:val="9"/>
    <w:rPr>
      <w:rFonts w:ascii="Times New Roman" w:hAnsi="华文中宋" w:eastAsia="黑体" w:cs="Times New Roman"/>
      <w:bCs/>
      <w:kern w:val="44"/>
      <w:sz w:val="36"/>
      <w:szCs w:val="44"/>
    </w:rPr>
  </w:style>
  <w:style w:type="character" w:customStyle="1" w:styleId="280">
    <w:name w:val="标题 2 字符1"/>
    <w:qFormat/>
    <w:uiPriority w:val="0"/>
    <w:rPr>
      <w:rFonts w:ascii="黑体" w:hAnsi="黑体" w:eastAsia="黑体" w:cs="Times New Roman"/>
      <w:bCs/>
      <w:sz w:val="28"/>
      <w:szCs w:val="28"/>
    </w:rPr>
  </w:style>
  <w:style w:type="character" w:customStyle="1" w:styleId="281">
    <w:name w:val="标题 3 字符1"/>
    <w:qFormat/>
    <w:uiPriority w:val="0"/>
    <w:rPr>
      <w:rFonts w:ascii="Times New Roman" w:hAnsi="宋体" w:eastAsia="黑体" w:cs="Times New Roman"/>
      <w:bCs/>
      <w:sz w:val="24"/>
      <w:szCs w:val="24"/>
    </w:rPr>
  </w:style>
  <w:style w:type="character" w:customStyle="1" w:styleId="282">
    <w:name w:val="标题 4 字符1"/>
    <w:qFormat/>
    <w:uiPriority w:val="0"/>
    <w:rPr>
      <w:rFonts w:ascii="Times New Roman" w:hAnsi="Times New Roman" w:eastAsia="楷体_GB2312" w:cs="Times New Roman"/>
      <w:bCs/>
      <w:snapToGrid/>
      <w:kern w:val="0"/>
      <w:szCs w:val="24"/>
    </w:rPr>
  </w:style>
  <w:style w:type="character" w:customStyle="1" w:styleId="283">
    <w:name w:val="标题 5 字符1"/>
    <w:qFormat/>
    <w:uiPriority w:val="0"/>
    <w:rPr>
      <w:rFonts w:ascii="Times New Roman" w:hAnsi="Times New Roman" w:eastAsia="宋体" w:cs="Times New Roman"/>
      <w:b/>
      <w:bCs/>
      <w:sz w:val="28"/>
      <w:szCs w:val="28"/>
    </w:rPr>
  </w:style>
  <w:style w:type="character" w:customStyle="1" w:styleId="284">
    <w:name w:val="标题 6 字符1"/>
    <w:qFormat/>
    <w:uiPriority w:val="0"/>
    <w:rPr>
      <w:rFonts w:ascii="Arial" w:hAnsi="Arial" w:eastAsia="黑体" w:cs="Times New Roman"/>
      <w:b/>
      <w:bCs/>
      <w:sz w:val="24"/>
      <w:szCs w:val="24"/>
    </w:rPr>
  </w:style>
  <w:style w:type="character" w:customStyle="1" w:styleId="285">
    <w:name w:val="标题 7 字符1"/>
    <w:qFormat/>
    <w:uiPriority w:val="0"/>
    <w:rPr>
      <w:rFonts w:ascii="Times New Roman" w:hAnsi="Times New Roman" w:eastAsia="宋体" w:cs="Times New Roman"/>
      <w:b/>
      <w:bCs/>
      <w:sz w:val="24"/>
      <w:szCs w:val="24"/>
    </w:rPr>
  </w:style>
  <w:style w:type="character" w:customStyle="1" w:styleId="286">
    <w:name w:val="标题 8 字符1"/>
    <w:qFormat/>
    <w:uiPriority w:val="0"/>
    <w:rPr>
      <w:rFonts w:ascii="Arial" w:hAnsi="Arial" w:eastAsia="黑体" w:cs="Times New Roman"/>
      <w:sz w:val="24"/>
      <w:szCs w:val="24"/>
    </w:rPr>
  </w:style>
  <w:style w:type="character" w:customStyle="1" w:styleId="287">
    <w:name w:val="标题 9 字符1"/>
    <w:qFormat/>
    <w:uiPriority w:val="0"/>
    <w:rPr>
      <w:rFonts w:ascii="Arial" w:hAnsi="Arial" w:eastAsia="黑体" w:cs="Times New Roman"/>
      <w:szCs w:val="21"/>
    </w:rPr>
  </w:style>
  <w:style w:type="character" w:customStyle="1" w:styleId="288">
    <w:name w:val="标题 字符1"/>
    <w:qFormat/>
    <w:uiPriority w:val="0"/>
    <w:rPr>
      <w:rFonts w:ascii="Arial" w:hAnsi="Arial" w:eastAsia="仿宋_GB2312" w:cs="Times New Roman"/>
      <w:b/>
      <w:bCs/>
      <w:kern w:val="0"/>
      <w:sz w:val="32"/>
      <w:szCs w:val="32"/>
    </w:rPr>
  </w:style>
  <w:style w:type="character" w:customStyle="1" w:styleId="289">
    <w:name w:val="批注框文本 字符1"/>
    <w:semiHidden/>
    <w:qFormat/>
    <w:uiPriority w:val="99"/>
    <w:rPr>
      <w:rFonts w:ascii="Times New Roman" w:hAnsi="Times New Roman" w:eastAsia="宋体" w:cs="Times New Roman"/>
      <w:sz w:val="18"/>
      <w:szCs w:val="18"/>
    </w:rPr>
  </w:style>
  <w:style w:type="character" w:customStyle="1" w:styleId="290">
    <w:name w:val="正文文本缩进 字符1"/>
    <w:qFormat/>
    <w:uiPriority w:val="0"/>
    <w:rPr>
      <w:rFonts w:ascii="Times New Roman" w:hAnsi="Times New Roman" w:eastAsia="宋体" w:cs="Times New Roman"/>
      <w:szCs w:val="24"/>
    </w:rPr>
  </w:style>
  <w:style w:type="character" w:customStyle="1" w:styleId="291">
    <w:name w:val="题注 字符"/>
    <w:qFormat/>
    <w:uiPriority w:val="0"/>
    <w:rPr>
      <w:rFonts w:ascii="Arial" w:hAnsi="Arial" w:eastAsia="黑体" w:cs="Times New Roman"/>
      <w:kern w:val="0"/>
      <w:sz w:val="20"/>
      <w:szCs w:val="20"/>
    </w:rPr>
  </w:style>
  <w:style w:type="character" w:customStyle="1" w:styleId="292">
    <w:name w:val="文档结构图 字符1"/>
    <w:semiHidden/>
    <w:qFormat/>
    <w:uiPriority w:val="99"/>
    <w:rPr>
      <w:rFonts w:ascii="宋体" w:hAnsi="Times New Roman" w:eastAsia="宋体" w:cs="Times New Roman"/>
      <w:sz w:val="18"/>
      <w:szCs w:val="18"/>
    </w:rPr>
  </w:style>
  <w:style w:type="character" w:customStyle="1" w:styleId="293">
    <w:name w:val="正文缩进 字符"/>
    <w:qFormat/>
    <w:uiPriority w:val="0"/>
    <w:rPr>
      <w:rFonts w:ascii="Times New Roman" w:hAnsi="Times New Roman" w:eastAsia="宋体" w:cs="Times New Roman"/>
      <w:sz w:val="28"/>
      <w:szCs w:val="20"/>
    </w:rPr>
  </w:style>
  <w:style w:type="character" w:customStyle="1" w:styleId="294">
    <w:name w:val="正文文本缩进 2 字符1"/>
    <w:qFormat/>
    <w:uiPriority w:val="0"/>
    <w:rPr>
      <w:rFonts w:ascii="宋体" w:hAnsi="宋体" w:eastAsia="宋体" w:cs="Times New Roman"/>
      <w:sz w:val="24"/>
      <w:szCs w:val="24"/>
    </w:rPr>
  </w:style>
  <w:style w:type="character" w:customStyle="1" w:styleId="295">
    <w:name w:val="纯文本 字符1"/>
    <w:qFormat/>
    <w:uiPriority w:val="0"/>
    <w:rPr>
      <w:rFonts w:ascii="宋体" w:hAnsi="Courier New" w:eastAsia="宋体" w:cs="Times New Roman"/>
      <w:szCs w:val="24"/>
    </w:rPr>
  </w:style>
  <w:style w:type="character" w:customStyle="1" w:styleId="296">
    <w:name w:val="日期 字符1"/>
    <w:qFormat/>
    <w:uiPriority w:val="0"/>
    <w:rPr>
      <w:rFonts w:ascii="Times New Roman" w:hAnsi="Times New Roman" w:eastAsia="宋体" w:cs="Times New Roman"/>
      <w:sz w:val="28"/>
      <w:szCs w:val="20"/>
    </w:rPr>
  </w:style>
  <w:style w:type="character" w:customStyle="1" w:styleId="297">
    <w:name w:val="正文文本缩进 3 字符1"/>
    <w:qFormat/>
    <w:uiPriority w:val="0"/>
    <w:rPr>
      <w:rFonts w:ascii="Times New Roman" w:hAnsi="Times New Roman" w:eastAsia="宋体" w:cs="Times New Roman"/>
      <w:sz w:val="16"/>
      <w:szCs w:val="16"/>
    </w:rPr>
  </w:style>
  <w:style w:type="character" w:customStyle="1" w:styleId="298">
    <w:name w:val="正文文本 字符1"/>
    <w:qFormat/>
    <w:uiPriority w:val="0"/>
    <w:rPr>
      <w:rFonts w:ascii="Times New Roman" w:hAnsi="Times New Roman" w:eastAsia="宋体" w:cs="Times New Roman"/>
      <w:sz w:val="24"/>
      <w:szCs w:val="20"/>
    </w:rPr>
  </w:style>
  <w:style w:type="character" w:customStyle="1" w:styleId="299">
    <w:name w:val="正文文本 2 字符1"/>
    <w:qFormat/>
    <w:uiPriority w:val="0"/>
    <w:rPr>
      <w:rFonts w:ascii="Times New Roman" w:hAnsi="Times New Roman" w:eastAsia="宋体" w:cs="Times New Roman"/>
      <w:b/>
      <w:color w:val="FF0000"/>
      <w:sz w:val="15"/>
      <w:szCs w:val="24"/>
    </w:rPr>
  </w:style>
  <w:style w:type="character" w:customStyle="1" w:styleId="300">
    <w:name w:val="注释标题 字符1"/>
    <w:qFormat/>
    <w:uiPriority w:val="0"/>
    <w:rPr>
      <w:rFonts w:ascii="Times New Roman" w:hAnsi="Times New Roman" w:eastAsia="宋体" w:cs="Times New Roman"/>
      <w:szCs w:val="20"/>
    </w:rPr>
  </w:style>
  <w:style w:type="character" w:customStyle="1" w:styleId="301">
    <w:name w:val="正文文本 3 字符1"/>
    <w:qFormat/>
    <w:uiPriority w:val="0"/>
    <w:rPr>
      <w:rFonts w:ascii="Times New Roman" w:hAnsi="Times New Roman" w:eastAsia="宋体" w:cs="Times New Roman"/>
      <w:sz w:val="16"/>
      <w:szCs w:val="16"/>
    </w:rPr>
  </w:style>
  <w:style w:type="character" w:customStyle="1" w:styleId="302">
    <w:name w:val="HTML 预设格式 字符1"/>
    <w:qFormat/>
    <w:uiPriority w:val="0"/>
    <w:rPr>
      <w:rFonts w:ascii="Courier New" w:hAnsi="Courier New" w:eastAsia="宋体" w:cs="Times New Roman"/>
      <w:sz w:val="20"/>
      <w:szCs w:val="20"/>
    </w:rPr>
  </w:style>
  <w:style w:type="character" w:customStyle="1" w:styleId="303">
    <w:name w:val="正文文本首行缩进 2 字符1"/>
    <w:qFormat/>
    <w:uiPriority w:val="0"/>
    <w:rPr>
      <w:rFonts w:ascii="宋体" w:hAnsi="Times New Roman" w:eastAsia="宋体" w:cs="Times New Roman"/>
      <w:sz w:val="28"/>
      <w:szCs w:val="24"/>
    </w:rPr>
  </w:style>
  <w:style w:type="character" w:customStyle="1" w:styleId="304">
    <w:name w:val="正文文本首行缩进 字符1"/>
    <w:qFormat/>
    <w:uiPriority w:val="0"/>
    <w:rPr>
      <w:rFonts w:ascii="宋体" w:hAnsi="宋体" w:eastAsia="宋体" w:cs="Times New Roman"/>
      <w:sz w:val="24"/>
      <w:szCs w:val="20"/>
    </w:rPr>
  </w:style>
  <w:style w:type="character" w:customStyle="1" w:styleId="305">
    <w:name w:val="尾注文本 字符1"/>
    <w:qFormat/>
    <w:uiPriority w:val="99"/>
    <w:rPr>
      <w:rFonts w:ascii="Times New Roman" w:hAnsi="Times New Roman" w:eastAsia="宋体" w:cs="Times New Roman"/>
      <w:szCs w:val="24"/>
    </w:rPr>
  </w:style>
  <w:style w:type="character" w:customStyle="1" w:styleId="306">
    <w:name w:val="批注文字 字符1"/>
    <w:qFormat/>
    <w:uiPriority w:val="0"/>
    <w:rPr>
      <w:rFonts w:ascii="Times New Roman" w:hAnsi="Times New Roman" w:eastAsia="仿宋_GB2312" w:cs="Times New Roman"/>
      <w:sz w:val="24"/>
      <w:szCs w:val="24"/>
    </w:rPr>
  </w:style>
  <w:style w:type="character" w:customStyle="1" w:styleId="307">
    <w:name w:val="批注主题 字符1"/>
    <w:semiHidden/>
    <w:qFormat/>
    <w:uiPriority w:val="99"/>
    <w:rPr>
      <w:rFonts w:ascii="Times New Roman" w:hAnsi="Times New Roman" w:eastAsia="仿宋_GB2312" w:cs="Times New Roman"/>
      <w:b/>
      <w:bCs/>
      <w:sz w:val="24"/>
      <w:szCs w:val="24"/>
    </w:rPr>
  </w:style>
  <w:style w:type="character" w:customStyle="1" w:styleId="308">
    <w:name w:val="脚注文本 字符1"/>
    <w:semiHidden/>
    <w:qFormat/>
    <w:uiPriority w:val="0"/>
    <w:rPr>
      <w:rFonts w:ascii="Times New Roman" w:hAnsi="Times New Roman" w:eastAsia="仿宋_GB2312" w:cs="Times New Roman"/>
      <w:sz w:val="18"/>
      <w:szCs w:val="18"/>
    </w:rPr>
  </w:style>
  <w:style w:type="character" w:customStyle="1" w:styleId="309">
    <w:name w:val="未处理的提及11"/>
    <w:unhideWhenUsed/>
    <w:qFormat/>
    <w:uiPriority w:val="99"/>
    <w:rPr>
      <w:color w:val="605E5C"/>
      <w:shd w:val="clear" w:color="auto" w:fill="E1DFDD"/>
    </w:rPr>
  </w:style>
  <w:style w:type="character" w:customStyle="1" w:styleId="310">
    <w:name w:val="未处理的提及21"/>
    <w:unhideWhenUsed/>
    <w:qFormat/>
    <w:uiPriority w:val="99"/>
    <w:rPr>
      <w:color w:val="605E5C"/>
      <w:shd w:val="clear" w:color="auto" w:fill="E1DFDD"/>
    </w:rPr>
  </w:style>
  <w:style w:type="paragraph" w:customStyle="1" w:styleId="311">
    <w:name w:val="标-5"/>
    <w:basedOn w:val="1"/>
    <w:qFormat/>
    <w:uiPriority w:val="0"/>
    <w:pPr>
      <w:tabs>
        <w:tab w:val="right" w:leader="dot" w:pos="8789"/>
      </w:tabs>
      <w:spacing w:line="360" w:lineRule="auto"/>
      <w:ind w:firstLine="523" w:firstLineChars="218"/>
    </w:pPr>
    <w:rPr>
      <w:sz w:val="24"/>
      <w:szCs w:val="20"/>
    </w:rPr>
  </w:style>
  <w:style w:type="paragraph" w:customStyle="1" w:styleId="312">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313">
    <w:name w:val="Z小节标题"/>
    <w:basedOn w:val="314"/>
    <w:next w:val="1"/>
    <w:qFormat/>
    <w:uiPriority w:val="0"/>
    <w:pPr>
      <w:tabs>
        <w:tab w:val="left" w:pos="360"/>
        <w:tab w:val="left" w:pos="432"/>
        <w:tab w:val="left" w:pos="4572"/>
      </w:tabs>
      <w:ind w:left="720" w:hanging="720"/>
      <w:outlineLvl w:val="2"/>
    </w:pPr>
    <w:rPr>
      <w:sz w:val="28"/>
    </w:rPr>
  </w:style>
  <w:style w:type="paragraph" w:customStyle="1" w:styleId="314">
    <w:name w:val="Z节标题"/>
    <w:basedOn w:val="315"/>
    <w:qFormat/>
    <w:uiPriority w:val="0"/>
    <w:pPr>
      <w:tabs>
        <w:tab w:val="left" w:pos="360"/>
        <w:tab w:val="left" w:pos="432"/>
        <w:tab w:val="left" w:pos="4572"/>
      </w:tabs>
      <w:spacing w:line="240" w:lineRule="auto"/>
      <w:ind w:left="4716" w:hanging="576"/>
      <w:jc w:val="left"/>
      <w:outlineLvl w:val="1"/>
    </w:pPr>
    <w:rPr>
      <w:rFonts w:eastAsia="仿宋_GB2312"/>
      <w:sz w:val="30"/>
    </w:rPr>
  </w:style>
  <w:style w:type="paragraph" w:customStyle="1" w:styleId="315">
    <w:name w:val="Z章标题"/>
    <w:basedOn w:val="2"/>
    <w:next w:val="2"/>
    <w:qFormat/>
    <w:uiPriority w:val="0"/>
    <w:pPr>
      <w:pageBreakBefore w:val="0"/>
      <w:tabs>
        <w:tab w:val="left" w:pos="360"/>
        <w:tab w:val="left" w:pos="4572"/>
      </w:tabs>
      <w:spacing w:beforeLines="0" w:afterLines="0"/>
      <w:ind w:left="0" w:firstLine="0"/>
    </w:pPr>
    <w:rPr>
      <w:rFonts w:eastAsia="楷体_GB2312" w:cs="Arial"/>
      <w:sz w:val="32"/>
      <w:szCs w:val="32"/>
    </w:rPr>
  </w:style>
  <w:style w:type="paragraph" w:customStyle="1" w:styleId="316">
    <w:name w:val="xl8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17">
    <w:name w:val="样式 正文缩进正文（首行缩进两字） + 宋体 行距: 1.5 倍行距"/>
    <w:basedOn w:val="15"/>
    <w:qFormat/>
    <w:uiPriority w:val="0"/>
    <w:pPr>
      <w:adjustRightInd w:val="0"/>
      <w:spacing w:line="300" w:lineRule="auto"/>
      <w:ind w:firstLine="482"/>
      <w:jc w:val="left"/>
      <w:textAlignment w:val="baseline"/>
    </w:pPr>
    <w:rPr>
      <w:rFonts w:ascii="宋体" w:hAnsi="宋体"/>
      <w:sz w:val="24"/>
    </w:rPr>
  </w:style>
  <w:style w:type="paragraph" w:customStyle="1" w:styleId="318">
    <w:name w:val="中文报告书样式"/>
    <w:basedOn w:val="1"/>
    <w:qFormat/>
    <w:uiPriority w:val="0"/>
    <w:pPr>
      <w:adjustRightInd w:val="0"/>
      <w:spacing w:line="480" w:lineRule="atLeast"/>
      <w:ind w:firstLine="482"/>
    </w:pPr>
    <w:rPr>
      <w:kern w:val="24"/>
      <w:sz w:val="24"/>
      <w:szCs w:val="20"/>
    </w:rPr>
  </w:style>
  <w:style w:type="paragraph" w:customStyle="1" w:styleId="319">
    <w:name w:val="ST20_3"/>
    <w:basedOn w:val="1"/>
    <w:qFormat/>
    <w:uiPriority w:val="0"/>
    <w:pPr>
      <w:keepLines/>
      <w:tabs>
        <w:tab w:val="center" w:pos="4320"/>
        <w:tab w:val="right" w:pos="8640"/>
      </w:tabs>
      <w:autoSpaceDE w:val="0"/>
      <w:autoSpaceDN w:val="0"/>
      <w:adjustRightInd w:val="0"/>
      <w:spacing w:line="360" w:lineRule="atLeast"/>
      <w:jc w:val="left"/>
      <w:textAlignment w:val="baseline"/>
    </w:pPr>
    <w:rPr>
      <w:rFonts w:ascii="宋体" w:hAnsi="Tms Rmn"/>
      <w:kern w:val="0"/>
      <w:sz w:val="28"/>
      <w:szCs w:val="20"/>
    </w:rPr>
  </w:style>
  <w:style w:type="paragraph" w:customStyle="1" w:styleId="320">
    <w:name w:val="Char Char Char Char"/>
    <w:basedOn w:val="1"/>
    <w:qFormat/>
    <w:uiPriority w:val="0"/>
    <w:rPr>
      <w:sz w:val="24"/>
    </w:rPr>
  </w:style>
  <w:style w:type="paragraph" w:customStyle="1" w:styleId="321">
    <w:name w:val="第五章表头"/>
    <w:basedOn w:val="1"/>
    <w:qFormat/>
    <w:uiPriority w:val="0"/>
    <w:pPr>
      <w:spacing w:line="360" w:lineRule="auto"/>
      <w:ind w:left="420"/>
      <w:jc w:val="center"/>
    </w:pPr>
    <w:rPr>
      <w:b/>
      <w:color w:val="0000FF"/>
      <w:sz w:val="24"/>
    </w:rPr>
  </w:style>
  <w:style w:type="paragraph" w:customStyle="1" w:styleId="322">
    <w:name w:val="Z表格标题"/>
    <w:basedOn w:val="1"/>
    <w:qFormat/>
    <w:uiPriority w:val="0"/>
    <w:pPr>
      <w:adjustRightInd w:val="0"/>
      <w:snapToGrid w:val="0"/>
      <w:spacing w:line="360" w:lineRule="auto"/>
      <w:ind w:left="7884" w:hanging="1584"/>
      <w:jc w:val="center"/>
      <w:outlineLvl w:val="8"/>
    </w:pPr>
    <w:rPr>
      <w:rFonts w:ascii="黑体" w:eastAsia="黑体"/>
      <w:sz w:val="30"/>
      <w:szCs w:val="20"/>
    </w:rPr>
  </w:style>
  <w:style w:type="paragraph" w:customStyle="1" w:styleId="32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Cs w:val="21"/>
    </w:rPr>
  </w:style>
  <w:style w:type="paragraph" w:customStyle="1" w:styleId="324">
    <w:name w:val="ISO标题3内文"/>
    <w:qFormat/>
    <w:uiPriority w:val="0"/>
    <w:pPr>
      <w:ind w:left="1620"/>
    </w:pPr>
    <w:rPr>
      <w:rFonts w:ascii="宋体" w:hAnsi="宋体" w:eastAsia="宋体" w:cs="Times New Roman"/>
      <w:color w:val="000000"/>
      <w:sz w:val="24"/>
      <w:szCs w:val="24"/>
      <w:lang w:val="en-US" w:eastAsia="zh-CN" w:bidi="ar-SA"/>
    </w:rPr>
  </w:style>
  <w:style w:type="paragraph" w:customStyle="1" w:styleId="325">
    <w:name w:val="表内式样"/>
    <w:qFormat/>
    <w:uiPriority w:val="0"/>
    <w:pPr>
      <w:widowControl w:val="0"/>
      <w:spacing w:line="320" w:lineRule="exact"/>
      <w:jc w:val="center"/>
    </w:pPr>
    <w:rPr>
      <w:rFonts w:ascii="Times New Roman" w:hAnsi="Times New Roman" w:eastAsia="宋体" w:cs="Times New Roman"/>
      <w:color w:val="0000FF"/>
      <w:kern w:val="2"/>
      <w:sz w:val="21"/>
      <w:szCs w:val="21"/>
      <w:lang w:val="en-US" w:eastAsia="zh-CN" w:bidi="ar-SA"/>
    </w:rPr>
  </w:style>
  <w:style w:type="paragraph" w:customStyle="1" w:styleId="326">
    <w:name w:val="可研报告正文"/>
    <w:basedOn w:val="1"/>
    <w:qFormat/>
    <w:uiPriority w:val="0"/>
    <w:pPr>
      <w:tabs>
        <w:tab w:val="left" w:pos="5880"/>
      </w:tabs>
      <w:spacing w:beforeLines="50" w:line="440" w:lineRule="exact"/>
      <w:ind w:left="425" w:firstLine="482"/>
    </w:pPr>
    <w:rPr>
      <w:sz w:val="24"/>
    </w:rPr>
  </w:style>
  <w:style w:type="paragraph" w:customStyle="1" w:styleId="327">
    <w:name w:val="Style Heading 4 + Sabon Not Bold"/>
    <w:basedOn w:val="5"/>
    <w:qFormat/>
    <w:uiPriority w:val="0"/>
    <w:pPr>
      <w:widowControl/>
      <w:spacing w:before="240" w:line="240" w:lineRule="auto"/>
    </w:pPr>
    <w:rPr>
      <w:rFonts w:ascii="Sabon" w:hAnsi="Sabon" w:eastAsia="宋体"/>
      <w:sz w:val="22"/>
      <w:szCs w:val="20"/>
      <w:lang w:eastAsia="en-US"/>
    </w:rPr>
  </w:style>
  <w:style w:type="paragraph" w:customStyle="1" w:styleId="328">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329">
    <w:name w:val="四级条标题"/>
    <w:basedOn w:val="330"/>
    <w:next w:val="1"/>
    <w:qFormat/>
    <w:uiPriority w:val="0"/>
    <w:pPr>
      <w:tabs>
        <w:tab w:val="left" w:pos="432"/>
        <w:tab w:val="left" w:pos="1680"/>
        <w:tab w:val="left" w:pos="2100"/>
        <w:tab w:val="left" w:pos="2520"/>
      </w:tabs>
      <w:outlineLvl w:val="5"/>
    </w:pPr>
  </w:style>
  <w:style w:type="paragraph" w:customStyle="1" w:styleId="330">
    <w:name w:val="三级条标题"/>
    <w:basedOn w:val="331"/>
    <w:next w:val="1"/>
    <w:qFormat/>
    <w:uiPriority w:val="0"/>
    <w:pPr>
      <w:tabs>
        <w:tab w:val="left" w:pos="432"/>
        <w:tab w:val="left" w:pos="1680"/>
        <w:tab w:val="left" w:pos="2100"/>
      </w:tabs>
      <w:outlineLvl w:val="4"/>
    </w:pPr>
  </w:style>
  <w:style w:type="paragraph" w:customStyle="1" w:styleId="331">
    <w:name w:val="二级条标题"/>
    <w:basedOn w:val="332"/>
    <w:next w:val="1"/>
    <w:qFormat/>
    <w:uiPriority w:val="0"/>
    <w:pPr>
      <w:tabs>
        <w:tab w:val="left" w:pos="432"/>
        <w:tab w:val="left" w:pos="1680"/>
      </w:tabs>
      <w:outlineLvl w:val="3"/>
    </w:pPr>
  </w:style>
  <w:style w:type="paragraph" w:customStyle="1" w:styleId="332">
    <w:name w:val="一级条标题"/>
    <w:basedOn w:val="2"/>
    <w:next w:val="1"/>
    <w:qFormat/>
    <w:uiPriority w:val="0"/>
    <w:pPr>
      <w:keepNext w:val="0"/>
      <w:keepLines w:val="0"/>
      <w:pageBreakBefore w:val="0"/>
      <w:widowControl/>
      <w:spacing w:beforeLines="0" w:afterLines="0" w:line="240" w:lineRule="auto"/>
      <w:ind w:left="0" w:firstLine="0"/>
      <w:jc w:val="both"/>
      <w:outlineLvl w:val="2"/>
    </w:pPr>
    <w:rPr>
      <w:rFonts w:ascii="黑体"/>
      <w:b/>
      <w:bCs w:val="0"/>
      <w:kern w:val="0"/>
      <w:sz w:val="21"/>
      <w:szCs w:val="20"/>
    </w:rPr>
  </w:style>
  <w:style w:type="paragraph" w:customStyle="1" w:styleId="333">
    <w:name w:val="xl68"/>
    <w:basedOn w:val="1"/>
    <w:qFormat/>
    <w:uiPriority w:val="0"/>
    <w:pPr>
      <w:widowControl/>
      <w:pBdr>
        <w:top w:val="single" w:color="auto" w:sz="4" w:space="0"/>
        <w:bottom w:val="single" w:color="auto" w:sz="4" w:space="0"/>
        <w:right w:val="single" w:color="auto" w:sz="4" w:space="0"/>
      </w:pBdr>
      <w:spacing w:before="100" w:after="100"/>
      <w:jc w:val="right"/>
    </w:pPr>
    <w:rPr>
      <w:rFonts w:ascii="Arial Unicode MS" w:hAnsi="Arial Unicode MS" w:eastAsia="Arial Unicode MS"/>
      <w:kern w:val="0"/>
      <w:sz w:val="24"/>
      <w:szCs w:val="20"/>
    </w:rPr>
  </w:style>
  <w:style w:type="paragraph" w:customStyle="1" w:styleId="334">
    <w:name w:val="xl4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kern w:val="0"/>
      <w:sz w:val="24"/>
    </w:rPr>
  </w:style>
  <w:style w:type="paragraph" w:customStyle="1" w:styleId="335">
    <w:name w:val="列表段落1"/>
    <w:basedOn w:val="1"/>
    <w:qFormat/>
    <w:uiPriority w:val="34"/>
    <w:pPr>
      <w:adjustRightInd w:val="0"/>
      <w:spacing w:line="360" w:lineRule="auto"/>
      <w:ind w:firstLine="420" w:firstLineChars="200"/>
      <w:textAlignment w:val="baseline"/>
    </w:pPr>
    <w:rPr>
      <w:rFonts w:eastAsia="仿宋_GB2312"/>
      <w:kern w:val="0"/>
      <w:sz w:val="28"/>
      <w:szCs w:val="20"/>
    </w:rPr>
  </w:style>
  <w:style w:type="paragraph" w:customStyle="1" w:styleId="336">
    <w:name w:val="样式 小四 行距: 1.5 倍行距"/>
    <w:basedOn w:val="1"/>
    <w:qFormat/>
    <w:uiPriority w:val="0"/>
    <w:pPr>
      <w:ind w:firstLine="560" w:firstLineChars="200"/>
    </w:pPr>
    <w:rPr>
      <w:rFonts w:ascii="仿宋_GB2312" w:hAnsi="华文楷体" w:eastAsia="仿宋_GB2312"/>
      <w:position w:val="-2"/>
      <w:sz w:val="28"/>
    </w:rPr>
  </w:style>
  <w:style w:type="paragraph" w:customStyle="1" w:styleId="337">
    <w:name w:val="xl69"/>
    <w:basedOn w:val="1"/>
    <w:qFormat/>
    <w:uiPriority w:val="0"/>
    <w:pPr>
      <w:widowControl/>
      <w:pBdr>
        <w:top w:val="single" w:color="auto" w:sz="4" w:space="0"/>
        <w:bottom w:val="single" w:color="auto" w:sz="4" w:space="0"/>
      </w:pBdr>
      <w:spacing w:before="100" w:after="100"/>
      <w:jc w:val="left"/>
    </w:pPr>
    <w:rPr>
      <w:rFonts w:ascii="Arial Unicode MS" w:hAnsi="Arial Unicode MS" w:eastAsia="Arial Unicode MS"/>
      <w:kern w:val="0"/>
      <w:sz w:val="24"/>
      <w:szCs w:val="20"/>
    </w:rPr>
  </w:style>
  <w:style w:type="paragraph" w:customStyle="1" w:styleId="338">
    <w:name w:val="TOC 标题1"/>
    <w:basedOn w:val="2"/>
    <w:next w:val="1"/>
    <w:qFormat/>
    <w:uiPriority w:val="39"/>
    <w:pPr>
      <w:pageBreakBefore w:val="0"/>
      <w:widowControl/>
      <w:spacing w:beforeLines="0" w:line="276" w:lineRule="auto"/>
      <w:ind w:left="0" w:firstLine="0"/>
      <w:jc w:val="left"/>
      <w:outlineLvl w:val="9"/>
    </w:pPr>
    <w:rPr>
      <w:rFonts w:ascii="Cambria" w:hAnsi="Cambria" w:eastAsia="宋体"/>
      <w:color w:val="365F91"/>
      <w:kern w:val="0"/>
      <w:sz w:val="28"/>
      <w:szCs w:val="28"/>
    </w:rPr>
  </w:style>
  <w:style w:type="paragraph" w:customStyle="1" w:styleId="339">
    <w:name w:val="五级条标题"/>
    <w:basedOn w:val="329"/>
    <w:next w:val="1"/>
    <w:qFormat/>
    <w:uiPriority w:val="0"/>
    <w:pPr>
      <w:tabs>
        <w:tab w:val="left" w:pos="2940"/>
        <w:tab w:val="clear" w:pos="2520"/>
      </w:tabs>
      <w:outlineLvl w:val="6"/>
    </w:pPr>
  </w:style>
  <w:style w:type="paragraph" w:customStyle="1" w:styleId="34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41">
    <w:name w:val="样式 样式 标题 4款标题1.1.1.1标题 4 Char + 黑体 四号 加粗 段前: 3 磅 段后: 3 磅 + (中文) ..."/>
    <w:basedOn w:val="342"/>
    <w:qFormat/>
    <w:uiPriority w:val="0"/>
    <w:pPr>
      <w:tabs>
        <w:tab w:val="left" w:pos="864"/>
      </w:tabs>
    </w:pPr>
  </w:style>
  <w:style w:type="paragraph" w:customStyle="1" w:styleId="342">
    <w:name w:val="样式 标题 4款标题1.1.1.1标题 4 Char + 黑体 四号 加粗 段前: 3 磅 段后: 3 磅"/>
    <w:basedOn w:val="5"/>
    <w:qFormat/>
    <w:uiPriority w:val="0"/>
    <w:pPr>
      <w:spacing w:line="240" w:lineRule="auto"/>
      <w:ind w:left="0" w:firstLine="0"/>
    </w:pPr>
    <w:rPr>
      <w:rFonts w:ascii="黑体" w:eastAsia="Times New Roman" w:cs="宋体"/>
      <w:b/>
      <w:spacing w:val="6"/>
      <w:kern w:val="2"/>
      <w:szCs w:val="20"/>
    </w:rPr>
  </w:style>
  <w:style w:type="paragraph" w:customStyle="1" w:styleId="343">
    <w:name w:val="第二章表头"/>
    <w:basedOn w:val="1"/>
    <w:qFormat/>
    <w:uiPriority w:val="0"/>
    <w:pPr>
      <w:spacing w:line="360" w:lineRule="auto"/>
      <w:ind w:left="4971" w:hanging="420"/>
      <w:jc w:val="center"/>
    </w:pPr>
    <w:rPr>
      <w:b/>
      <w:color w:val="0000FF"/>
      <w:sz w:val="24"/>
    </w:rPr>
  </w:style>
  <w:style w:type="paragraph" w:customStyle="1" w:styleId="344">
    <w:name w:val="标题0"/>
    <w:basedOn w:val="1"/>
    <w:next w:val="1"/>
    <w:qFormat/>
    <w:uiPriority w:val="0"/>
    <w:pPr>
      <w:spacing w:before="200" w:after="200" w:line="240" w:lineRule="atLeast"/>
      <w:jc w:val="center"/>
    </w:pPr>
    <w:rPr>
      <w:rFonts w:eastAsia="黑体"/>
      <w:color w:val="000000"/>
      <w:sz w:val="44"/>
      <w:szCs w:val="20"/>
    </w:rPr>
  </w:style>
  <w:style w:type="paragraph" w:customStyle="1" w:styleId="345">
    <w:name w:val="特点标题"/>
    <w:basedOn w:val="1"/>
    <w:next w:val="45"/>
    <w:qFormat/>
    <w:uiPriority w:val="0"/>
    <w:pPr>
      <w:spacing w:line="500" w:lineRule="exact"/>
      <w:ind w:firstLine="555"/>
    </w:pPr>
    <w:rPr>
      <w:rFonts w:ascii="仿宋_GB2312" w:eastAsia="仿宋_GB2312"/>
      <w:sz w:val="28"/>
    </w:rPr>
  </w:style>
  <w:style w:type="paragraph" w:customStyle="1" w:styleId="346">
    <w:name w:val="xl5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kern w:val="0"/>
      <w:sz w:val="24"/>
    </w:rPr>
  </w:style>
  <w:style w:type="paragraph" w:customStyle="1" w:styleId="347">
    <w:name w:val="第十二章表头"/>
    <w:basedOn w:val="1"/>
    <w:qFormat/>
    <w:uiPriority w:val="0"/>
    <w:pPr>
      <w:spacing w:line="360" w:lineRule="auto"/>
      <w:ind w:left="420" w:hanging="420"/>
      <w:jc w:val="center"/>
    </w:pPr>
    <w:rPr>
      <w:b/>
      <w:color w:val="0000FF"/>
      <w:sz w:val="24"/>
    </w:rPr>
  </w:style>
  <w:style w:type="paragraph" w:customStyle="1" w:styleId="348">
    <w:name w:val="条1"/>
    <w:basedOn w:val="3"/>
    <w:qFormat/>
    <w:uiPriority w:val="0"/>
    <w:pPr>
      <w:numPr>
        <w:ilvl w:val="0"/>
        <w:numId w:val="0"/>
      </w:numPr>
      <w:tabs>
        <w:tab w:val="left" w:pos="360"/>
      </w:tabs>
      <w:spacing w:beforeLines="0" w:afterLines="0" w:line="415" w:lineRule="auto"/>
      <w:ind w:left="360" w:hanging="360"/>
    </w:pPr>
    <w:rPr>
      <w:b/>
      <w:bCs w:val="0"/>
      <w:kern w:val="0"/>
      <w:szCs w:val="20"/>
    </w:rPr>
  </w:style>
  <w:style w:type="paragraph" w:customStyle="1" w:styleId="349">
    <w:name w:val="条文"/>
    <w:basedOn w:val="6"/>
    <w:next w:val="1"/>
    <w:qFormat/>
    <w:uiPriority w:val="0"/>
    <w:pPr>
      <w:keepNext w:val="0"/>
      <w:spacing w:before="120" w:after="0" w:line="240" w:lineRule="auto"/>
      <w:ind w:left="0" w:firstLine="454"/>
    </w:pPr>
    <w:rPr>
      <w:b w:val="0"/>
      <w:bCs w:val="0"/>
      <w:sz w:val="24"/>
      <w:szCs w:val="20"/>
    </w:rPr>
  </w:style>
  <w:style w:type="paragraph" w:customStyle="1" w:styleId="350">
    <w:name w:val="表格文字2"/>
    <w:basedOn w:val="118"/>
    <w:qFormat/>
    <w:uiPriority w:val="0"/>
    <w:pPr>
      <w:autoSpaceDE/>
      <w:autoSpaceDN/>
      <w:spacing w:before="60"/>
      <w:textAlignment w:val="baseline"/>
    </w:pPr>
  </w:style>
  <w:style w:type="paragraph" w:customStyle="1" w:styleId="351">
    <w:name w:val="第三章表头"/>
    <w:basedOn w:val="1"/>
    <w:qFormat/>
    <w:uiPriority w:val="0"/>
    <w:pPr>
      <w:spacing w:line="360" w:lineRule="auto"/>
      <w:ind w:left="1271" w:hanging="420"/>
      <w:jc w:val="center"/>
    </w:pPr>
    <w:rPr>
      <w:b/>
      <w:color w:val="0000FF"/>
      <w:sz w:val="24"/>
    </w:rPr>
  </w:style>
  <w:style w:type="paragraph" w:customStyle="1" w:styleId="352">
    <w:name w:val="Bullet"/>
    <w:basedOn w:val="1"/>
    <w:qFormat/>
    <w:uiPriority w:val="0"/>
    <w:pPr>
      <w:widowControl/>
      <w:tabs>
        <w:tab w:val="left" w:pos="1080"/>
      </w:tabs>
      <w:spacing w:before="120" w:after="120"/>
      <w:ind w:left="1080" w:hanging="360"/>
    </w:pPr>
    <w:rPr>
      <w:kern w:val="0"/>
      <w:sz w:val="22"/>
      <w:szCs w:val="22"/>
      <w:lang w:val="en-CA" w:eastAsia="en-US"/>
    </w:rPr>
  </w:style>
  <w:style w:type="paragraph" w:customStyle="1" w:styleId="353">
    <w:name w:val="表注"/>
    <w:next w:val="1"/>
    <w:qFormat/>
    <w:uiPriority w:val="0"/>
    <w:pPr>
      <w:ind w:firstLine="1134"/>
    </w:pPr>
    <w:rPr>
      <w:rFonts w:ascii="Times New Roman" w:hAnsi="Times New Roman" w:eastAsia="楷体_GB2312" w:cs="Times New Roman"/>
      <w:sz w:val="21"/>
      <w:lang w:val="en-US" w:eastAsia="zh-CN" w:bidi="ar-SA"/>
    </w:rPr>
  </w:style>
  <w:style w:type="paragraph" w:customStyle="1" w:styleId="354">
    <w:name w:val="font11"/>
    <w:basedOn w:val="1"/>
    <w:qFormat/>
    <w:uiPriority w:val="0"/>
    <w:pPr>
      <w:widowControl/>
      <w:spacing w:before="100" w:after="100"/>
      <w:jc w:val="left"/>
    </w:pPr>
    <w:rPr>
      <w:rFonts w:ascii="Romantic" w:hAnsi="Romantic"/>
      <w:kern w:val="0"/>
      <w:sz w:val="24"/>
      <w:szCs w:val="20"/>
    </w:rPr>
  </w:style>
  <w:style w:type="paragraph" w:customStyle="1" w:styleId="355">
    <w:name w:val="xl5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356">
    <w:name w:val="标题 2新"/>
    <w:basedOn w:val="3"/>
    <w:qFormat/>
    <w:uiPriority w:val="0"/>
    <w:pPr>
      <w:numPr>
        <w:numId w:val="0"/>
      </w:numPr>
      <w:tabs>
        <w:tab w:val="left" w:pos="0"/>
      </w:tabs>
      <w:spacing w:beforeLines="0" w:afterLines="0" w:line="720" w:lineRule="auto"/>
    </w:pPr>
    <w:rPr>
      <w:rFonts w:hint="eastAsia" w:cs="宋体"/>
      <w:kern w:val="0"/>
      <w:szCs w:val="20"/>
    </w:rPr>
  </w:style>
  <w:style w:type="paragraph" w:customStyle="1" w:styleId="357">
    <w:name w:val="wtext"/>
    <w:basedOn w:val="1"/>
    <w:qFormat/>
    <w:uiPriority w:val="0"/>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358">
    <w:name w:val="标准段落"/>
    <w:basedOn w:val="1"/>
    <w:next w:val="1"/>
    <w:qFormat/>
    <w:uiPriority w:val="0"/>
    <w:pPr>
      <w:spacing w:line="360" w:lineRule="auto"/>
      <w:ind w:firstLine="480" w:firstLineChars="200"/>
    </w:pPr>
    <w:rPr>
      <w:bCs/>
      <w:kern w:val="0"/>
      <w:sz w:val="24"/>
    </w:rPr>
  </w:style>
  <w:style w:type="paragraph" w:customStyle="1" w:styleId="359">
    <w:name w:val="报告样式3"/>
    <w:basedOn w:val="4"/>
    <w:next w:val="360"/>
    <w:qFormat/>
    <w:uiPriority w:val="0"/>
    <w:pPr>
      <w:keepLines w:val="0"/>
      <w:numPr>
        <w:ilvl w:val="0"/>
        <w:numId w:val="0"/>
      </w:numPr>
      <w:spacing w:beforeLines="0" w:afterLines="0"/>
    </w:pPr>
    <w:rPr>
      <w:rFonts w:ascii="宋体" w:eastAsia="宋体"/>
      <w:b/>
    </w:rPr>
  </w:style>
  <w:style w:type="paragraph" w:customStyle="1" w:styleId="360">
    <w:name w:val="报告样式4"/>
    <w:basedOn w:val="15"/>
    <w:qFormat/>
    <w:uiPriority w:val="0"/>
    <w:pPr>
      <w:spacing w:line="360" w:lineRule="auto"/>
      <w:ind w:firstLine="480" w:firstLineChars="200"/>
    </w:pPr>
    <w:rPr>
      <w:bCs/>
      <w:sz w:val="24"/>
      <w:szCs w:val="22"/>
    </w:rPr>
  </w:style>
  <w:style w:type="paragraph" w:customStyle="1" w:styleId="361">
    <w:name w:val="font8"/>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62">
    <w:name w:val="z表格文字"/>
    <w:basedOn w:val="1"/>
    <w:qFormat/>
    <w:uiPriority w:val="0"/>
    <w:pPr>
      <w:tabs>
        <w:tab w:val="left" w:pos="1155"/>
        <w:tab w:val="left" w:pos="2625"/>
      </w:tabs>
      <w:adjustRightInd w:val="0"/>
      <w:snapToGrid w:val="0"/>
      <w:ind w:left="210"/>
      <w:jc w:val="center"/>
    </w:pPr>
    <w:rPr>
      <w:rFonts w:ascii="文鼎CS书宋二"/>
      <w:color w:val="000000"/>
      <w:kern w:val="48"/>
      <w:position w:val="-8"/>
      <w:sz w:val="24"/>
      <w:szCs w:val="20"/>
    </w:rPr>
  </w:style>
  <w:style w:type="paragraph" w:customStyle="1" w:styleId="363">
    <w:name w:val="报告样式2"/>
    <w:basedOn w:val="3"/>
    <w:qFormat/>
    <w:uiPriority w:val="0"/>
    <w:pPr>
      <w:numPr>
        <w:ilvl w:val="0"/>
        <w:numId w:val="0"/>
      </w:numPr>
      <w:snapToGrid w:val="0"/>
      <w:spacing w:beforeLines="0" w:afterLines="0"/>
    </w:pPr>
    <w:rPr>
      <w:bCs w:val="0"/>
      <w:sz w:val="30"/>
      <w:szCs w:val="24"/>
    </w:rPr>
  </w:style>
  <w:style w:type="paragraph" w:customStyle="1" w:styleId="364">
    <w:name w:val="font7"/>
    <w:basedOn w:val="1"/>
    <w:qFormat/>
    <w:uiPriority w:val="0"/>
    <w:pPr>
      <w:widowControl/>
      <w:spacing w:before="100" w:beforeAutospacing="1" w:after="100" w:afterAutospacing="1"/>
      <w:jc w:val="left"/>
    </w:pPr>
    <w:rPr>
      <w:kern w:val="0"/>
      <w:sz w:val="20"/>
      <w:szCs w:val="20"/>
    </w:rPr>
  </w:style>
  <w:style w:type="paragraph" w:customStyle="1" w:styleId="365">
    <w:name w:val="font9"/>
    <w:basedOn w:val="1"/>
    <w:qFormat/>
    <w:uiPriority w:val="0"/>
    <w:pPr>
      <w:widowControl/>
      <w:spacing w:before="100" w:after="100"/>
      <w:jc w:val="left"/>
    </w:pPr>
    <w:rPr>
      <w:kern w:val="0"/>
      <w:sz w:val="24"/>
      <w:szCs w:val="20"/>
    </w:rPr>
  </w:style>
  <w:style w:type="paragraph" w:customStyle="1" w:styleId="366">
    <w:name w:val="样式16"/>
    <w:basedOn w:val="1"/>
    <w:qFormat/>
    <w:uiPriority w:val="0"/>
    <w:pPr>
      <w:spacing w:afterLines="50" w:line="480" w:lineRule="exact"/>
      <w:ind w:firstLine="510"/>
    </w:pPr>
    <w:rPr>
      <w:sz w:val="24"/>
    </w:rPr>
  </w:style>
  <w:style w:type="paragraph" w:customStyle="1" w:styleId="367">
    <w:name w:val="xl3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0"/>
      <w:szCs w:val="20"/>
    </w:rPr>
  </w:style>
  <w:style w:type="paragraph" w:customStyle="1" w:styleId="368">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369">
    <w:name w:val="样式 标题 3 + 华文中宋 小三 段前: 6 磅 段后: 6 磅 行距: 多倍行距 1.4 字行"/>
    <w:basedOn w:val="4"/>
    <w:qFormat/>
    <w:uiPriority w:val="0"/>
    <w:pPr>
      <w:keepLines w:val="0"/>
      <w:tabs>
        <w:tab w:val="left" w:pos="42"/>
        <w:tab w:val="left" w:pos="720"/>
        <w:tab w:val="left" w:pos="861"/>
        <w:tab w:val="clear" w:pos="736"/>
      </w:tabs>
      <w:spacing w:beforeLines="0" w:afterLines="0"/>
      <w:ind w:left="693"/>
    </w:pPr>
    <w:rPr>
      <w:rFonts w:ascii="华文中宋" w:eastAsia="宋体"/>
      <w:b/>
      <w:bCs w:val="0"/>
      <w:sz w:val="30"/>
      <w:szCs w:val="30"/>
    </w:rPr>
  </w:style>
  <w:style w:type="paragraph" w:customStyle="1" w:styleId="370">
    <w:name w:val="xl2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371">
    <w:name w:val="正文1"/>
    <w:basedOn w:val="1"/>
    <w:qFormat/>
    <w:uiPriority w:val="0"/>
    <w:pPr>
      <w:ind w:firstLine="420"/>
    </w:pPr>
    <w:rPr>
      <w:rFonts w:ascii="宋体"/>
      <w:color w:val="000000"/>
      <w:szCs w:val="20"/>
    </w:rPr>
  </w:style>
  <w:style w:type="paragraph" w:customStyle="1" w:styleId="372">
    <w:name w:val="表格"/>
    <w:basedOn w:val="1"/>
    <w:qFormat/>
    <w:uiPriority w:val="0"/>
    <w:pPr>
      <w:jc w:val="right"/>
    </w:pPr>
    <w:rPr>
      <w:kern w:val="0"/>
      <w:szCs w:val="21"/>
    </w:rPr>
  </w:style>
  <w:style w:type="paragraph" w:customStyle="1" w:styleId="373">
    <w:name w:val="样式 首行缩进:  0.93 厘米"/>
    <w:basedOn w:val="1"/>
    <w:qFormat/>
    <w:uiPriority w:val="0"/>
    <w:pPr>
      <w:widowControl/>
      <w:spacing w:line="500" w:lineRule="exact"/>
      <w:ind w:firstLine="528"/>
      <w:jc w:val="left"/>
    </w:pPr>
    <w:rPr>
      <w:rFonts w:ascii="仿宋_GB2312" w:eastAsia="仿宋_GB2312"/>
      <w:kern w:val="28"/>
      <w:sz w:val="28"/>
      <w:szCs w:val="28"/>
    </w:rPr>
  </w:style>
  <w:style w:type="paragraph" w:customStyle="1" w:styleId="374">
    <w:name w:val="font0"/>
    <w:basedOn w:val="1"/>
    <w:qFormat/>
    <w:uiPriority w:val="0"/>
    <w:pPr>
      <w:widowControl/>
      <w:spacing w:before="100" w:after="100"/>
      <w:jc w:val="left"/>
    </w:pPr>
    <w:rPr>
      <w:rFonts w:hint="eastAsia" w:ascii="宋体" w:hAnsi="宋体"/>
      <w:kern w:val="0"/>
      <w:sz w:val="24"/>
      <w:szCs w:val="20"/>
    </w:rPr>
  </w:style>
  <w:style w:type="paragraph" w:customStyle="1" w:styleId="375">
    <w:name w:val="图表名称"/>
    <w:basedOn w:val="1"/>
    <w:next w:val="1"/>
    <w:qFormat/>
    <w:uiPriority w:val="0"/>
    <w:pPr>
      <w:spacing w:line="120" w:lineRule="atLeast"/>
      <w:jc w:val="center"/>
    </w:pPr>
    <w:rPr>
      <w:b/>
      <w:bCs/>
      <w:sz w:val="24"/>
    </w:rPr>
  </w:style>
  <w:style w:type="paragraph" w:customStyle="1" w:styleId="376">
    <w:name w:val="xl2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377">
    <w:name w:val="xl25"/>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PMingLiU" w:hAnsi="Arial Unicode MS" w:eastAsia="PMingLiU" w:cs="Arial Unicode MS"/>
      <w:kern w:val="0"/>
      <w:sz w:val="24"/>
      <w:lang w:eastAsia="zh-TW"/>
    </w:rPr>
  </w:style>
  <w:style w:type="paragraph" w:customStyle="1" w:styleId="378">
    <w:name w:val="xl4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379">
    <w:name w:val="lff表格文字"/>
    <w:basedOn w:val="1"/>
    <w:qFormat/>
    <w:uiPriority w:val="0"/>
    <w:pPr>
      <w:autoSpaceDE w:val="0"/>
      <w:autoSpaceDN w:val="0"/>
      <w:adjustRightInd w:val="0"/>
      <w:snapToGrid w:val="0"/>
      <w:jc w:val="center"/>
    </w:pPr>
    <w:rPr>
      <w:rFonts w:ascii="宋体" w:hAnsi="宋体"/>
      <w:kern w:val="0"/>
      <w:szCs w:val="21"/>
    </w:rPr>
  </w:style>
  <w:style w:type="paragraph" w:customStyle="1" w:styleId="380">
    <w:name w:val="font10"/>
    <w:basedOn w:val="1"/>
    <w:qFormat/>
    <w:uiPriority w:val="0"/>
    <w:pPr>
      <w:widowControl/>
      <w:spacing w:before="100" w:after="100"/>
      <w:jc w:val="left"/>
    </w:pPr>
    <w:rPr>
      <w:kern w:val="0"/>
      <w:sz w:val="20"/>
      <w:szCs w:val="20"/>
    </w:rPr>
  </w:style>
  <w:style w:type="paragraph" w:customStyle="1" w:styleId="381">
    <w:name w:val="xl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382">
    <w:name w:val="表内5S"/>
    <w:basedOn w:val="1"/>
    <w:qFormat/>
    <w:uiPriority w:val="0"/>
    <w:pPr>
      <w:spacing w:line="300" w:lineRule="atLeast"/>
      <w:jc w:val="center"/>
    </w:pPr>
    <w:rPr>
      <w:rFonts w:eastAsia="方正宋三简体"/>
      <w:szCs w:val="20"/>
    </w:rPr>
  </w:style>
  <w:style w:type="paragraph" w:customStyle="1" w:styleId="383">
    <w:name w:val="样式 一级 + 段前: 1 行 段后: 1 行"/>
    <w:basedOn w:val="384"/>
    <w:qFormat/>
    <w:uiPriority w:val="0"/>
    <w:pPr>
      <w:tabs>
        <w:tab w:val="left" w:pos="0"/>
        <w:tab w:val="left" w:pos="432"/>
      </w:tabs>
    </w:pPr>
    <w:rPr>
      <w:bCs/>
      <w:szCs w:val="20"/>
    </w:rPr>
  </w:style>
  <w:style w:type="paragraph" w:customStyle="1" w:styleId="384">
    <w:name w:val="一级"/>
    <w:basedOn w:val="2"/>
    <w:next w:val="1"/>
    <w:qFormat/>
    <w:uiPriority w:val="0"/>
    <w:pPr>
      <w:keepLines w:val="0"/>
      <w:pageBreakBefore w:val="0"/>
      <w:tabs>
        <w:tab w:val="left" w:pos="0"/>
      </w:tabs>
      <w:spacing w:line="500" w:lineRule="exact"/>
      <w:ind w:left="0" w:firstLine="0"/>
      <w:jc w:val="both"/>
    </w:pPr>
    <w:rPr>
      <w:bCs w:val="0"/>
      <w:spacing w:val="12"/>
      <w:kern w:val="2"/>
      <w:sz w:val="32"/>
      <w:szCs w:val="28"/>
    </w:rPr>
  </w:style>
  <w:style w:type="paragraph" w:customStyle="1" w:styleId="385">
    <w:name w:val="font12"/>
    <w:basedOn w:val="1"/>
    <w:qFormat/>
    <w:uiPriority w:val="0"/>
    <w:pPr>
      <w:widowControl/>
      <w:spacing w:before="100" w:after="100"/>
      <w:jc w:val="left"/>
    </w:pPr>
    <w:rPr>
      <w:rFonts w:hint="eastAsia" w:ascii="楷体_GB2312" w:hAnsi="宋体" w:eastAsia="楷体_GB2312"/>
      <w:kern w:val="0"/>
      <w:sz w:val="28"/>
      <w:szCs w:val="20"/>
    </w:rPr>
  </w:style>
  <w:style w:type="paragraph" w:customStyle="1" w:styleId="386">
    <w:name w:val="Char Char Char"/>
    <w:basedOn w:val="1"/>
    <w:qFormat/>
    <w:uiPriority w:val="0"/>
    <w:pPr>
      <w:spacing w:line="360" w:lineRule="auto"/>
      <w:ind w:firstLine="200" w:firstLineChars="200"/>
    </w:pPr>
    <w:rPr>
      <w:rFonts w:ascii="宋体" w:hAnsi="宋体" w:cs="宋体"/>
      <w:sz w:val="24"/>
    </w:rPr>
  </w:style>
  <w:style w:type="paragraph" w:customStyle="1" w:styleId="38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388">
    <w:name w:val="样式 标题 3 + (中文) 华文中宋 小三 段前: 3 磅 段后: 3 磅 行距: 多倍行距 1.5 字行"/>
    <w:basedOn w:val="4"/>
    <w:qFormat/>
    <w:uiPriority w:val="0"/>
    <w:pPr>
      <w:numPr>
        <w:ilvl w:val="0"/>
        <w:numId w:val="0"/>
      </w:numPr>
      <w:spacing w:beforeLines="0" w:afterLines="0" w:line="336" w:lineRule="auto"/>
    </w:pPr>
    <w:rPr>
      <w:rFonts w:ascii="宋体" w:eastAsia="宋体" w:cs="宋体"/>
      <w:b/>
      <w:bCs w:val="0"/>
      <w:sz w:val="30"/>
      <w:szCs w:val="20"/>
    </w:rPr>
  </w:style>
  <w:style w:type="paragraph" w:customStyle="1" w:styleId="389">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390">
    <w:name w:val="xl35"/>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0"/>
      <w:szCs w:val="20"/>
    </w:rPr>
  </w:style>
  <w:style w:type="paragraph" w:customStyle="1" w:styleId="391">
    <w:name w:val="样式 标题 2 + 段前: 6 磅 段后: 6 磅 行距: 多倍行距 1.4 字行"/>
    <w:basedOn w:val="3"/>
    <w:qFormat/>
    <w:uiPriority w:val="0"/>
    <w:pPr>
      <w:numPr>
        <w:ilvl w:val="0"/>
        <w:numId w:val="0"/>
      </w:numPr>
      <w:spacing w:beforeLines="0" w:afterLines="0" w:line="336" w:lineRule="auto"/>
    </w:pPr>
    <w:rPr>
      <w:rFonts w:cs="宋体"/>
      <w:szCs w:val="20"/>
    </w:rPr>
  </w:style>
  <w:style w:type="paragraph" w:customStyle="1" w:styleId="392">
    <w:name w:val="1 Char"/>
    <w:basedOn w:val="1"/>
    <w:qFormat/>
    <w:uiPriority w:val="0"/>
  </w:style>
  <w:style w:type="paragraph" w:customStyle="1" w:styleId="393">
    <w:name w:val="Char2 Char Char Char Char Char Char Char Char 字元 字元 Char Char Char"/>
    <w:basedOn w:val="1"/>
    <w:qFormat/>
    <w:uiPriority w:val="0"/>
    <w:rPr>
      <w:sz w:val="24"/>
    </w:rPr>
  </w:style>
  <w:style w:type="paragraph" w:customStyle="1" w:styleId="394">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95">
    <w:name w:val="样式 样式 标题 2节 + (西文) Times New Roman (中文) 宋体 四号 段前: 0.5 行 段后: 0......"/>
    <w:basedOn w:val="1"/>
    <w:qFormat/>
    <w:uiPriority w:val="0"/>
    <w:pPr>
      <w:keepNext/>
      <w:keepLines/>
      <w:adjustRightInd w:val="0"/>
      <w:snapToGrid w:val="0"/>
      <w:spacing w:line="500" w:lineRule="exact"/>
      <w:outlineLvl w:val="1"/>
    </w:pPr>
    <w:rPr>
      <w:rFonts w:ascii="仿宋_GB2312" w:hAnsi="华文楷体" w:eastAsia="仿宋_GB2312"/>
      <w:b/>
      <w:bCs/>
      <w:sz w:val="28"/>
      <w:szCs w:val="28"/>
    </w:rPr>
  </w:style>
  <w:style w:type="paragraph" w:customStyle="1" w:styleId="396">
    <w:name w:val="xl58"/>
    <w:basedOn w:val="1"/>
    <w:qFormat/>
    <w:uiPriority w:val="0"/>
    <w:pPr>
      <w:widowControl/>
      <w:pBdr>
        <w:top w:val="single" w:color="auto" w:sz="4" w:space="0"/>
        <w:bottom w:val="single" w:color="auto" w:sz="4" w:space="0"/>
        <w:right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397">
    <w:name w:val="标题1"/>
    <w:basedOn w:val="2"/>
    <w:qFormat/>
    <w:uiPriority w:val="0"/>
    <w:pPr>
      <w:pageBreakBefore w:val="0"/>
      <w:spacing w:beforeLines="0" w:afterLines="0" w:line="500" w:lineRule="exact"/>
      <w:ind w:left="0" w:firstLine="0"/>
      <w:jc w:val="both"/>
    </w:pPr>
    <w:rPr>
      <w:rFonts w:ascii="黑体"/>
      <w:b/>
      <w:bCs w:val="0"/>
      <w:sz w:val="28"/>
      <w:szCs w:val="32"/>
    </w:rPr>
  </w:style>
  <w:style w:type="paragraph" w:customStyle="1" w:styleId="398">
    <w:name w:val="样式2"/>
    <w:basedOn w:val="3"/>
    <w:qFormat/>
    <w:uiPriority w:val="0"/>
    <w:pPr>
      <w:numPr>
        <w:ilvl w:val="0"/>
        <w:numId w:val="0"/>
      </w:numPr>
      <w:spacing w:beforeLines="0" w:afterLines="0"/>
      <w:ind w:firstLine="498"/>
    </w:pPr>
    <w:rPr>
      <w:rFonts w:ascii="宋体" w:hAnsi="宋体" w:eastAsia="宋体"/>
      <w:bCs w:val="0"/>
      <w:sz w:val="24"/>
      <w:szCs w:val="20"/>
    </w:rPr>
  </w:style>
  <w:style w:type="paragraph" w:customStyle="1" w:styleId="39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00">
    <w:name w:val="1"/>
    <w:basedOn w:val="1"/>
    <w:next w:val="45"/>
    <w:qFormat/>
    <w:uiPriority w:val="0"/>
    <w:pPr>
      <w:ind w:firstLine="570"/>
    </w:pPr>
    <w:rPr>
      <w:sz w:val="28"/>
      <w:szCs w:val="20"/>
    </w:rPr>
  </w:style>
  <w:style w:type="paragraph" w:customStyle="1" w:styleId="401">
    <w:name w:val="二级无标题条"/>
    <w:basedOn w:val="1"/>
    <w:qFormat/>
    <w:uiPriority w:val="0"/>
  </w:style>
  <w:style w:type="paragraph" w:customStyle="1" w:styleId="402">
    <w:name w:val="Char"/>
    <w:basedOn w:val="1"/>
    <w:qFormat/>
    <w:uiPriority w:val="0"/>
    <w:pPr>
      <w:spacing w:line="360" w:lineRule="auto"/>
      <w:ind w:firstLine="200" w:firstLineChars="200"/>
    </w:pPr>
    <w:rPr>
      <w:rFonts w:ascii="宋体" w:hAnsi="宋体" w:cs="宋体"/>
      <w:sz w:val="24"/>
    </w:rPr>
  </w:style>
  <w:style w:type="paragraph" w:customStyle="1" w:styleId="403">
    <w:name w:val="xl3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404">
    <w:name w:val="Char1"/>
    <w:basedOn w:val="1"/>
    <w:qFormat/>
    <w:uiPriority w:val="0"/>
    <w:pPr>
      <w:spacing w:line="360" w:lineRule="auto"/>
      <w:ind w:firstLine="200" w:firstLineChars="200"/>
    </w:pPr>
    <w:rPr>
      <w:rFonts w:ascii="宋体" w:hAnsi="宋体" w:cs="宋体"/>
      <w:sz w:val="24"/>
    </w:rPr>
  </w:style>
  <w:style w:type="paragraph" w:customStyle="1" w:styleId="405">
    <w:name w:val="xl62"/>
    <w:basedOn w:val="1"/>
    <w:qFormat/>
    <w:uiPriority w:val="0"/>
    <w:pPr>
      <w:widowControl/>
      <w:pBdr>
        <w:top w:val="single" w:color="auto" w:sz="4" w:space="0"/>
        <w:bottom w:val="single" w:color="auto" w:sz="4" w:space="0"/>
      </w:pBdr>
      <w:spacing w:before="100" w:after="100"/>
      <w:jc w:val="right"/>
      <w:textAlignment w:val="center"/>
    </w:pPr>
    <w:rPr>
      <w:rFonts w:ascii="Arial Unicode MS" w:hAnsi="Arial Unicode MS" w:eastAsia="Arial Unicode MS"/>
      <w:kern w:val="0"/>
      <w:sz w:val="24"/>
      <w:szCs w:val="20"/>
    </w:rPr>
  </w:style>
  <w:style w:type="paragraph" w:customStyle="1" w:styleId="406">
    <w:name w:val="xl3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 w:val="24"/>
    </w:rPr>
  </w:style>
  <w:style w:type="paragraph" w:customStyle="1" w:styleId="407">
    <w:name w:val="三级"/>
    <w:basedOn w:val="4"/>
    <w:next w:val="1"/>
    <w:qFormat/>
    <w:uiPriority w:val="0"/>
    <w:pPr>
      <w:numPr>
        <w:ilvl w:val="0"/>
        <w:numId w:val="0"/>
      </w:numPr>
      <w:tabs>
        <w:tab w:val="left" w:pos="0"/>
      </w:tabs>
      <w:spacing w:beforeLines="0" w:afterLines="0" w:line="560" w:lineRule="exact"/>
    </w:pPr>
    <w:rPr>
      <w:rFonts w:ascii="宋体" w:eastAsia="仿宋_GB2312"/>
      <w:bCs w:val="0"/>
      <w:spacing w:val="12"/>
      <w:sz w:val="28"/>
    </w:rPr>
  </w:style>
  <w:style w:type="paragraph" w:customStyle="1" w:styleId="408">
    <w:name w:val="xl41"/>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pPr>
    <w:rPr>
      <w:kern w:val="0"/>
      <w:sz w:val="24"/>
    </w:rPr>
  </w:style>
  <w:style w:type="paragraph" w:customStyle="1" w:styleId="409">
    <w:name w:val="样式 标题 4款标题1.1.1.1标题 4 Char + (中文) 楷体_GB2312 四号 加粗 段前: 3 磅 ..."/>
    <w:basedOn w:val="5"/>
    <w:qFormat/>
    <w:uiPriority w:val="0"/>
    <w:pPr>
      <w:spacing w:line="240" w:lineRule="auto"/>
      <w:ind w:left="0" w:firstLine="0"/>
    </w:pPr>
    <w:rPr>
      <w:rFonts w:eastAsia="仿宋" w:cs="宋体"/>
      <w:b/>
      <w:spacing w:val="6"/>
      <w:kern w:val="2"/>
      <w:szCs w:val="20"/>
    </w:rPr>
  </w:style>
  <w:style w:type="paragraph" w:customStyle="1" w:styleId="410">
    <w:name w:val="xl66"/>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b/>
      <w:kern w:val="0"/>
      <w:sz w:val="22"/>
      <w:szCs w:val="20"/>
    </w:rPr>
  </w:style>
  <w:style w:type="paragraph" w:customStyle="1" w:styleId="411">
    <w:name w:val="样式 表格 + (中文) 黑体"/>
    <w:basedOn w:val="372"/>
    <w:qFormat/>
    <w:uiPriority w:val="0"/>
    <w:pPr>
      <w:jc w:val="center"/>
    </w:pPr>
  </w:style>
  <w:style w:type="paragraph" w:customStyle="1" w:styleId="412">
    <w:name w:val="条题"/>
    <w:basedOn w:val="1"/>
    <w:qFormat/>
    <w:uiPriority w:val="0"/>
    <w:rPr>
      <w:rFonts w:ascii="仿宋_GB2312" w:eastAsia="仿宋_GB2312"/>
      <w:color w:val="000000"/>
      <w:kern w:val="0"/>
      <w:sz w:val="24"/>
      <w:szCs w:val="20"/>
    </w:rPr>
  </w:style>
  <w:style w:type="paragraph" w:customStyle="1" w:styleId="413">
    <w:name w:val="样式 样式 表格 + (中文) 黑体 + (中文) 黑体"/>
    <w:basedOn w:val="411"/>
    <w:qFormat/>
    <w:uiPriority w:val="0"/>
    <w:rPr>
      <w:rFonts w:eastAsia="黑体"/>
    </w:rPr>
  </w:style>
  <w:style w:type="paragraph" w:customStyle="1" w:styleId="414">
    <w:name w:val="xl67"/>
    <w:basedOn w:val="1"/>
    <w:qFormat/>
    <w:uiPriority w:val="0"/>
    <w:pPr>
      <w:widowControl/>
      <w:pBdr>
        <w:top w:val="single" w:color="auto" w:sz="4" w:space="0"/>
        <w:bottom w:val="single" w:color="auto" w:sz="4" w:space="0"/>
      </w:pBdr>
      <w:spacing w:before="100" w:after="100"/>
      <w:jc w:val="right"/>
    </w:pPr>
    <w:rPr>
      <w:rFonts w:ascii="Arial Unicode MS" w:hAnsi="Arial Unicode MS" w:eastAsia="Arial Unicode MS"/>
      <w:kern w:val="0"/>
      <w:sz w:val="24"/>
      <w:szCs w:val="20"/>
    </w:rPr>
  </w:style>
  <w:style w:type="paragraph" w:customStyle="1" w:styleId="415">
    <w:name w:val="表中文字"/>
    <w:basedOn w:val="1"/>
    <w:qFormat/>
    <w:uiPriority w:val="0"/>
    <w:pPr>
      <w:widowControl/>
      <w:jc w:val="center"/>
    </w:pPr>
    <w:rPr>
      <w:kern w:val="0"/>
      <w:szCs w:val="20"/>
    </w:rPr>
  </w:style>
  <w:style w:type="paragraph" w:customStyle="1" w:styleId="416">
    <w:name w:val="样式 样式 表格 + (中文) 黑体 + 行距: 1.5 倍行距"/>
    <w:basedOn w:val="411"/>
    <w:qFormat/>
    <w:uiPriority w:val="0"/>
    <w:pPr>
      <w:spacing w:line="360" w:lineRule="auto"/>
    </w:pPr>
    <w:rPr>
      <w:rFonts w:cs="宋体"/>
      <w:szCs w:val="20"/>
    </w:rPr>
  </w:style>
  <w:style w:type="paragraph" w:customStyle="1" w:styleId="417">
    <w:name w:val="xl61"/>
    <w:basedOn w:val="1"/>
    <w:qFormat/>
    <w:uiPriority w:val="0"/>
    <w:pPr>
      <w:widowControl/>
      <w:pBdr>
        <w:top w:val="single" w:color="auto" w:sz="4" w:space="0"/>
        <w:bottom w:val="single" w:color="auto" w:sz="4" w:space="0"/>
        <w:right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418">
    <w:name w:val="样式 首行缩进:  2 字符"/>
    <w:basedOn w:val="1"/>
    <w:qFormat/>
    <w:uiPriority w:val="0"/>
    <w:pPr>
      <w:tabs>
        <w:tab w:val="left" w:pos="0"/>
      </w:tabs>
      <w:spacing w:line="560" w:lineRule="exact"/>
      <w:ind w:firstLine="560" w:firstLineChars="200"/>
    </w:pPr>
    <w:rPr>
      <w:rFonts w:hAnsi="宋体" w:eastAsia="仿宋_GB2312"/>
      <w:spacing w:val="12"/>
      <w:sz w:val="28"/>
      <w:szCs w:val="20"/>
    </w:rPr>
  </w:style>
  <w:style w:type="paragraph" w:customStyle="1" w:styleId="419">
    <w:name w:val="样式 标题 1 + (中文) 华文中宋"/>
    <w:basedOn w:val="2"/>
    <w:qFormat/>
    <w:uiPriority w:val="0"/>
    <w:pPr>
      <w:spacing w:beforeLines="0" w:afterLines="0"/>
      <w:ind w:left="0" w:firstLine="0"/>
    </w:pPr>
    <w:rPr>
      <w:sz w:val="32"/>
      <w:szCs w:val="32"/>
    </w:rPr>
  </w:style>
  <w:style w:type="paragraph" w:customStyle="1" w:styleId="420">
    <w:name w:val="文本123"/>
    <w:basedOn w:val="15"/>
    <w:qFormat/>
    <w:uiPriority w:val="0"/>
    <w:pPr>
      <w:tabs>
        <w:tab w:val="left" w:pos="425"/>
      </w:tabs>
      <w:spacing w:line="460" w:lineRule="exact"/>
      <w:ind w:left="425" w:hanging="425"/>
      <w:outlineLvl w:val="7"/>
    </w:pPr>
    <w:rPr>
      <w:sz w:val="24"/>
    </w:rPr>
  </w:style>
  <w:style w:type="paragraph" w:customStyle="1" w:styleId="421">
    <w:name w:val="样式 标题 1 + (中文) 华文中宋 居中 行距: 多倍行距 1.4 字行"/>
    <w:basedOn w:val="2"/>
    <w:qFormat/>
    <w:uiPriority w:val="0"/>
    <w:pPr>
      <w:spacing w:beforeLines="0" w:afterLines="0" w:line="336" w:lineRule="auto"/>
      <w:ind w:left="0" w:firstLine="0"/>
    </w:pPr>
    <w:rPr>
      <w:rFonts w:cs="宋体"/>
      <w:sz w:val="32"/>
      <w:szCs w:val="20"/>
    </w:rPr>
  </w:style>
  <w:style w:type="paragraph" w:customStyle="1" w:styleId="422">
    <w:name w:val="燕儿正文"/>
    <w:basedOn w:val="1"/>
    <w:qFormat/>
    <w:uiPriority w:val="0"/>
    <w:pPr>
      <w:spacing w:line="360" w:lineRule="auto"/>
      <w:ind w:firstLine="480" w:firstLineChars="200"/>
    </w:pPr>
    <w:rPr>
      <w:kern w:val="0"/>
      <w:sz w:val="24"/>
    </w:rPr>
  </w:style>
  <w:style w:type="paragraph" w:customStyle="1" w:styleId="423">
    <w:name w:val="xl56"/>
    <w:basedOn w:val="1"/>
    <w:qFormat/>
    <w:uiPriority w:val="0"/>
    <w:pPr>
      <w:widowControl/>
      <w:pBdr>
        <w:top w:val="single" w:color="auto" w:sz="4" w:space="0"/>
        <w:left w:val="single" w:color="auto" w:sz="4" w:space="0"/>
        <w:bottom w:val="single" w:color="auto" w:sz="4" w:space="0"/>
      </w:pBdr>
      <w:spacing w:before="100" w:after="100"/>
      <w:jc w:val="right"/>
      <w:textAlignment w:val="center"/>
    </w:pPr>
    <w:rPr>
      <w:rFonts w:ascii="Romantic" w:hAnsi="Romantic" w:eastAsia="Arial Unicode MS"/>
      <w:kern w:val="0"/>
      <w:sz w:val="24"/>
      <w:szCs w:val="20"/>
    </w:rPr>
  </w:style>
  <w:style w:type="paragraph" w:customStyle="1" w:styleId="424">
    <w:name w:val="样式 标题 3 + 段前: 6 磅 段后: 3 磅 行距: 固定值 24 磅"/>
    <w:basedOn w:val="4"/>
    <w:qFormat/>
    <w:uiPriority w:val="0"/>
    <w:pPr>
      <w:numPr>
        <w:numId w:val="0"/>
      </w:numPr>
      <w:tabs>
        <w:tab w:val="left" w:pos="0"/>
      </w:tabs>
      <w:spacing w:beforeLines="0" w:afterLines="0" w:line="480" w:lineRule="auto"/>
    </w:pPr>
    <w:rPr>
      <w:rFonts w:ascii="宋体" w:eastAsia="宋体"/>
      <w:b/>
      <w:bCs w:val="0"/>
      <w:color w:val="FF0000"/>
      <w:sz w:val="30"/>
      <w:szCs w:val="30"/>
    </w:rPr>
  </w:style>
  <w:style w:type="paragraph" w:customStyle="1" w:styleId="425">
    <w:name w:val="xl72"/>
    <w:basedOn w:val="1"/>
    <w:qFormat/>
    <w:uiPriority w:val="0"/>
    <w:pPr>
      <w:widowControl/>
      <w:pBdr>
        <w:top w:val="single" w:color="auto" w:sz="4" w:space="0"/>
        <w:left w:val="single" w:color="auto" w:sz="4" w:space="0"/>
        <w:bottom w:val="single" w:color="auto" w:sz="4" w:space="0"/>
      </w:pBdr>
      <w:spacing w:before="100" w:after="100"/>
      <w:jc w:val="left"/>
    </w:pPr>
    <w:rPr>
      <w:rFonts w:ascii="Arial Unicode MS" w:hAnsi="Arial Unicode MS" w:eastAsia="Arial Unicode MS"/>
      <w:kern w:val="0"/>
      <w:sz w:val="24"/>
      <w:szCs w:val="20"/>
    </w:rPr>
  </w:style>
  <w:style w:type="paragraph" w:customStyle="1" w:styleId="426">
    <w:name w:val="表格03"/>
    <w:basedOn w:val="1"/>
    <w:qFormat/>
    <w:uiPriority w:val="0"/>
    <w:pPr>
      <w:spacing w:line="400" w:lineRule="exact"/>
      <w:jc w:val="center"/>
    </w:pPr>
    <w:rPr>
      <w:szCs w:val="21"/>
    </w:rPr>
  </w:style>
  <w:style w:type="paragraph" w:customStyle="1" w:styleId="427">
    <w:name w:val="5"/>
    <w:basedOn w:val="1"/>
    <w:next w:val="28"/>
    <w:qFormat/>
    <w:uiPriority w:val="0"/>
    <w:pPr>
      <w:spacing w:before="120" w:line="440" w:lineRule="exact"/>
      <w:jc w:val="center"/>
    </w:pPr>
    <w:rPr>
      <w:rFonts w:ascii="仿宋_GB2312" w:hAnsi="Courier New" w:eastAsia="仿宋_GB2312"/>
      <w:b/>
      <w:bCs/>
      <w:sz w:val="24"/>
      <w:szCs w:val="20"/>
    </w:rPr>
  </w:style>
  <w:style w:type="paragraph" w:customStyle="1" w:styleId="428">
    <w:name w:val="插图标题"/>
    <w:basedOn w:val="1"/>
    <w:qFormat/>
    <w:uiPriority w:val="0"/>
    <w:pPr>
      <w:spacing w:line="360" w:lineRule="auto"/>
      <w:jc w:val="center"/>
    </w:pPr>
    <w:rPr>
      <w:rFonts w:ascii="黑体" w:eastAsia="黑体"/>
      <w:b/>
      <w:bCs/>
      <w:sz w:val="28"/>
    </w:rPr>
  </w:style>
  <w:style w:type="paragraph" w:customStyle="1" w:styleId="429">
    <w:name w:val="简单回函地址"/>
    <w:basedOn w:val="1"/>
    <w:qFormat/>
    <w:uiPriority w:val="0"/>
    <w:pPr>
      <w:spacing w:line="360" w:lineRule="auto"/>
      <w:ind w:firstLine="482"/>
    </w:pPr>
    <w:rPr>
      <w:color w:val="000000"/>
      <w:sz w:val="28"/>
      <w:szCs w:val="20"/>
    </w:rPr>
  </w:style>
  <w:style w:type="paragraph" w:customStyle="1" w:styleId="430">
    <w:name w:val="xl55"/>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kern w:val="0"/>
      <w:sz w:val="28"/>
      <w:szCs w:val="28"/>
    </w:rPr>
  </w:style>
  <w:style w:type="paragraph" w:customStyle="1" w:styleId="431">
    <w:name w:val="表格1"/>
    <w:basedOn w:val="1"/>
    <w:qFormat/>
    <w:uiPriority w:val="0"/>
    <w:pPr>
      <w:spacing w:before="120" w:line="360" w:lineRule="auto"/>
    </w:pPr>
    <w:rPr>
      <w:sz w:val="24"/>
      <w:szCs w:val="20"/>
    </w:rPr>
  </w:style>
  <w:style w:type="paragraph" w:customStyle="1" w:styleId="432">
    <w:name w:val="样式4"/>
    <w:basedOn w:val="1"/>
    <w:next w:val="1"/>
    <w:qFormat/>
    <w:uiPriority w:val="0"/>
    <w:pPr>
      <w:spacing w:line="500" w:lineRule="exact"/>
      <w:jc w:val="center"/>
    </w:pPr>
    <w:rPr>
      <w:rFonts w:ascii="楷体_GB2312" w:eastAsia="楷体_GB2312"/>
      <w:sz w:val="24"/>
    </w:rPr>
  </w:style>
  <w:style w:type="paragraph" w:customStyle="1" w:styleId="433">
    <w:name w:val="汉川标题1"/>
    <w:basedOn w:val="55"/>
    <w:next w:val="55"/>
    <w:qFormat/>
    <w:uiPriority w:val="0"/>
    <w:pPr>
      <w:adjustRightInd/>
      <w:spacing w:line="480" w:lineRule="auto"/>
      <w:ind w:firstLine="0" w:firstLineChars="0"/>
      <w:textAlignment w:val="auto"/>
    </w:pPr>
    <w:rPr>
      <w:rFonts w:eastAsia="宋体"/>
      <w:kern w:val="2"/>
      <w:sz w:val="44"/>
    </w:rPr>
  </w:style>
  <w:style w:type="paragraph" w:customStyle="1" w:styleId="434">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435">
    <w:name w:val="xl27"/>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436">
    <w:name w:val="xl63"/>
    <w:basedOn w:val="1"/>
    <w:qFormat/>
    <w:uiPriority w:val="0"/>
    <w:pPr>
      <w:widowControl/>
      <w:pBdr>
        <w:top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kern w:val="0"/>
      <w:sz w:val="24"/>
      <w:szCs w:val="20"/>
    </w:rPr>
  </w:style>
  <w:style w:type="paragraph" w:customStyle="1" w:styleId="437">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3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439">
    <w:name w:val="样式 首行缩进:  0.77 厘米 行距: 固定值 20 磅"/>
    <w:basedOn w:val="1"/>
    <w:qFormat/>
    <w:uiPriority w:val="0"/>
    <w:pPr>
      <w:spacing w:line="360" w:lineRule="auto"/>
      <w:ind w:firstLine="435"/>
    </w:pPr>
    <w:rPr>
      <w:sz w:val="24"/>
      <w:szCs w:val="20"/>
    </w:rPr>
  </w:style>
  <w:style w:type="paragraph" w:customStyle="1" w:styleId="440">
    <w:name w:val="xl3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kern w:val="0"/>
      <w:sz w:val="20"/>
      <w:szCs w:val="20"/>
    </w:rPr>
  </w:style>
  <w:style w:type="paragraph" w:customStyle="1" w:styleId="441">
    <w:name w:val="样式 三级 + 段前: 12 磅 段后: 12 磅"/>
    <w:basedOn w:val="407"/>
    <w:qFormat/>
    <w:uiPriority w:val="0"/>
    <w:pPr>
      <w:tabs>
        <w:tab w:val="left" w:pos="360"/>
        <w:tab w:val="clear" w:pos="0"/>
      </w:tabs>
      <w:spacing w:line="500" w:lineRule="exact"/>
      <w:ind w:left="360" w:right="100" w:hanging="360"/>
    </w:pPr>
    <w:rPr>
      <w:rFonts w:eastAsia="宋体"/>
      <w:spacing w:val="0"/>
      <w:szCs w:val="20"/>
    </w:rPr>
  </w:style>
  <w:style w:type="paragraph" w:customStyle="1" w:styleId="442">
    <w:name w:val="xl57"/>
    <w:basedOn w:val="1"/>
    <w:qFormat/>
    <w:uiPriority w:val="0"/>
    <w:pPr>
      <w:widowControl/>
      <w:pBdr>
        <w:top w:val="single" w:color="auto" w:sz="4" w:space="0"/>
        <w:bottom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443">
    <w:name w:val="xl3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宋体" w:hAnsi="宋体"/>
      <w:kern w:val="0"/>
      <w:sz w:val="20"/>
      <w:szCs w:val="20"/>
    </w:rPr>
  </w:style>
  <w:style w:type="paragraph" w:customStyle="1" w:styleId="444">
    <w:name w:val="xl59"/>
    <w:basedOn w:val="1"/>
    <w:qFormat/>
    <w:uiPriority w:val="0"/>
    <w:pPr>
      <w:widowControl/>
      <w:pBdr>
        <w:top w:val="single" w:color="auto" w:sz="4" w:space="0"/>
        <w:left w:val="single" w:color="auto" w:sz="4" w:space="0"/>
        <w:bottom w:val="single" w:color="auto" w:sz="4" w:space="0"/>
      </w:pBdr>
      <w:spacing w:before="100" w:after="100"/>
      <w:jc w:val="right"/>
      <w:textAlignment w:val="center"/>
    </w:pPr>
    <w:rPr>
      <w:rFonts w:ascii="Romantic" w:hAnsi="Romantic" w:eastAsia="Arial Unicode MS"/>
      <w:b/>
      <w:kern w:val="0"/>
      <w:sz w:val="24"/>
      <w:szCs w:val="20"/>
    </w:rPr>
  </w:style>
  <w:style w:type="paragraph" w:customStyle="1" w:styleId="445">
    <w:name w:val="标题2"/>
    <w:basedOn w:val="397"/>
    <w:qFormat/>
    <w:uiPriority w:val="0"/>
    <w:rPr>
      <w:rFonts w:eastAsia="仿宋_GB2312"/>
    </w:rPr>
  </w:style>
  <w:style w:type="paragraph" w:customStyle="1" w:styleId="446">
    <w:name w:val="xl3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hAnsi="宋体"/>
      <w:kern w:val="0"/>
      <w:sz w:val="20"/>
      <w:szCs w:val="20"/>
    </w:rPr>
  </w:style>
  <w:style w:type="paragraph" w:customStyle="1" w:styleId="447">
    <w:name w:val="小四宋居中1.0"/>
    <w:basedOn w:val="1"/>
    <w:next w:val="1"/>
    <w:qFormat/>
    <w:uiPriority w:val="0"/>
    <w:pPr>
      <w:spacing w:line="230" w:lineRule="exact"/>
      <w:jc w:val="center"/>
    </w:pPr>
    <w:rPr>
      <w:rFonts w:ascii="仿宋_GB2312" w:hAnsi="Arial" w:eastAsia="仿宋_GB2312" w:cs="Arial"/>
      <w:szCs w:val="21"/>
    </w:rPr>
  </w:style>
  <w:style w:type="paragraph" w:customStyle="1" w:styleId="448">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49">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450">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 w:val="24"/>
    </w:rPr>
  </w:style>
  <w:style w:type="paragraph" w:customStyle="1" w:styleId="451">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452">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53">
    <w:name w:val="xl65"/>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b/>
      <w:kern w:val="0"/>
      <w:sz w:val="24"/>
      <w:szCs w:val="20"/>
    </w:rPr>
  </w:style>
  <w:style w:type="paragraph" w:customStyle="1" w:styleId="454">
    <w:name w:val="xl4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 w:val="24"/>
    </w:rPr>
  </w:style>
  <w:style w:type="paragraph" w:customStyle="1" w:styleId="455">
    <w:name w:val="表题"/>
    <w:next w:val="1"/>
    <w:qFormat/>
    <w:uiPriority w:val="0"/>
    <w:pPr>
      <w:tabs>
        <w:tab w:val="left" w:pos="1134"/>
      </w:tabs>
      <w:spacing w:line="240" w:lineRule="exact"/>
      <w:jc w:val="both"/>
    </w:pPr>
    <w:rPr>
      <w:rFonts w:ascii="仿宋_GB2312" w:hAnsi="Times New Roman" w:eastAsia="仿宋_GB2312" w:cs="Times New Roman"/>
      <w:sz w:val="24"/>
      <w:lang w:val="en-US" w:eastAsia="zh-CN" w:bidi="ar-SA"/>
    </w:rPr>
  </w:style>
  <w:style w:type="paragraph" w:customStyle="1" w:styleId="456">
    <w:name w:val="xl4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kern w:val="0"/>
      <w:sz w:val="24"/>
    </w:rPr>
  </w:style>
  <w:style w:type="paragraph" w:customStyle="1" w:styleId="457">
    <w:name w:val="报告样式1"/>
    <w:basedOn w:val="2"/>
    <w:next w:val="363"/>
    <w:qFormat/>
    <w:uiPriority w:val="0"/>
    <w:pPr>
      <w:pageBreakBefore w:val="0"/>
      <w:adjustRightInd w:val="0"/>
      <w:snapToGrid w:val="0"/>
      <w:spacing w:beforeLines="0" w:afterLines="0"/>
      <w:ind w:left="0" w:firstLine="1446" w:firstLineChars="400"/>
      <w:jc w:val="both"/>
    </w:pPr>
    <w:rPr>
      <w:rFonts w:eastAsia="宋体"/>
      <w:bCs w:val="0"/>
      <w:szCs w:val="24"/>
    </w:rPr>
  </w:style>
  <w:style w:type="paragraph" w:customStyle="1" w:styleId="458">
    <w:name w:val="xl4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 w:val="24"/>
    </w:rPr>
  </w:style>
  <w:style w:type="paragraph" w:customStyle="1" w:styleId="459">
    <w:name w:val="xl5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 w:val="24"/>
    </w:rPr>
  </w:style>
  <w:style w:type="paragraph" w:customStyle="1" w:styleId="460">
    <w:name w:val="Level 1"/>
    <w:qFormat/>
    <w:uiPriority w:val="0"/>
    <w:pPr>
      <w:widowControl w:val="0"/>
      <w:tabs>
        <w:tab w:val="left" w:pos="-720"/>
      </w:tabs>
      <w:suppressAutoHyphens/>
    </w:pPr>
    <w:rPr>
      <w:rFonts w:ascii="CG Times" w:hAnsi="CG Times" w:eastAsia="宋体" w:cs="Times New Roman"/>
      <w:b/>
      <w:bCs/>
      <w:sz w:val="22"/>
      <w:szCs w:val="22"/>
      <w:lang w:val="en-US" w:eastAsia="en-US" w:bidi="ar-SA"/>
    </w:rPr>
  </w:style>
  <w:style w:type="paragraph" w:customStyle="1" w:styleId="461">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4"/>
    </w:rPr>
  </w:style>
  <w:style w:type="paragraph" w:customStyle="1" w:styleId="462">
    <w:name w:val="图表头"/>
    <w:basedOn w:val="1"/>
    <w:qFormat/>
    <w:uiPriority w:val="0"/>
    <w:pPr>
      <w:adjustRightInd w:val="0"/>
      <w:spacing w:line="360" w:lineRule="auto"/>
      <w:jc w:val="center"/>
      <w:textAlignment w:val="baseline"/>
    </w:pPr>
    <w:rPr>
      <w:rFonts w:ascii="黑体" w:eastAsia="黑体"/>
      <w:spacing w:val="5"/>
      <w:kern w:val="0"/>
      <w:szCs w:val="20"/>
    </w:rPr>
  </w:style>
  <w:style w:type="paragraph" w:customStyle="1" w:styleId="463">
    <w:name w:val="文本框"/>
    <w:basedOn w:val="1"/>
    <w:next w:val="1"/>
    <w:qFormat/>
    <w:uiPriority w:val="0"/>
    <w:pPr>
      <w:tabs>
        <w:tab w:val="left" w:pos="0"/>
      </w:tabs>
      <w:spacing w:line="300" w:lineRule="exact"/>
      <w:jc w:val="center"/>
    </w:pPr>
    <w:rPr>
      <w:rFonts w:hAnsi="宋体" w:eastAsia="仿宋_GB2312"/>
      <w:sz w:val="24"/>
      <w:szCs w:val="28"/>
    </w:rPr>
  </w:style>
  <w:style w:type="paragraph" w:customStyle="1" w:styleId="464">
    <w:name w:val="表名"/>
    <w:basedOn w:val="1"/>
    <w:qFormat/>
    <w:uiPriority w:val="0"/>
    <w:pPr>
      <w:spacing w:line="324" w:lineRule="auto"/>
      <w:ind w:firstLine="819" w:firstLineChars="340"/>
    </w:pPr>
    <w:rPr>
      <w:rFonts w:eastAsia="黑体"/>
      <w:b/>
      <w:bCs/>
      <w:color w:val="000000"/>
      <w:sz w:val="24"/>
      <w:szCs w:val="20"/>
    </w:rPr>
  </w:style>
  <w:style w:type="paragraph" w:customStyle="1" w:styleId="465">
    <w:name w:val="二级"/>
    <w:basedOn w:val="3"/>
    <w:next w:val="1"/>
    <w:qFormat/>
    <w:uiPriority w:val="0"/>
    <w:pPr>
      <w:numPr>
        <w:ilvl w:val="0"/>
        <w:numId w:val="0"/>
      </w:numPr>
      <w:tabs>
        <w:tab w:val="left" w:pos="567"/>
        <w:tab w:val="clear" w:pos="576"/>
      </w:tabs>
      <w:spacing w:beforeLines="0" w:afterLines="0" w:line="500" w:lineRule="exact"/>
    </w:pPr>
    <w:rPr>
      <w:spacing w:val="12"/>
      <w:sz w:val="30"/>
      <w:szCs w:val="30"/>
    </w:rPr>
  </w:style>
  <w:style w:type="paragraph" w:customStyle="1" w:styleId="466">
    <w:name w:val="Char Char Char1 Char Char Char Char"/>
    <w:basedOn w:val="1"/>
    <w:qFormat/>
    <w:uiPriority w:val="0"/>
    <w:rPr>
      <w:rFonts w:ascii="宋体" w:hAnsi="宋体" w:cs="Courier New"/>
      <w:sz w:val="32"/>
      <w:szCs w:val="32"/>
    </w:rPr>
  </w:style>
  <w:style w:type="paragraph" w:customStyle="1" w:styleId="467">
    <w:name w:val="样式 样式 首行缩进:  2 字符 + 居中"/>
    <w:basedOn w:val="418"/>
    <w:qFormat/>
    <w:uiPriority w:val="0"/>
    <w:pPr>
      <w:ind w:firstLine="0" w:firstLineChars="0"/>
      <w:jc w:val="center"/>
    </w:pPr>
    <w:rPr>
      <w:rFonts w:hAnsi="Times New Roman"/>
    </w:rPr>
  </w:style>
  <w:style w:type="paragraph" w:customStyle="1" w:styleId="468">
    <w:name w:val="Char2"/>
    <w:basedOn w:val="18"/>
    <w:qFormat/>
    <w:uiPriority w:val="0"/>
    <w:pPr>
      <w:shd w:val="clear" w:color="auto" w:fill="000080"/>
    </w:pPr>
    <w:rPr>
      <w:rFonts w:ascii="Tahoma" w:hAnsi="Tahoma"/>
      <w:sz w:val="24"/>
      <w:szCs w:val="24"/>
    </w:rPr>
  </w:style>
  <w:style w:type="paragraph" w:customStyle="1" w:styleId="469">
    <w:name w:val="xl2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470">
    <w:name w:val="style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71">
    <w:name w:val="样式 标题 1 + (中文) 宋体 小三 行距: 多倍行距 1.35 字行"/>
    <w:basedOn w:val="2"/>
    <w:qFormat/>
    <w:uiPriority w:val="0"/>
    <w:pPr>
      <w:pageBreakBefore w:val="0"/>
      <w:snapToGrid w:val="0"/>
      <w:spacing w:beforeLines="50" w:afterLines="0" w:line="500" w:lineRule="exact"/>
      <w:ind w:left="0" w:firstLine="0"/>
      <w:jc w:val="both"/>
    </w:pPr>
    <w:rPr>
      <w:rFonts w:ascii="楷体_GB2312" w:hAnsi="华文楷体" w:eastAsia="楷体_GB2312"/>
      <w:sz w:val="32"/>
      <w:szCs w:val="32"/>
    </w:rPr>
  </w:style>
  <w:style w:type="paragraph" w:customStyle="1" w:styleId="472">
    <w:name w:val="xl60"/>
    <w:basedOn w:val="1"/>
    <w:qFormat/>
    <w:uiPriority w:val="0"/>
    <w:pPr>
      <w:widowControl/>
      <w:pBdr>
        <w:top w:val="single" w:color="auto" w:sz="4" w:space="0"/>
        <w:bottom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473">
    <w:name w:val="p0"/>
    <w:basedOn w:val="1"/>
    <w:qFormat/>
    <w:uiPriority w:val="99"/>
    <w:pPr>
      <w:widowControl/>
      <w:autoSpaceDE w:val="0"/>
      <w:autoSpaceDN w:val="0"/>
      <w:spacing w:line="540" w:lineRule="atLeast"/>
    </w:pPr>
    <w:rPr>
      <w:rFonts w:hint="eastAsia" w:ascii="華康中楷體" w:eastAsia="華康中楷體"/>
      <w:spacing w:val="20"/>
      <w:kern w:val="0"/>
      <w:sz w:val="28"/>
      <w:szCs w:val="28"/>
      <w:lang w:eastAsia="zh-TW"/>
    </w:rPr>
  </w:style>
  <w:style w:type="paragraph" w:customStyle="1" w:styleId="474">
    <w:name w:val="xl70"/>
    <w:basedOn w:val="1"/>
    <w:qFormat/>
    <w:uiPriority w:val="0"/>
    <w:pPr>
      <w:widowControl/>
      <w:pBdr>
        <w:top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4"/>
      <w:szCs w:val="20"/>
    </w:rPr>
  </w:style>
  <w:style w:type="paragraph" w:customStyle="1" w:styleId="475">
    <w:name w:val="xl71"/>
    <w:basedOn w:val="1"/>
    <w:qFormat/>
    <w:uiPriority w:val="0"/>
    <w:pPr>
      <w:widowControl/>
      <w:pBdr>
        <w:top w:val="single" w:color="auto" w:sz="4" w:space="0"/>
        <w:left w:val="single" w:color="auto" w:sz="4" w:space="0"/>
        <w:bottom w:val="single" w:color="auto" w:sz="4" w:space="0"/>
      </w:pBdr>
      <w:spacing w:before="100" w:after="100"/>
      <w:jc w:val="right"/>
    </w:pPr>
    <w:rPr>
      <w:rFonts w:ascii="Arial Unicode MS" w:hAnsi="Arial Unicode MS" w:eastAsia="Arial Unicode MS"/>
      <w:kern w:val="0"/>
      <w:sz w:val="24"/>
      <w:szCs w:val="20"/>
    </w:rPr>
  </w:style>
  <w:style w:type="paragraph" w:customStyle="1" w:styleId="476">
    <w:name w:val="小四表文左齐"/>
    <w:basedOn w:val="1"/>
    <w:qFormat/>
    <w:uiPriority w:val="0"/>
    <w:pPr>
      <w:spacing w:line="400" w:lineRule="exact"/>
      <w:jc w:val="center"/>
    </w:pPr>
    <w:rPr>
      <w:rFonts w:ascii="楷体_GB2312" w:hAnsi="宋体" w:eastAsia="楷体_GB2312"/>
      <w:sz w:val="24"/>
      <w:szCs w:val="21"/>
    </w:rPr>
  </w:style>
  <w:style w:type="paragraph" w:customStyle="1" w:styleId="477">
    <w:name w:val="标题5"/>
    <w:basedOn w:val="5"/>
    <w:qFormat/>
    <w:uiPriority w:val="0"/>
    <w:pPr>
      <w:keepNext w:val="0"/>
      <w:keepLines w:val="0"/>
      <w:tabs>
        <w:tab w:val="left" w:pos="425"/>
      </w:tabs>
      <w:spacing w:line="240" w:lineRule="auto"/>
      <w:ind w:left="425" w:hanging="425"/>
    </w:pPr>
    <w:rPr>
      <w:rFonts w:ascii="Arial" w:hAnsi="Arial" w:eastAsia="宋体"/>
      <w:kern w:val="2"/>
      <w:szCs w:val="20"/>
    </w:rPr>
  </w:style>
  <w:style w:type="paragraph" w:customStyle="1" w:styleId="478">
    <w:name w:val="样式 标题 3 + 黑体 四号 非加粗"/>
    <w:basedOn w:val="4"/>
    <w:qFormat/>
    <w:uiPriority w:val="0"/>
    <w:pPr>
      <w:numPr>
        <w:ilvl w:val="0"/>
        <w:numId w:val="0"/>
      </w:numPr>
      <w:spacing w:beforeLines="0" w:afterLines="0"/>
    </w:pPr>
    <w:rPr>
      <w:rFonts w:ascii="黑体" w:hAnsi="黑体" w:eastAsia="宋体"/>
      <w:sz w:val="28"/>
    </w:rPr>
  </w:style>
  <w:style w:type="paragraph" w:customStyle="1" w:styleId="479">
    <w:name w:val="xl64"/>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b/>
      <w:kern w:val="0"/>
      <w:sz w:val="24"/>
      <w:szCs w:val="20"/>
    </w:rPr>
  </w:style>
  <w:style w:type="paragraph" w:customStyle="1" w:styleId="480">
    <w:name w:val="Z标题-0"/>
    <w:basedOn w:val="55"/>
    <w:qFormat/>
    <w:uiPriority w:val="0"/>
    <w:pPr>
      <w:adjustRightInd/>
      <w:spacing w:before="0" w:after="0" w:line="240" w:lineRule="auto"/>
      <w:ind w:right="2319" w:firstLine="0" w:firstLineChars="0"/>
      <w:jc w:val="right"/>
      <w:textAlignment w:val="auto"/>
    </w:pPr>
    <w:rPr>
      <w:rFonts w:ascii="宋体" w:hAnsi="Times New Roman" w:eastAsia="宋体"/>
      <w:b w:val="0"/>
      <w:bCs w:val="0"/>
      <w:color w:val="000000"/>
      <w:kern w:val="2"/>
      <w:szCs w:val="20"/>
    </w:rPr>
  </w:style>
  <w:style w:type="paragraph" w:customStyle="1" w:styleId="481">
    <w:name w:val="样式 样式 三级 + 段前: 12 磅 段后: 12 磅 + 右侧:  1 字符"/>
    <w:basedOn w:val="4"/>
    <w:next w:val="1"/>
    <w:qFormat/>
    <w:uiPriority w:val="0"/>
    <w:pPr>
      <w:numPr>
        <w:ilvl w:val="0"/>
        <w:numId w:val="0"/>
      </w:numPr>
      <w:tabs>
        <w:tab w:val="left" w:pos="1260"/>
      </w:tabs>
      <w:spacing w:beforeLines="0" w:afterLines="0" w:line="500" w:lineRule="exact"/>
      <w:ind w:left="1260" w:hanging="420"/>
    </w:pPr>
    <w:rPr>
      <w:rFonts w:ascii="宋体" w:eastAsia="宋体"/>
      <w:b/>
      <w:bCs w:val="0"/>
      <w:sz w:val="28"/>
    </w:rPr>
  </w:style>
  <w:style w:type="paragraph" w:customStyle="1" w:styleId="482">
    <w:name w:val="T表格"/>
    <w:qFormat/>
    <w:uiPriority w:val="0"/>
    <w:pPr>
      <w:jc w:val="center"/>
    </w:pPr>
    <w:rPr>
      <w:rFonts w:ascii="仿宋_GB2312" w:hAnsi="Times New Roman" w:eastAsia="仿宋_GB2312" w:cs="Times New Roman"/>
      <w:kern w:val="2"/>
      <w:sz w:val="21"/>
      <w:szCs w:val="21"/>
      <w:lang w:val="en-US" w:eastAsia="zh-CN" w:bidi="ar-SA"/>
    </w:rPr>
  </w:style>
  <w:style w:type="paragraph" w:customStyle="1" w:styleId="483">
    <w:name w:val="表标题"/>
    <w:basedOn w:val="1"/>
    <w:qFormat/>
    <w:uiPriority w:val="0"/>
    <w:pPr>
      <w:adjustRightInd w:val="0"/>
      <w:spacing w:before="60" w:line="300" w:lineRule="auto"/>
      <w:ind w:firstLine="200" w:firstLineChars="200"/>
      <w:jc w:val="center"/>
      <w:textAlignment w:val="baseline"/>
    </w:pPr>
    <w:rPr>
      <w:rFonts w:ascii="宋体"/>
      <w:b/>
      <w:color w:val="000000"/>
      <w:kern w:val="0"/>
      <w:sz w:val="24"/>
      <w:szCs w:val="20"/>
    </w:rPr>
  </w:style>
  <w:style w:type="paragraph" w:customStyle="1" w:styleId="484">
    <w:name w:val="样式 仿宋_GB2312 红色 首行缩进:  0.98 厘米"/>
    <w:basedOn w:val="1"/>
    <w:qFormat/>
    <w:uiPriority w:val="0"/>
    <w:pPr>
      <w:spacing w:line="500" w:lineRule="exact"/>
      <w:ind w:firstLine="556"/>
    </w:pPr>
    <w:rPr>
      <w:rFonts w:ascii="仿宋_GB2312" w:eastAsia="仿宋_GB2312" w:cs="宋体"/>
      <w:color w:val="FF0000"/>
      <w:sz w:val="28"/>
      <w:szCs w:val="28"/>
    </w:rPr>
  </w:style>
  <w:style w:type="paragraph" w:customStyle="1" w:styleId="485">
    <w:name w:val="样式5"/>
    <w:basedOn w:val="360"/>
    <w:qFormat/>
    <w:uiPriority w:val="0"/>
    <w:rPr>
      <w:rFonts w:cs="Arial"/>
    </w:rPr>
  </w:style>
  <w:style w:type="paragraph" w:customStyle="1" w:styleId="486">
    <w:name w:val="正文-1"/>
    <w:basedOn w:val="1"/>
    <w:qFormat/>
    <w:uiPriority w:val="0"/>
    <w:pPr>
      <w:adjustRightInd w:val="0"/>
      <w:spacing w:line="440" w:lineRule="exact"/>
      <w:ind w:firstLine="200" w:firstLineChars="200"/>
    </w:pPr>
    <w:rPr>
      <w:sz w:val="24"/>
      <w:szCs w:val="20"/>
    </w:rPr>
  </w:style>
  <w:style w:type="paragraph" w:customStyle="1" w:styleId="48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rPr>
  </w:style>
  <w:style w:type="paragraph" w:customStyle="1" w:styleId="488">
    <w:name w:val="三级标题"/>
    <w:basedOn w:val="1"/>
    <w:qFormat/>
    <w:uiPriority w:val="0"/>
    <w:pPr>
      <w:spacing w:line="360" w:lineRule="auto"/>
    </w:pPr>
    <w:rPr>
      <w:rFonts w:ascii="宋体" w:hAnsi="宋体"/>
      <w:bCs/>
      <w:sz w:val="24"/>
    </w:rPr>
  </w:style>
  <w:style w:type="paragraph" w:customStyle="1" w:styleId="489">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490">
    <w:name w:val="新正文"/>
    <w:basedOn w:val="1"/>
    <w:qFormat/>
    <w:uiPriority w:val="0"/>
    <w:pPr>
      <w:spacing w:line="480" w:lineRule="exact"/>
      <w:ind w:firstLine="482"/>
    </w:pPr>
    <w:rPr>
      <w:rFonts w:hint="eastAsia" w:ascii="仿宋_GB2312" w:eastAsia="仿宋_GB2312"/>
      <w:bCs/>
      <w:kern w:val="0"/>
      <w:sz w:val="28"/>
      <w:szCs w:val="20"/>
    </w:rPr>
  </w:style>
  <w:style w:type="paragraph" w:customStyle="1" w:styleId="491">
    <w:name w:val="pvc1.1"/>
    <w:basedOn w:val="3"/>
    <w:next w:val="3"/>
    <w:semiHidden/>
    <w:qFormat/>
    <w:uiPriority w:val="0"/>
    <w:pPr>
      <w:tabs>
        <w:tab w:val="left" w:pos="768"/>
      </w:tabs>
      <w:spacing w:beforeLines="100" w:afterLines="100" w:line="324" w:lineRule="auto"/>
    </w:pPr>
    <w:rPr>
      <w:rFonts w:eastAsia="华文中宋" w:cs="宋体"/>
      <w:b/>
      <w:bCs w:val="0"/>
      <w:sz w:val="44"/>
      <w:szCs w:val="44"/>
    </w:rPr>
  </w:style>
  <w:style w:type="paragraph" w:customStyle="1" w:styleId="492">
    <w:name w:val="text"/>
    <w:basedOn w:val="1"/>
    <w:qFormat/>
    <w:uiPriority w:val="0"/>
    <w:pPr>
      <w:widowControl/>
      <w:spacing w:before="100" w:beforeAutospacing="1" w:after="100" w:afterAutospacing="1"/>
      <w:jc w:val="left"/>
    </w:pPr>
    <w:rPr>
      <w:kern w:val="0"/>
      <w:sz w:val="24"/>
    </w:rPr>
  </w:style>
  <w:style w:type="paragraph" w:customStyle="1" w:styleId="493">
    <w:name w:val="xl10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494">
    <w:name w:val="Print- From: To: Subject: Date:"/>
    <w:basedOn w:val="1"/>
    <w:qFormat/>
    <w:uiPriority w:val="0"/>
    <w:pPr>
      <w:pBdr>
        <w:left w:val="single" w:color="auto" w:sz="18" w:space="1"/>
      </w:pBdr>
      <w:adjustRightInd w:val="0"/>
      <w:spacing w:line="360" w:lineRule="atLeast"/>
      <w:jc w:val="left"/>
      <w:textAlignment w:val="baseline"/>
    </w:pPr>
    <w:rPr>
      <w:rFonts w:eastAsia="PMingLiU"/>
      <w:kern w:val="0"/>
      <w:sz w:val="24"/>
      <w:szCs w:val="20"/>
      <w:lang w:eastAsia="zh-TW"/>
    </w:rPr>
  </w:style>
  <w:style w:type="paragraph" w:customStyle="1" w:styleId="495">
    <w:name w:val="yz"/>
    <w:basedOn w:val="23"/>
    <w:qFormat/>
    <w:uiPriority w:val="0"/>
    <w:pPr>
      <w:tabs>
        <w:tab w:val="left" w:pos="900"/>
      </w:tabs>
      <w:adjustRightInd w:val="0"/>
      <w:spacing w:line="240" w:lineRule="auto"/>
      <w:ind w:firstLine="200" w:firstLineChars="200"/>
      <w:jc w:val="both"/>
      <w:textAlignment w:val="baseline"/>
    </w:pPr>
    <w:rPr>
      <w:rFonts w:hint="eastAsia" w:ascii="宋体" w:hAnsi="宋体"/>
    </w:rPr>
  </w:style>
  <w:style w:type="paragraph" w:customStyle="1" w:styleId="496">
    <w:name w:val="Title.3"/>
    <w:next w:val="1"/>
    <w:qFormat/>
    <w:uiPriority w:val="0"/>
    <w:pPr>
      <w:keepNext/>
      <w:keepLines/>
      <w:spacing w:beforeLines="50" w:line="360" w:lineRule="auto"/>
      <w:outlineLvl w:val="2"/>
    </w:pPr>
    <w:rPr>
      <w:rFonts w:ascii="Times New Roman" w:hAnsi="Times New Roman" w:eastAsia="仿宋_GB2312" w:cs="Times New Roman"/>
      <w:sz w:val="28"/>
      <w:lang w:val="en-US" w:eastAsia="zh-CN" w:bidi="ar-SA"/>
    </w:rPr>
  </w:style>
  <w:style w:type="paragraph" w:customStyle="1" w:styleId="497">
    <w:name w:val="7"/>
    <w:basedOn w:val="1"/>
    <w:qFormat/>
    <w:uiPriority w:val="0"/>
    <w:pPr>
      <w:adjustRightInd w:val="0"/>
      <w:snapToGrid w:val="0"/>
      <w:spacing w:line="300" w:lineRule="auto"/>
    </w:pPr>
    <w:rPr>
      <w:rFonts w:ascii="仿宋_GB2312" w:eastAsia="仿宋_GB2312"/>
      <w:sz w:val="28"/>
    </w:rPr>
  </w:style>
  <w:style w:type="paragraph" w:customStyle="1" w:styleId="498">
    <w:name w:val="zhang正文"/>
    <w:basedOn w:val="24"/>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4"/>
      <w:szCs w:val="20"/>
    </w:rPr>
  </w:style>
  <w:style w:type="paragraph" w:customStyle="1" w:styleId="499">
    <w:name w:val="xl9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500">
    <w:name w:val="小四表格"/>
    <w:basedOn w:val="1"/>
    <w:qFormat/>
    <w:uiPriority w:val="0"/>
    <w:pPr>
      <w:keepNext/>
      <w:autoSpaceDE w:val="0"/>
      <w:autoSpaceDN w:val="0"/>
      <w:adjustRightInd w:val="0"/>
      <w:spacing w:line="480" w:lineRule="atLeast"/>
      <w:jc w:val="center"/>
    </w:pPr>
    <w:rPr>
      <w:color w:val="000000"/>
      <w:sz w:val="24"/>
      <w:szCs w:val="20"/>
    </w:rPr>
  </w:style>
  <w:style w:type="paragraph" w:customStyle="1" w:styleId="501">
    <w:name w:val="空行"/>
    <w:basedOn w:val="1"/>
    <w:qFormat/>
    <w:uiPriority w:val="0"/>
    <w:pPr>
      <w:adjustRightInd w:val="0"/>
      <w:snapToGrid w:val="0"/>
      <w:spacing w:beforeLines="50"/>
    </w:pPr>
    <w:rPr>
      <w:sz w:val="18"/>
    </w:rPr>
  </w:style>
  <w:style w:type="paragraph" w:customStyle="1" w:styleId="502">
    <w:name w:val="T表头"/>
    <w:next w:val="1"/>
    <w:qFormat/>
    <w:uiPriority w:val="0"/>
    <w:pPr>
      <w:keepNext/>
      <w:keepLines/>
      <w:spacing w:line="360" w:lineRule="auto"/>
      <w:jc w:val="center"/>
    </w:pPr>
    <w:rPr>
      <w:rFonts w:ascii="Times New Roman" w:hAnsi="Times New Roman" w:eastAsia="黑体" w:cs="Times New Roman"/>
      <w:sz w:val="28"/>
      <w:lang w:val="en-US" w:eastAsia="zh-CN" w:bidi="ar-SA"/>
    </w:rPr>
  </w:style>
  <w:style w:type="paragraph" w:customStyle="1" w:styleId="503">
    <w:name w:val="Body Text 21"/>
    <w:basedOn w:val="1"/>
    <w:qFormat/>
    <w:uiPriority w:val="0"/>
    <w:pPr>
      <w:adjustRightInd w:val="0"/>
      <w:textAlignment w:val="baseline"/>
    </w:pPr>
    <w:rPr>
      <w:rFonts w:eastAsia="仿宋体"/>
      <w:sz w:val="24"/>
      <w:szCs w:val="20"/>
    </w:rPr>
  </w:style>
  <w:style w:type="paragraph" w:customStyle="1" w:styleId="504">
    <w:name w:val="az"/>
    <w:basedOn w:val="1"/>
    <w:qFormat/>
    <w:uiPriority w:val="0"/>
    <w:pPr>
      <w:ind w:firstLine="482"/>
    </w:pPr>
    <w:rPr>
      <w:rFonts w:ascii="宋体" w:hAnsi="宋体"/>
      <w:sz w:val="24"/>
    </w:rPr>
  </w:style>
  <w:style w:type="paragraph" w:customStyle="1" w:styleId="50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rPr>
  </w:style>
  <w:style w:type="paragraph" w:customStyle="1" w:styleId="506">
    <w:name w:val="Char Char Char Char Char Char Char Char Char Char Char Char Char Char Char Char Char Char Char Char Char Char Char Char"/>
    <w:basedOn w:val="1"/>
    <w:qFormat/>
    <w:uiPriority w:val="0"/>
    <w:rPr>
      <w:rFonts w:ascii="仿宋_GB2312" w:eastAsia="仿宋_GB2312"/>
      <w:b/>
      <w:sz w:val="32"/>
      <w:szCs w:val="32"/>
    </w:rPr>
  </w:style>
  <w:style w:type="paragraph" w:customStyle="1" w:styleId="507">
    <w:name w:val="ISO标题1."/>
    <w:qFormat/>
    <w:uiPriority w:val="0"/>
    <w:pPr>
      <w:tabs>
        <w:tab w:val="left" w:pos="360"/>
      </w:tabs>
      <w:autoSpaceDE w:val="0"/>
      <w:autoSpaceDN w:val="0"/>
      <w:adjustRightInd w:val="0"/>
      <w:ind w:left="360" w:hanging="360"/>
      <w:outlineLvl w:val="0"/>
    </w:pPr>
    <w:rPr>
      <w:rFonts w:ascii="宋体" w:hAnsi="宋体" w:eastAsia="宋体" w:cs="Times New Roman"/>
      <w:color w:val="000000"/>
      <w:sz w:val="24"/>
      <w:szCs w:val="24"/>
      <w:lang w:val="en-US" w:eastAsia="zh-CN" w:bidi="ar-SA"/>
    </w:rPr>
  </w:style>
  <w:style w:type="paragraph" w:customStyle="1" w:styleId="50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09">
    <w:name w:val="ISO标题2"/>
    <w:basedOn w:val="507"/>
    <w:qFormat/>
    <w:uiPriority w:val="0"/>
    <w:pPr>
      <w:tabs>
        <w:tab w:val="left" w:pos="840"/>
      </w:tabs>
      <w:ind w:left="840" w:hanging="420"/>
      <w:outlineLvl w:val="1"/>
    </w:pPr>
  </w:style>
  <w:style w:type="paragraph" w:customStyle="1" w:styleId="510">
    <w:name w:val="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511">
    <w:name w:val="ISO标题3"/>
    <w:basedOn w:val="509"/>
    <w:qFormat/>
    <w:uiPriority w:val="0"/>
    <w:pPr>
      <w:tabs>
        <w:tab w:val="left" w:pos="1260"/>
      </w:tabs>
      <w:ind w:left="1260"/>
      <w:outlineLvl w:val="2"/>
    </w:pPr>
  </w:style>
  <w:style w:type="paragraph" w:customStyle="1" w:styleId="512">
    <w:name w:val="表格内文字"/>
    <w:basedOn w:val="1"/>
    <w:link w:val="703"/>
    <w:qFormat/>
    <w:uiPriority w:val="0"/>
    <w:pPr>
      <w:adjustRightInd w:val="0"/>
      <w:snapToGrid w:val="0"/>
      <w:spacing w:before="40" w:after="40" w:line="320" w:lineRule="exact"/>
      <w:jc w:val="center"/>
    </w:pPr>
    <w:rPr>
      <w:snapToGrid w:val="0"/>
      <w:kern w:val="0"/>
      <w:sz w:val="24"/>
      <w:szCs w:val="20"/>
    </w:rPr>
  </w:style>
  <w:style w:type="paragraph" w:customStyle="1" w:styleId="513">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Cs w:val="21"/>
    </w:rPr>
  </w:style>
  <w:style w:type="paragraph" w:customStyle="1" w:styleId="514">
    <w:name w:val="ISO标题4"/>
    <w:qFormat/>
    <w:uiPriority w:val="0"/>
    <w:pPr>
      <w:tabs>
        <w:tab w:val="left" w:pos="1440"/>
        <w:tab w:val="left" w:pos="1680"/>
      </w:tabs>
      <w:ind w:left="1680" w:hanging="420"/>
      <w:outlineLvl w:val="3"/>
    </w:pPr>
    <w:rPr>
      <w:rFonts w:ascii="宋体" w:hAnsi="宋体" w:eastAsia="宋体" w:cs="Times New Roman"/>
      <w:color w:val="000000"/>
      <w:sz w:val="24"/>
      <w:szCs w:val="24"/>
      <w:lang w:val="en-US" w:eastAsia="zh-CN" w:bidi="ar-SA"/>
    </w:rPr>
  </w:style>
  <w:style w:type="paragraph" w:customStyle="1" w:styleId="515">
    <w:name w:val="Char Char Char1"/>
    <w:basedOn w:val="1"/>
    <w:qFormat/>
    <w:uiPriority w:val="0"/>
    <w:pPr>
      <w:spacing w:line="360" w:lineRule="auto"/>
      <w:ind w:firstLine="200" w:firstLineChars="200"/>
    </w:pPr>
    <w:rPr>
      <w:rFonts w:ascii="宋体" w:hAnsi="宋体" w:cs="宋体"/>
      <w:sz w:val="24"/>
    </w:rPr>
  </w:style>
  <w:style w:type="paragraph" w:customStyle="1" w:styleId="516">
    <w:name w:val="ISO标题5"/>
    <w:qFormat/>
    <w:uiPriority w:val="0"/>
    <w:pPr>
      <w:tabs>
        <w:tab w:val="left" w:pos="1800"/>
        <w:tab w:val="left" w:pos="2100"/>
      </w:tabs>
      <w:ind w:left="2100" w:hanging="420"/>
      <w:outlineLvl w:val="4"/>
    </w:pPr>
    <w:rPr>
      <w:rFonts w:ascii="宋体" w:hAnsi="宋体" w:eastAsia="宋体" w:cs="Times New Roman"/>
      <w:color w:val="000000"/>
      <w:sz w:val="24"/>
      <w:szCs w:val="24"/>
      <w:lang w:val="en-US" w:eastAsia="zh-CN" w:bidi="ar-SA"/>
    </w:rPr>
  </w:style>
  <w:style w:type="paragraph" w:customStyle="1" w:styleId="517">
    <w:name w:val="第六章表头"/>
    <w:basedOn w:val="1"/>
    <w:qFormat/>
    <w:uiPriority w:val="0"/>
    <w:pPr>
      <w:snapToGrid w:val="0"/>
      <w:spacing w:beforeLines="50" w:line="360" w:lineRule="auto"/>
      <w:ind w:left="420"/>
      <w:jc w:val="center"/>
    </w:pPr>
    <w:rPr>
      <w:b/>
      <w:color w:val="0000FF"/>
      <w:sz w:val="24"/>
    </w:rPr>
  </w:style>
  <w:style w:type="paragraph" w:customStyle="1" w:styleId="518">
    <w:name w:val="样式 样式 标题 1章标题章节H1NMP Heading 1Section HeadHeader1h11st leve... +..."/>
    <w:basedOn w:val="1"/>
    <w:qFormat/>
    <w:uiPriority w:val="0"/>
    <w:pPr>
      <w:keepNext/>
      <w:spacing w:beforeLines="100" w:afterLines="100" w:line="480" w:lineRule="exact"/>
      <w:outlineLvl w:val="0"/>
    </w:pPr>
    <w:rPr>
      <w:rFonts w:eastAsia="方正黑体_GBK" w:cs="宋体"/>
      <w:b/>
      <w:bCs/>
      <w:sz w:val="36"/>
      <w:szCs w:val="20"/>
    </w:rPr>
  </w:style>
  <w:style w:type="paragraph" w:customStyle="1" w:styleId="51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520">
    <w:name w:val="Char3"/>
    <w:basedOn w:val="1"/>
    <w:qFormat/>
    <w:uiPriority w:val="0"/>
    <w:rPr>
      <w:sz w:val="24"/>
    </w:rPr>
  </w:style>
  <w:style w:type="paragraph" w:customStyle="1" w:styleId="52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Cs w:val="21"/>
    </w:rPr>
  </w:style>
  <w:style w:type="paragraph" w:customStyle="1" w:styleId="522">
    <w:name w:val="样式 列表"/>
    <w:basedOn w:val="41"/>
    <w:qFormat/>
    <w:uiPriority w:val="0"/>
    <w:pPr>
      <w:spacing w:line="280" w:lineRule="exact"/>
      <w:ind w:left="0" w:firstLine="0" w:firstLineChars="0"/>
      <w:jc w:val="center"/>
    </w:pPr>
    <w:rPr>
      <w:rFonts w:eastAsia="方正仿宋_GBK" w:cs="宋体"/>
      <w:szCs w:val="20"/>
    </w:rPr>
  </w:style>
  <w:style w:type="paragraph" w:customStyle="1" w:styleId="523">
    <w:name w:val="样式 列表 + 左侧:  0 厘米 悬挂缩进: 2 字符"/>
    <w:basedOn w:val="41"/>
    <w:qFormat/>
    <w:uiPriority w:val="0"/>
    <w:pPr>
      <w:tabs>
        <w:tab w:val="center" w:pos="4153"/>
        <w:tab w:val="right" w:pos="8306"/>
      </w:tabs>
      <w:snapToGrid w:val="0"/>
      <w:spacing w:line="240" w:lineRule="exact"/>
      <w:ind w:left="0" w:firstLine="0" w:firstLineChars="0"/>
    </w:pPr>
    <w:rPr>
      <w:rFonts w:ascii="仿宋_GB2312" w:hAnsi="宋体" w:eastAsia="仿宋_GB2312" w:cs="宋体"/>
      <w:szCs w:val="21"/>
    </w:rPr>
  </w:style>
  <w:style w:type="paragraph" w:customStyle="1" w:styleId="524">
    <w:name w:val="xl7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525">
    <w:name w:val="xl7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Cs w:val="21"/>
    </w:rPr>
  </w:style>
  <w:style w:type="paragraph" w:customStyle="1" w:styleId="526">
    <w:name w:val="Char21"/>
    <w:basedOn w:val="1"/>
    <w:qFormat/>
    <w:uiPriority w:val="0"/>
    <w:rPr>
      <w:sz w:val="24"/>
    </w:rPr>
  </w:style>
  <w:style w:type="paragraph" w:customStyle="1" w:styleId="527">
    <w:name w:val="Char2 Char Char Char1"/>
    <w:basedOn w:val="1"/>
    <w:qFormat/>
    <w:uiPriority w:val="0"/>
    <w:rPr>
      <w:sz w:val="24"/>
    </w:rPr>
  </w:style>
  <w:style w:type="paragraph" w:customStyle="1" w:styleId="528">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29">
    <w:name w:val="Style Heading 4 + Sabon Not (Latin) Bold Justified Before:  6 pt..."/>
    <w:basedOn w:val="5"/>
    <w:qFormat/>
    <w:uiPriority w:val="0"/>
    <w:pPr>
      <w:keepNext w:val="0"/>
      <w:widowControl/>
      <w:spacing w:before="120" w:after="120" w:line="240" w:lineRule="auto"/>
      <w:ind w:left="0" w:firstLine="0"/>
    </w:pPr>
    <w:rPr>
      <w:rFonts w:ascii="Sabon" w:hAnsi="Sabon" w:eastAsia="宋体"/>
      <w:sz w:val="22"/>
      <w:szCs w:val="20"/>
      <w:lang w:eastAsia="en-US"/>
    </w:rPr>
  </w:style>
  <w:style w:type="paragraph" w:customStyle="1" w:styleId="530">
    <w:name w:val="Heading Base"/>
    <w:basedOn w:val="23"/>
    <w:next w:val="23"/>
    <w:qFormat/>
    <w:uiPriority w:val="0"/>
    <w:pPr>
      <w:keepLines/>
      <w:adjustRightInd w:val="0"/>
      <w:spacing w:before="60" w:after="240" w:line="240" w:lineRule="atLeast"/>
      <w:ind w:firstLine="360"/>
      <w:jc w:val="left"/>
      <w:textAlignment w:val="baseline"/>
    </w:pPr>
    <w:rPr>
      <w:b/>
      <w:spacing w:val="20"/>
      <w:kern w:val="20"/>
      <w:sz w:val="28"/>
    </w:rPr>
  </w:style>
  <w:style w:type="paragraph" w:customStyle="1" w:styleId="531">
    <w:name w:val="段落1"/>
    <w:basedOn w:val="1"/>
    <w:qFormat/>
    <w:uiPriority w:val="0"/>
    <w:pPr>
      <w:spacing w:line="480" w:lineRule="exact"/>
      <w:ind w:firstLine="200" w:firstLineChars="200"/>
    </w:pPr>
    <w:rPr>
      <w:rFonts w:eastAsia="楷体_GB2312"/>
      <w:spacing w:val="6"/>
      <w:sz w:val="28"/>
    </w:rPr>
  </w:style>
  <w:style w:type="paragraph" w:customStyle="1" w:styleId="532">
    <w:name w:val="普通(Web)1"/>
    <w:basedOn w:val="1"/>
    <w:qFormat/>
    <w:uiPriority w:val="0"/>
    <w:pPr>
      <w:widowControl/>
      <w:spacing w:after="15" w:line="300" w:lineRule="atLeast"/>
      <w:jc w:val="left"/>
    </w:pPr>
    <w:rPr>
      <w:rFonts w:ascii="ˎ̥" w:hAnsi="ˎ̥"/>
      <w:color w:val="231F20"/>
      <w:kern w:val="0"/>
      <w:sz w:val="18"/>
      <w:szCs w:val="18"/>
    </w:rPr>
  </w:style>
  <w:style w:type="paragraph" w:styleId="533">
    <w:name w:val="No Spacing"/>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534">
    <w:name w:val="表、图名"/>
    <w:basedOn w:val="1"/>
    <w:link w:val="700"/>
    <w:qFormat/>
    <w:uiPriority w:val="0"/>
    <w:pPr>
      <w:adjustRightInd w:val="0"/>
      <w:snapToGrid w:val="0"/>
      <w:spacing w:line="360" w:lineRule="auto"/>
      <w:jc w:val="center"/>
    </w:pPr>
    <w:rPr>
      <w:rFonts w:ascii="黑体" w:hAnsi="宋体" w:eastAsia="黑体"/>
      <w:color w:val="000000"/>
      <w:kern w:val="0"/>
      <w:szCs w:val="18"/>
    </w:rPr>
  </w:style>
  <w:style w:type="paragraph" w:customStyle="1" w:styleId="535">
    <w:name w:val="Level 2"/>
    <w:qFormat/>
    <w:uiPriority w:val="0"/>
    <w:pPr>
      <w:widowControl w:val="0"/>
      <w:tabs>
        <w:tab w:val="left" w:pos="-720"/>
      </w:tabs>
      <w:suppressAutoHyphens/>
    </w:pPr>
    <w:rPr>
      <w:rFonts w:ascii="CG Times" w:hAnsi="CG Times" w:eastAsia="宋体" w:cs="Times New Roman"/>
      <w:b/>
      <w:bCs/>
      <w:sz w:val="22"/>
      <w:szCs w:val="22"/>
      <w:lang w:val="en-US" w:eastAsia="en-US" w:bidi="ar-SA"/>
    </w:rPr>
  </w:style>
  <w:style w:type="paragraph" w:customStyle="1" w:styleId="536">
    <w:name w:val="Char Char Char Char Char Char1 Char Char Char Char"/>
    <w:basedOn w:val="1"/>
    <w:qFormat/>
    <w:uiPriority w:val="0"/>
    <w:rPr>
      <w:rFonts w:ascii="Tahoma" w:hAnsi="Tahoma"/>
      <w:sz w:val="24"/>
    </w:rPr>
  </w:style>
  <w:style w:type="paragraph" w:customStyle="1" w:styleId="537">
    <w:name w:val="Level 3"/>
    <w:qFormat/>
    <w:uiPriority w:val="0"/>
    <w:pPr>
      <w:widowControl w:val="0"/>
      <w:tabs>
        <w:tab w:val="left" w:pos="-720"/>
      </w:tabs>
      <w:suppressAutoHyphens/>
    </w:pPr>
    <w:rPr>
      <w:rFonts w:ascii="CG Times" w:hAnsi="CG Times" w:eastAsia="宋体" w:cs="Times New Roman"/>
      <w:b/>
      <w:bCs/>
      <w:sz w:val="22"/>
      <w:szCs w:val="22"/>
      <w:lang w:val="en-US" w:eastAsia="en-US" w:bidi="ar-SA"/>
    </w:rPr>
  </w:style>
  <w:style w:type="paragraph" w:customStyle="1" w:styleId="538">
    <w:name w:val="Table Paragraph"/>
    <w:basedOn w:val="1"/>
    <w:qFormat/>
    <w:uiPriority w:val="1"/>
    <w:pPr>
      <w:autoSpaceDE w:val="0"/>
      <w:autoSpaceDN w:val="0"/>
      <w:jc w:val="center"/>
    </w:pPr>
    <w:rPr>
      <w:rFonts w:eastAsia="Times New Roman"/>
      <w:kern w:val="0"/>
      <w:sz w:val="22"/>
      <w:szCs w:val="22"/>
      <w:lang w:val="zh-CN" w:bidi="zh-CN"/>
    </w:rPr>
  </w:style>
  <w:style w:type="paragraph" w:customStyle="1" w:styleId="539">
    <w:name w:val="00段落标准格式"/>
    <w:basedOn w:val="1"/>
    <w:qFormat/>
    <w:uiPriority w:val="0"/>
    <w:pPr>
      <w:spacing w:beforeLines="50" w:line="320" w:lineRule="exact"/>
      <w:ind w:firstLine="200" w:firstLineChars="200"/>
      <w:jc w:val="left"/>
    </w:pPr>
    <w:rPr>
      <w:rFonts w:ascii="宋体" w:hAnsi="宋体"/>
      <w:spacing w:val="6"/>
      <w:kern w:val="0"/>
      <w:sz w:val="24"/>
      <w:szCs w:val="20"/>
    </w:rPr>
  </w:style>
  <w:style w:type="paragraph" w:customStyle="1" w:styleId="540">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541">
    <w:name w:val="Table"/>
    <w:basedOn w:val="1"/>
    <w:qFormat/>
    <w:uiPriority w:val="0"/>
    <w:pPr>
      <w:widowControl/>
    </w:pPr>
    <w:rPr>
      <w:kern w:val="0"/>
      <w:sz w:val="22"/>
      <w:szCs w:val="22"/>
      <w:lang w:eastAsia="en-US"/>
    </w:rPr>
  </w:style>
  <w:style w:type="paragraph" w:customStyle="1" w:styleId="542">
    <w:name w:val="lu正文"/>
    <w:basedOn w:val="1"/>
    <w:qFormat/>
    <w:uiPriority w:val="0"/>
    <w:pPr>
      <w:spacing w:beforeLines="50" w:afterLines="50" w:line="360" w:lineRule="auto"/>
      <w:ind w:firstLine="560" w:firstLineChars="200"/>
    </w:pPr>
    <w:rPr>
      <w:rFonts w:eastAsia="仿宋_GB2312"/>
      <w:sz w:val="24"/>
    </w:rPr>
  </w:style>
  <w:style w:type="paragraph" w:customStyle="1" w:styleId="543">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44">
    <w:name w:val="xl9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545">
    <w:name w:val="段落1 Char"/>
    <w:basedOn w:val="1"/>
    <w:qFormat/>
    <w:uiPriority w:val="0"/>
    <w:pPr>
      <w:widowControl/>
      <w:adjustRightInd w:val="0"/>
      <w:spacing w:line="440" w:lineRule="exact"/>
      <w:ind w:firstLine="480" w:firstLineChars="200"/>
      <w:jc w:val="left"/>
    </w:pPr>
    <w:rPr>
      <w:spacing w:val="8"/>
      <w:sz w:val="24"/>
      <w:szCs w:val="20"/>
    </w:rPr>
  </w:style>
  <w:style w:type="paragraph" w:customStyle="1" w:styleId="546">
    <w:name w:val="Char Char1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547">
    <w:name w:val="默认段落字体 Para Char Char Char Char"/>
    <w:basedOn w:val="1"/>
    <w:qFormat/>
    <w:uiPriority w:val="0"/>
    <w:rPr>
      <w:sz w:val="24"/>
    </w:rPr>
  </w:style>
  <w:style w:type="paragraph" w:customStyle="1" w:styleId="548">
    <w:name w:val="Char Char Char Char Char Char"/>
    <w:basedOn w:val="1"/>
    <w:qFormat/>
    <w:uiPriority w:val="0"/>
    <w:rPr>
      <w:sz w:val="24"/>
    </w:rPr>
  </w:style>
  <w:style w:type="paragraph" w:customStyle="1" w:styleId="549">
    <w:name w:val="表格正文"/>
    <w:basedOn w:val="1"/>
    <w:next w:val="1"/>
    <w:qFormat/>
    <w:uiPriority w:val="0"/>
    <w:pPr>
      <w:snapToGrid w:val="0"/>
      <w:spacing w:before="156"/>
      <w:ind w:left="1" w:leftChars="-3" w:hanging="8" w:hangingChars="4"/>
      <w:jc w:val="center"/>
    </w:pPr>
    <w:rPr>
      <w:rFonts w:ascii="宋体" w:hAnsi="宋体"/>
      <w:color w:val="000000"/>
      <w:kern w:val="0"/>
      <w:sz w:val="18"/>
      <w:szCs w:val="18"/>
    </w:rPr>
  </w:style>
  <w:style w:type="paragraph" w:customStyle="1" w:styleId="550">
    <w:name w:val="第四章表头"/>
    <w:basedOn w:val="1"/>
    <w:qFormat/>
    <w:uiPriority w:val="0"/>
    <w:pPr>
      <w:spacing w:line="360" w:lineRule="auto"/>
      <w:jc w:val="center"/>
    </w:pPr>
    <w:rPr>
      <w:b/>
      <w:color w:val="0000FF"/>
      <w:sz w:val="24"/>
    </w:rPr>
  </w:style>
  <w:style w:type="paragraph" w:customStyle="1" w:styleId="551">
    <w:name w:val="表体"/>
    <w:basedOn w:val="9"/>
    <w:qFormat/>
    <w:uiPriority w:val="0"/>
    <w:pPr>
      <w:keepNext w:val="0"/>
      <w:keepLines w:val="0"/>
      <w:overflowPunct w:val="0"/>
      <w:adjustRightInd w:val="0"/>
      <w:spacing w:before="80" w:after="80" w:line="240" w:lineRule="atLeast"/>
      <w:ind w:left="-57" w:right="-57" w:firstLine="0"/>
      <w:jc w:val="center"/>
      <w:textAlignment w:val="baseline"/>
      <w:outlineLvl w:val="9"/>
    </w:pPr>
    <w:rPr>
      <w:rFonts w:ascii="宋体" w:hAnsi="Times New Roman" w:eastAsia="宋体"/>
      <w:color w:val="000080"/>
      <w:kern w:val="24"/>
      <w:szCs w:val="20"/>
    </w:rPr>
  </w:style>
  <w:style w:type="paragraph" w:customStyle="1" w:styleId="552">
    <w:name w:val="图表名"/>
    <w:basedOn w:val="1"/>
    <w:qFormat/>
    <w:uiPriority w:val="0"/>
    <w:pPr>
      <w:adjustRightInd w:val="0"/>
      <w:spacing w:after="120" w:line="312" w:lineRule="atLeast"/>
      <w:jc w:val="center"/>
      <w:textAlignment w:val="baseline"/>
    </w:pPr>
    <w:rPr>
      <w:rFonts w:eastAsia="黑体"/>
      <w:kern w:val="0"/>
      <w:sz w:val="24"/>
      <w:szCs w:val="20"/>
    </w:rPr>
  </w:style>
  <w:style w:type="paragraph" w:customStyle="1" w:styleId="55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color w:val="FF0000"/>
      <w:kern w:val="0"/>
      <w:szCs w:val="21"/>
    </w:rPr>
  </w:style>
  <w:style w:type="paragraph" w:customStyle="1" w:styleId="554">
    <w:name w:val="样式 样式 首行缩进:  2 字符 + 首行缩进:  2 字符"/>
    <w:basedOn w:val="1"/>
    <w:qFormat/>
    <w:uiPriority w:val="0"/>
    <w:pPr>
      <w:spacing w:line="360" w:lineRule="auto"/>
      <w:ind w:firstLine="480" w:firstLineChars="200"/>
      <w:jc w:val="left"/>
    </w:pPr>
    <w:rPr>
      <w:rFonts w:cs="宋体"/>
      <w:sz w:val="24"/>
      <w:szCs w:val="20"/>
    </w:rPr>
  </w:style>
  <w:style w:type="paragraph" w:customStyle="1" w:styleId="555">
    <w:name w:val="第八章表头"/>
    <w:basedOn w:val="1"/>
    <w:qFormat/>
    <w:uiPriority w:val="0"/>
    <w:pPr>
      <w:spacing w:line="360" w:lineRule="auto"/>
      <w:ind w:left="2010" w:hanging="420"/>
      <w:jc w:val="center"/>
    </w:pPr>
    <w:rPr>
      <w:b/>
      <w:color w:val="0000FF"/>
      <w:sz w:val="24"/>
    </w:rPr>
  </w:style>
  <w:style w:type="paragraph" w:customStyle="1" w:styleId="556">
    <w:name w:val="标准"/>
    <w:basedOn w:val="1"/>
    <w:qFormat/>
    <w:uiPriority w:val="0"/>
    <w:pPr>
      <w:adjustRightInd w:val="0"/>
      <w:spacing w:line="300" w:lineRule="auto"/>
      <w:textAlignment w:val="baseline"/>
    </w:pPr>
    <w:rPr>
      <w:rFonts w:eastAsia="仿宋_GB2312"/>
      <w:b/>
      <w:kern w:val="0"/>
      <w:sz w:val="30"/>
      <w:szCs w:val="20"/>
    </w:rPr>
  </w:style>
  <w:style w:type="paragraph" w:customStyle="1" w:styleId="557">
    <w:name w:val="样式 标题 3 + 首行缩进:  2 字符"/>
    <w:basedOn w:val="4"/>
    <w:qFormat/>
    <w:uiPriority w:val="0"/>
    <w:pPr>
      <w:numPr>
        <w:ilvl w:val="0"/>
        <w:numId w:val="0"/>
      </w:numPr>
      <w:spacing w:beforeLines="0" w:afterLines="0" w:line="415" w:lineRule="auto"/>
    </w:pPr>
    <w:rPr>
      <w:rFonts w:ascii="宋体" w:eastAsia="宋体" w:cs="宋体"/>
      <w:bCs w:val="0"/>
      <w:szCs w:val="20"/>
    </w:rPr>
  </w:style>
  <w:style w:type="paragraph" w:customStyle="1" w:styleId="558">
    <w:name w:val="表左"/>
    <w:basedOn w:val="1"/>
    <w:qFormat/>
    <w:uiPriority w:val="0"/>
    <w:pPr>
      <w:overflowPunct w:val="0"/>
      <w:adjustRightInd w:val="0"/>
      <w:spacing w:line="280" w:lineRule="exact"/>
      <w:jc w:val="center"/>
      <w:textAlignment w:val="baseline"/>
    </w:pPr>
    <w:rPr>
      <w:rFonts w:ascii="宋体"/>
      <w:color w:val="000000"/>
      <w:kern w:val="24"/>
      <w:sz w:val="18"/>
      <w:szCs w:val="20"/>
    </w:rPr>
  </w:style>
  <w:style w:type="paragraph" w:customStyle="1" w:styleId="559">
    <w:name w:val="正文-2"/>
    <w:basedOn w:val="1"/>
    <w:qFormat/>
    <w:uiPriority w:val="0"/>
    <w:pPr>
      <w:spacing w:line="500" w:lineRule="exact"/>
      <w:ind w:firstLine="200" w:firstLineChars="200"/>
    </w:pPr>
    <w:rPr>
      <w:rFonts w:ascii="宋体"/>
      <w:sz w:val="28"/>
      <w:szCs w:val="28"/>
    </w:rPr>
  </w:style>
  <w:style w:type="paragraph" w:customStyle="1" w:styleId="560">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561">
    <w:name w:val="样式 样式 表格标题 + 段前: 0.5 行 + 段前: 0.5 行1"/>
    <w:basedOn w:val="1"/>
    <w:qFormat/>
    <w:uiPriority w:val="0"/>
    <w:pPr>
      <w:autoSpaceDE w:val="0"/>
      <w:autoSpaceDN w:val="0"/>
      <w:adjustRightInd w:val="0"/>
      <w:spacing w:line="400" w:lineRule="exact"/>
      <w:jc w:val="center"/>
    </w:pPr>
    <w:rPr>
      <w:rFonts w:ascii="仿宋_GB2312" w:eastAsia="仿宋_GB2312" w:cs="宋体"/>
      <w:b/>
      <w:sz w:val="24"/>
      <w:szCs w:val="20"/>
      <w:lang w:val="zh-CN"/>
    </w:rPr>
  </w:style>
  <w:style w:type="paragraph" w:customStyle="1" w:styleId="562">
    <w:name w:val="xl10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rPr>
  </w:style>
  <w:style w:type="paragraph" w:customStyle="1" w:styleId="563">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64">
    <w:name w:val="表格001"/>
    <w:basedOn w:val="1"/>
    <w:qFormat/>
    <w:uiPriority w:val="0"/>
    <w:pPr>
      <w:spacing w:line="360" w:lineRule="auto"/>
      <w:jc w:val="center"/>
    </w:pPr>
    <w:rPr>
      <w:sz w:val="24"/>
      <w:szCs w:val="20"/>
    </w:rPr>
  </w:style>
  <w:style w:type="paragraph" w:customStyle="1" w:styleId="565">
    <w:name w:val="表格样式1"/>
    <w:basedOn w:val="1"/>
    <w:qFormat/>
    <w:uiPriority w:val="0"/>
    <w:pPr>
      <w:adjustRightInd w:val="0"/>
      <w:spacing w:line="20" w:lineRule="atLeast"/>
      <w:jc w:val="center"/>
      <w:textAlignment w:val="baseline"/>
    </w:pPr>
    <w:rPr>
      <w:rFonts w:ascii="宋体"/>
      <w:kern w:val="0"/>
      <w:szCs w:val="20"/>
    </w:rPr>
  </w:style>
  <w:style w:type="paragraph" w:customStyle="1" w:styleId="566">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567">
    <w:name w:val="样式 标题 1章节标题章标题 1-*+h11st levelSection Headl1b1(章名)篇(章..."/>
    <w:basedOn w:val="1"/>
    <w:qFormat/>
    <w:uiPriority w:val="0"/>
    <w:pPr>
      <w:tabs>
        <w:tab w:val="left" w:pos="432"/>
      </w:tabs>
      <w:ind w:left="432" w:hanging="432"/>
    </w:pPr>
  </w:style>
  <w:style w:type="paragraph" w:customStyle="1" w:styleId="568">
    <w:name w:val="样式 标题 22nd levelh22Header 2H2UNDERRUBRIK 1-2Titre2l2一级节..."/>
    <w:basedOn w:val="1"/>
    <w:qFormat/>
    <w:uiPriority w:val="0"/>
    <w:pPr>
      <w:tabs>
        <w:tab w:val="left" w:pos="576"/>
      </w:tabs>
      <w:ind w:left="576" w:hanging="576"/>
    </w:pPr>
  </w:style>
  <w:style w:type="paragraph" w:customStyle="1" w:styleId="569">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70">
    <w:name w:val="默认段落字体 Para Char Char Char Char Char Char Char Char Char Char Char Char Char"/>
    <w:basedOn w:val="1"/>
    <w:qFormat/>
    <w:uiPriority w:val="0"/>
  </w:style>
  <w:style w:type="paragraph" w:customStyle="1" w:styleId="571">
    <w:name w:val="Char Char1 Char"/>
    <w:basedOn w:val="1"/>
    <w:qFormat/>
    <w:uiPriority w:val="0"/>
    <w:pPr>
      <w:spacing w:line="360" w:lineRule="auto"/>
      <w:ind w:firstLine="200" w:firstLineChars="200"/>
    </w:pPr>
    <w:rPr>
      <w:rFonts w:ascii="宋体" w:hAnsi="宋体" w:cs="宋体"/>
      <w:sz w:val="24"/>
    </w:rPr>
  </w:style>
  <w:style w:type="paragraph" w:customStyle="1" w:styleId="5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73">
    <w:name w:val="正文正文正文 1.5 倍行距"/>
    <w:basedOn w:val="1"/>
    <w:qFormat/>
    <w:uiPriority w:val="0"/>
    <w:pPr>
      <w:spacing w:line="360" w:lineRule="auto"/>
      <w:ind w:firstLine="480" w:firstLineChars="200"/>
    </w:pPr>
    <w:rPr>
      <w:rFonts w:ascii="宋体" w:hAnsi="宋体" w:cs="宋体"/>
      <w:kern w:val="0"/>
      <w:sz w:val="24"/>
      <w:szCs w:val="20"/>
    </w:rPr>
  </w:style>
  <w:style w:type="paragraph" w:customStyle="1" w:styleId="57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75">
    <w:name w:val="表格内容格式"/>
    <w:basedOn w:val="1"/>
    <w:qFormat/>
    <w:uiPriority w:val="0"/>
    <w:pPr>
      <w:tabs>
        <w:tab w:val="left" w:pos="1755"/>
      </w:tabs>
      <w:adjustRightInd w:val="0"/>
      <w:ind w:left="-108" w:right="-108"/>
      <w:jc w:val="center"/>
      <w:textAlignment w:val="baseline"/>
    </w:pPr>
    <w:rPr>
      <w:snapToGrid w:val="0"/>
      <w:color w:val="000000"/>
      <w:kern w:val="0"/>
      <w:szCs w:val="21"/>
    </w:rPr>
  </w:style>
  <w:style w:type="paragraph" w:customStyle="1" w:styleId="576">
    <w:name w:val="xl8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77">
    <w:name w:val="正文表格"/>
    <w:basedOn w:val="1"/>
    <w:qFormat/>
    <w:uiPriority w:val="0"/>
    <w:pPr>
      <w:keepNext/>
      <w:keepLines/>
      <w:tabs>
        <w:tab w:val="center" w:pos="6804"/>
      </w:tabs>
      <w:overflowPunct w:val="0"/>
      <w:adjustRightInd w:val="0"/>
      <w:spacing w:before="80"/>
      <w:jc w:val="center"/>
    </w:pPr>
    <w:rPr>
      <w:kern w:val="0"/>
      <w:sz w:val="28"/>
      <w:szCs w:val="20"/>
    </w:rPr>
  </w:style>
  <w:style w:type="paragraph" w:customStyle="1" w:styleId="578">
    <w:name w:val="表头名称"/>
    <w:basedOn w:val="15"/>
    <w:qFormat/>
    <w:uiPriority w:val="0"/>
    <w:pPr>
      <w:autoSpaceDE w:val="0"/>
      <w:autoSpaceDN w:val="0"/>
      <w:adjustRightInd w:val="0"/>
      <w:spacing w:line="360" w:lineRule="auto"/>
      <w:jc w:val="center"/>
    </w:pPr>
    <w:rPr>
      <w:rFonts w:ascii="宋体" w:hAnsi="宋体"/>
      <w:kern w:val="0"/>
      <w:sz w:val="24"/>
    </w:rPr>
  </w:style>
  <w:style w:type="paragraph" w:customStyle="1" w:styleId="579">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8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581">
    <w:name w:val="样式20"/>
    <w:basedOn w:val="1"/>
    <w:qFormat/>
    <w:uiPriority w:val="0"/>
    <w:pPr>
      <w:spacing w:line="360" w:lineRule="auto"/>
      <w:ind w:firstLine="427" w:firstLineChars="178"/>
    </w:pPr>
    <w:rPr>
      <w:rFonts w:cs="宋体"/>
      <w:sz w:val="24"/>
      <w:szCs w:val="20"/>
    </w:rPr>
  </w:style>
  <w:style w:type="paragraph" w:customStyle="1" w:styleId="582">
    <w:name w:val="正文2表格"/>
    <w:basedOn w:val="1"/>
    <w:qFormat/>
    <w:uiPriority w:val="0"/>
    <w:pPr>
      <w:spacing w:line="400" w:lineRule="exact"/>
      <w:jc w:val="center"/>
    </w:pPr>
    <w:rPr>
      <w:rFonts w:ascii="宋体" w:hAnsi="宋体"/>
    </w:rPr>
  </w:style>
  <w:style w:type="paragraph" w:customStyle="1" w:styleId="583">
    <w:name w:val="小标题"/>
    <w:basedOn w:val="1"/>
    <w:qFormat/>
    <w:uiPriority w:val="0"/>
    <w:pPr>
      <w:spacing w:before="120" w:after="120" w:line="560" w:lineRule="atLeast"/>
    </w:pPr>
    <w:rPr>
      <w:rFonts w:ascii="宋体" w:hAnsi="宋体"/>
      <w:b/>
      <w:sz w:val="28"/>
    </w:rPr>
  </w:style>
  <w:style w:type="paragraph" w:customStyle="1" w:styleId="584">
    <w:name w:val="样式12"/>
    <w:basedOn w:val="1"/>
    <w:qFormat/>
    <w:uiPriority w:val="0"/>
    <w:pPr>
      <w:tabs>
        <w:tab w:val="left" w:pos="9000"/>
      </w:tabs>
      <w:adjustRightInd w:val="0"/>
      <w:snapToGrid w:val="0"/>
      <w:spacing w:line="360" w:lineRule="exact"/>
      <w:jc w:val="center"/>
    </w:pPr>
    <w:rPr>
      <w:szCs w:val="21"/>
    </w:rPr>
  </w:style>
  <w:style w:type="paragraph" w:customStyle="1" w:styleId="585">
    <w:name w:val="样式14"/>
    <w:basedOn w:val="1"/>
    <w:qFormat/>
    <w:uiPriority w:val="0"/>
    <w:pPr>
      <w:spacing w:before="12" w:after="12" w:line="360" w:lineRule="auto"/>
      <w:ind w:left="482"/>
    </w:pPr>
    <w:rPr>
      <w:b/>
      <w:sz w:val="24"/>
    </w:rPr>
  </w:style>
  <w:style w:type="paragraph" w:customStyle="1" w:styleId="586">
    <w:name w:val="陆晶 表格式"/>
    <w:basedOn w:val="1"/>
    <w:qFormat/>
    <w:uiPriority w:val="0"/>
    <w:pPr>
      <w:jc w:val="center"/>
    </w:pPr>
    <w:rPr>
      <w:szCs w:val="21"/>
    </w:rPr>
  </w:style>
  <w:style w:type="paragraph" w:customStyle="1" w:styleId="587">
    <w:name w:val="_Style 21"/>
    <w:basedOn w:val="1"/>
    <w:qFormat/>
    <w:uiPriority w:val="0"/>
  </w:style>
  <w:style w:type="paragraph" w:customStyle="1" w:styleId="58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589">
    <w:name w:val="Char Char Char Char1"/>
    <w:basedOn w:val="1"/>
    <w:qFormat/>
    <w:uiPriority w:val="0"/>
    <w:pPr>
      <w:spacing w:line="360" w:lineRule="auto"/>
      <w:ind w:firstLine="200" w:firstLineChars="200"/>
    </w:pPr>
    <w:rPr>
      <w:rFonts w:ascii="宋体" w:hAnsi="宋体" w:cs="宋体"/>
      <w:sz w:val="24"/>
    </w:rPr>
  </w:style>
  <w:style w:type="paragraph" w:customStyle="1" w:styleId="590">
    <w:name w:val="表的格式（小四）"/>
    <w:basedOn w:val="1"/>
    <w:qFormat/>
    <w:uiPriority w:val="0"/>
    <w:pPr>
      <w:adjustRightInd w:val="0"/>
      <w:spacing w:line="360" w:lineRule="atLeast"/>
      <w:jc w:val="center"/>
    </w:pPr>
    <w:rPr>
      <w:kern w:val="0"/>
      <w:sz w:val="24"/>
      <w:szCs w:val="20"/>
    </w:rPr>
  </w:style>
  <w:style w:type="paragraph" w:customStyle="1" w:styleId="591">
    <w:name w:val="表中正文"/>
    <w:basedOn w:val="1"/>
    <w:semiHidden/>
    <w:qFormat/>
    <w:uiPriority w:val="0"/>
    <w:pPr>
      <w:tabs>
        <w:tab w:val="left" w:pos="7320"/>
        <w:tab w:val="left" w:pos="8160"/>
      </w:tabs>
      <w:adjustRightInd w:val="0"/>
      <w:spacing w:line="360" w:lineRule="atLeast"/>
      <w:jc w:val="center"/>
      <w:textAlignment w:val="baseline"/>
    </w:pPr>
    <w:rPr>
      <w:rFonts w:ascii="宋体"/>
      <w:spacing w:val="6"/>
      <w:kern w:val="0"/>
      <w:sz w:val="28"/>
    </w:rPr>
  </w:style>
  <w:style w:type="paragraph" w:customStyle="1" w:styleId="592">
    <w:name w:val="Char Char Char Char2"/>
    <w:basedOn w:val="1"/>
    <w:qFormat/>
    <w:uiPriority w:val="0"/>
    <w:rPr>
      <w:szCs w:val="20"/>
    </w:rPr>
  </w:style>
  <w:style w:type="paragraph" w:customStyle="1" w:styleId="593">
    <w:name w:val="样式 标题 4款标题1.1.1.1标题 4 Char[三级节名]h4H4条 2[三级节名]1[三级节名]2四...1"/>
    <w:basedOn w:val="5"/>
    <w:qFormat/>
    <w:uiPriority w:val="0"/>
    <w:pPr>
      <w:tabs>
        <w:tab w:val="left" w:pos="420"/>
        <w:tab w:val="left" w:pos="1080"/>
      </w:tabs>
      <w:spacing w:before="80" w:after="80"/>
      <w:ind w:left="420" w:hanging="420"/>
    </w:pPr>
    <w:rPr>
      <w:kern w:val="2"/>
      <w:szCs w:val="21"/>
    </w:rPr>
  </w:style>
  <w:style w:type="paragraph" w:customStyle="1" w:styleId="594">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595">
    <w:name w:val="凯里2"/>
    <w:basedOn w:val="142"/>
    <w:qFormat/>
    <w:uiPriority w:val="0"/>
    <w:pPr>
      <w:widowControl/>
      <w:ind w:firstLine="480" w:firstLineChars="200"/>
      <w:jc w:val="left"/>
    </w:pPr>
    <w:rPr>
      <w:rFonts w:eastAsia="Times New Roman" w:cs="宋体"/>
      <w:snapToGrid/>
      <w:kern w:val="24"/>
      <w:szCs w:val="20"/>
      <w:lang w:val="en-US"/>
    </w:rPr>
  </w:style>
  <w:style w:type="paragraph" w:customStyle="1" w:styleId="596">
    <w:name w:val="第十一章表头"/>
    <w:basedOn w:val="9"/>
    <w:qFormat/>
    <w:uiPriority w:val="0"/>
    <w:pPr>
      <w:keepNext w:val="0"/>
      <w:keepLines w:val="0"/>
      <w:widowControl/>
      <w:spacing w:before="0" w:after="0" w:line="360" w:lineRule="auto"/>
      <w:jc w:val="center"/>
      <w:outlineLvl w:val="9"/>
    </w:pPr>
    <w:rPr>
      <w:rFonts w:ascii="宋体" w:hAnsi="宋体" w:eastAsia="宋体" w:cs="宋体"/>
      <w:b/>
      <w:color w:val="0000FF"/>
      <w:kern w:val="0"/>
    </w:rPr>
  </w:style>
  <w:style w:type="paragraph" w:customStyle="1" w:styleId="597">
    <w:name w:val="表中正文内容"/>
    <w:basedOn w:val="1"/>
    <w:qFormat/>
    <w:uiPriority w:val="0"/>
    <w:pPr>
      <w:adjustRightInd w:val="0"/>
      <w:spacing w:line="480" w:lineRule="atLeast"/>
      <w:ind w:firstLine="560" w:firstLineChars="200"/>
      <w:jc w:val="left"/>
    </w:pPr>
    <w:rPr>
      <w:sz w:val="28"/>
      <w:szCs w:val="20"/>
    </w:rPr>
  </w:style>
  <w:style w:type="paragraph" w:customStyle="1" w:styleId="598">
    <w:name w:val="图名"/>
    <w:basedOn w:val="1"/>
    <w:qFormat/>
    <w:uiPriority w:val="0"/>
    <w:pPr>
      <w:jc w:val="center"/>
    </w:pPr>
    <w:rPr>
      <w:rFonts w:cs="宋体"/>
      <w:sz w:val="24"/>
    </w:rPr>
  </w:style>
  <w:style w:type="paragraph" w:customStyle="1" w:styleId="599">
    <w:name w:val="样式 标题 2节标题 1.1b21.1标题2条标题h2l22nd levelTitre22Header 2..."/>
    <w:basedOn w:val="3"/>
    <w:qFormat/>
    <w:uiPriority w:val="0"/>
    <w:pPr>
      <w:keepLines w:val="0"/>
      <w:widowControl/>
      <w:numPr>
        <w:ilvl w:val="0"/>
        <w:numId w:val="0"/>
      </w:numPr>
      <w:tabs>
        <w:tab w:val="left" w:pos="635"/>
      </w:tabs>
      <w:overflowPunct w:val="0"/>
      <w:topLinePunct/>
      <w:autoSpaceDE w:val="0"/>
      <w:autoSpaceDN w:val="0"/>
      <w:snapToGrid w:val="0"/>
      <w:spacing w:beforeLines="0" w:afterLines="0"/>
      <w:textAlignment w:val="baseline"/>
    </w:pPr>
    <w:rPr>
      <w:rFonts w:eastAsia="宋体" w:cs="宋体"/>
      <w:b/>
      <w:color w:val="000000"/>
      <w:sz w:val="30"/>
      <w:szCs w:val="20"/>
    </w:rPr>
  </w:style>
  <w:style w:type="paragraph" w:customStyle="1" w:styleId="600">
    <w:name w:val="二级标题"/>
    <w:basedOn w:val="3"/>
    <w:qFormat/>
    <w:uiPriority w:val="0"/>
    <w:rPr>
      <w:b/>
      <w:sz w:val="30"/>
      <w:szCs w:val="32"/>
    </w:rPr>
  </w:style>
  <w:style w:type="paragraph" w:customStyle="1" w:styleId="60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602">
    <w:name w:val="y表头"/>
    <w:basedOn w:val="23"/>
    <w:qFormat/>
    <w:uiPriority w:val="0"/>
    <w:pPr>
      <w:tabs>
        <w:tab w:val="left" w:pos="900"/>
      </w:tabs>
      <w:adjustRightInd w:val="0"/>
      <w:spacing w:line="240" w:lineRule="auto"/>
      <w:textAlignment w:val="baseline"/>
    </w:pPr>
    <w:rPr>
      <w:rFonts w:hint="eastAsia" w:ascii="宋体" w:hAnsi="宋体" w:eastAsia="楷体_GB2312"/>
      <w:b/>
    </w:rPr>
  </w:style>
  <w:style w:type="paragraph" w:customStyle="1" w:styleId="603">
    <w:name w:val="y表格"/>
    <w:basedOn w:val="23"/>
    <w:qFormat/>
    <w:uiPriority w:val="0"/>
    <w:pPr>
      <w:widowControl/>
      <w:adjustRightInd w:val="0"/>
      <w:snapToGrid w:val="0"/>
      <w:spacing w:line="240" w:lineRule="auto"/>
      <w:textAlignment w:val="baseline"/>
    </w:pPr>
    <w:rPr>
      <w:rFonts w:hint="eastAsia" w:ascii="宋体" w:hAnsi="宋体"/>
      <w:kern w:val="0"/>
    </w:rPr>
  </w:style>
  <w:style w:type="paragraph" w:customStyle="1" w:styleId="604">
    <w:name w:val="正文3"/>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605">
    <w:name w:val="样式 题注 + 段前: 0.5 行"/>
    <w:basedOn w:val="16"/>
    <w:qFormat/>
    <w:uiPriority w:val="0"/>
    <w:pPr>
      <w:snapToGrid w:val="0"/>
      <w:spacing w:beforeLines="50" w:line="240" w:lineRule="auto"/>
      <w:ind w:firstLine="0" w:firstLineChars="0"/>
      <w:jc w:val="center"/>
      <w:textAlignment w:val="auto"/>
      <w:outlineLvl w:val="5"/>
    </w:pPr>
    <w:rPr>
      <w:rFonts w:ascii="Times New Roman" w:hAnsi="Times New Roman" w:eastAsia="宋体" w:cs="宋体"/>
      <w:b/>
      <w:bCs/>
      <w:kern w:val="2"/>
      <w:sz w:val="21"/>
      <w:lang w:val="en-US"/>
    </w:rPr>
  </w:style>
  <w:style w:type="paragraph" w:customStyle="1" w:styleId="606">
    <w:name w:val="列出段落1"/>
    <w:basedOn w:val="1"/>
    <w:qFormat/>
    <w:uiPriority w:val="0"/>
    <w:pPr>
      <w:ind w:firstLine="420" w:firstLineChars="200"/>
    </w:pPr>
    <w:rPr>
      <w:rFonts w:ascii="Calibri" w:hAnsi="Calibri"/>
      <w:szCs w:val="22"/>
    </w:rPr>
  </w:style>
  <w:style w:type="paragraph" w:customStyle="1" w:styleId="607">
    <w:name w:val="样式 四号 首行缩进:  2 字符"/>
    <w:basedOn w:val="1"/>
    <w:qFormat/>
    <w:uiPriority w:val="0"/>
    <w:pPr>
      <w:spacing w:line="480" w:lineRule="atLeast"/>
      <w:ind w:firstLine="200" w:firstLineChars="200"/>
    </w:pPr>
    <w:rPr>
      <w:sz w:val="24"/>
      <w:szCs w:val="20"/>
    </w:rPr>
  </w:style>
  <w:style w:type="paragraph" w:customStyle="1" w:styleId="608">
    <w:name w:val="表文"/>
    <w:basedOn w:val="1"/>
    <w:qFormat/>
    <w:uiPriority w:val="0"/>
    <w:pPr>
      <w:spacing w:line="320" w:lineRule="atLeast"/>
    </w:pPr>
    <w:rPr>
      <w:rFonts w:hint="eastAsia" w:ascii="宋体" w:hAnsi="宋体"/>
      <w:sz w:val="24"/>
    </w:rPr>
  </w:style>
  <w:style w:type="paragraph" w:customStyle="1" w:styleId="609">
    <w:name w:val="样式 标题 4H4H41江门样式4小小节河石管道4标题 4 Char第三层条H42u4H43H411H4..."/>
    <w:basedOn w:val="5"/>
    <w:qFormat/>
    <w:uiPriority w:val="0"/>
    <w:pPr>
      <w:spacing w:before="156" w:after="156"/>
      <w:ind w:left="0" w:firstLine="0"/>
    </w:pPr>
    <w:rPr>
      <w:rFonts w:eastAsia="仿宋_GB2312" w:cs="宋体"/>
      <w:kern w:val="2"/>
      <w:szCs w:val="20"/>
    </w:rPr>
  </w:style>
  <w:style w:type="paragraph" w:customStyle="1" w:styleId="610">
    <w:name w:val="样式22"/>
    <w:basedOn w:val="584"/>
    <w:qFormat/>
    <w:uiPriority w:val="0"/>
  </w:style>
  <w:style w:type="paragraph" w:customStyle="1" w:styleId="611">
    <w:name w:val="正文-第几条 Char Char Char Char"/>
    <w:basedOn w:val="1"/>
    <w:qFormat/>
    <w:uiPriority w:val="0"/>
    <w:pPr>
      <w:tabs>
        <w:tab w:val="left" w:pos="1021"/>
      </w:tabs>
      <w:spacing w:line="360" w:lineRule="auto"/>
      <w:ind w:left="1021" w:hanging="1021"/>
    </w:pPr>
    <w:rPr>
      <w:sz w:val="24"/>
    </w:rPr>
  </w:style>
  <w:style w:type="paragraph" w:customStyle="1" w:styleId="612">
    <w:name w:val="Char Char Char Char Char Char1"/>
    <w:basedOn w:val="1"/>
    <w:qFormat/>
    <w:uiPriority w:val="0"/>
    <w:rPr>
      <w:b/>
      <w:bCs/>
      <w:szCs w:val="21"/>
    </w:rPr>
  </w:style>
  <w:style w:type="paragraph" w:customStyle="1" w:styleId="613">
    <w:name w:val="用-样式 首行缩进:  2 字符 段前: 0.5 行 行距: 1.5 倍行距"/>
    <w:basedOn w:val="1"/>
    <w:qFormat/>
    <w:uiPriority w:val="0"/>
    <w:pPr>
      <w:adjustRightInd w:val="0"/>
      <w:snapToGrid w:val="0"/>
      <w:spacing w:beforeLines="50" w:line="360" w:lineRule="auto"/>
      <w:ind w:firstLine="480" w:firstLineChars="200"/>
    </w:pPr>
    <w:rPr>
      <w:rFonts w:cs="宋体"/>
      <w:sz w:val="24"/>
      <w:szCs w:val="20"/>
    </w:rPr>
  </w:style>
  <w:style w:type="paragraph" w:customStyle="1" w:styleId="614">
    <w:name w:val="p19"/>
    <w:basedOn w:val="1"/>
    <w:qFormat/>
    <w:uiPriority w:val="0"/>
    <w:pPr>
      <w:widowControl/>
      <w:spacing w:before="31" w:after="31" w:line="420" w:lineRule="atLeast"/>
      <w:ind w:firstLine="420"/>
    </w:pPr>
    <w:rPr>
      <w:kern w:val="0"/>
      <w:sz w:val="24"/>
    </w:rPr>
  </w:style>
  <w:style w:type="paragraph" w:customStyle="1" w:styleId="615">
    <w:name w:val="normalindent"/>
    <w:basedOn w:val="1"/>
    <w:qFormat/>
    <w:uiPriority w:val="0"/>
    <w:pPr>
      <w:widowControl/>
    </w:pPr>
    <w:rPr>
      <w:kern w:val="0"/>
      <w:sz w:val="28"/>
      <w:szCs w:val="28"/>
    </w:rPr>
  </w:style>
  <w:style w:type="paragraph" w:customStyle="1" w:styleId="616">
    <w:name w:val="样式 标题 2SeHead wsa2Chapter节H2标题 1.1Chapter Title标题 2 Char..."/>
    <w:basedOn w:val="1"/>
    <w:qFormat/>
    <w:uiPriority w:val="0"/>
  </w:style>
  <w:style w:type="paragraph" w:customStyle="1" w:styleId="617">
    <w:name w:val="表内格式"/>
    <w:basedOn w:val="1"/>
    <w:qFormat/>
    <w:uiPriority w:val="0"/>
    <w:pPr>
      <w:snapToGrid w:val="0"/>
      <w:jc w:val="center"/>
    </w:pPr>
    <w:rPr>
      <w:sz w:val="18"/>
      <w:szCs w:val="20"/>
    </w:rPr>
  </w:style>
  <w:style w:type="paragraph" w:customStyle="1" w:styleId="618">
    <w:name w:val="Normal+2"/>
    <w:basedOn w:val="29"/>
    <w:next w:val="29"/>
    <w:qFormat/>
    <w:uiPriority w:val="99"/>
    <w:rPr>
      <w:rFonts w:cs="Times New Roman"/>
      <w:color w:val="auto"/>
    </w:rPr>
  </w:style>
  <w:style w:type="paragraph" w:customStyle="1" w:styleId="619">
    <w:name w:val="第一章表头"/>
    <w:basedOn w:val="1"/>
    <w:qFormat/>
    <w:uiPriority w:val="0"/>
    <w:pPr>
      <w:spacing w:line="360" w:lineRule="auto"/>
      <w:jc w:val="center"/>
    </w:pPr>
    <w:rPr>
      <w:rFonts w:eastAsia="黑体"/>
      <w:szCs w:val="21"/>
    </w:rPr>
  </w:style>
  <w:style w:type="paragraph" w:customStyle="1" w:styleId="620">
    <w:name w:val="样式 标题 3BSH-3条标题1.1.1H3b3W3段标题标题 3 Char标题 3 Char Char标题 ..."/>
    <w:basedOn w:val="4"/>
    <w:qFormat/>
    <w:uiPriority w:val="0"/>
    <w:pPr>
      <w:keepLines w:val="0"/>
      <w:numPr>
        <w:ilvl w:val="0"/>
        <w:numId w:val="0"/>
      </w:numPr>
      <w:tabs>
        <w:tab w:val="left" w:pos="862"/>
      </w:tabs>
      <w:overflowPunct w:val="0"/>
      <w:topLinePunct/>
      <w:autoSpaceDE w:val="0"/>
      <w:autoSpaceDN w:val="0"/>
      <w:snapToGrid w:val="0"/>
      <w:spacing w:beforeLines="0" w:afterLines="0"/>
      <w:ind w:left="862" w:hanging="862"/>
      <w:textAlignment w:val="baseline"/>
    </w:pPr>
    <w:rPr>
      <w:rFonts w:ascii="宋体" w:eastAsia="宋体" w:cs="宋体"/>
      <w:bCs w:val="0"/>
      <w:color w:val="FF0000"/>
      <w:sz w:val="28"/>
      <w:szCs w:val="20"/>
    </w:rPr>
  </w:style>
  <w:style w:type="paragraph" w:customStyle="1" w:styleId="621">
    <w:name w:val="Char Char Char Char Char Char Char Char Char Char Char Char Char1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22">
    <w:name w:val="font13"/>
    <w:basedOn w:val="1"/>
    <w:qFormat/>
    <w:uiPriority w:val="0"/>
    <w:pPr>
      <w:widowControl/>
      <w:spacing w:before="100" w:beforeAutospacing="1" w:after="100" w:afterAutospacing="1"/>
      <w:jc w:val="left"/>
    </w:pPr>
    <w:rPr>
      <w:rFonts w:ascii="Arial" w:hAnsi="Arial" w:cs="Arial"/>
      <w:color w:val="FF0000"/>
      <w:kern w:val="0"/>
      <w:szCs w:val="21"/>
    </w:rPr>
  </w:style>
  <w:style w:type="paragraph" w:customStyle="1" w:styleId="623">
    <w:name w:val="热电厂正文 Char Char"/>
    <w:basedOn w:val="1"/>
    <w:qFormat/>
    <w:uiPriority w:val="0"/>
    <w:pPr>
      <w:spacing w:line="440" w:lineRule="exact"/>
      <w:ind w:firstLine="480" w:firstLineChars="200"/>
    </w:pPr>
    <w:rPr>
      <w:sz w:val="24"/>
    </w:rPr>
  </w:style>
  <w:style w:type="paragraph" w:customStyle="1" w:styleId="624">
    <w:name w:val="p21"/>
    <w:basedOn w:val="1"/>
    <w:qFormat/>
    <w:uiPriority w:val="0"/>
    <w:pPr>
      <w:widowControl/>
      <w:spacing w:beforeLines="10" w:afterLines="10" w:line="360" w:lineRule="auto"/>
      <w:ind w:firstLine="420"/>
    </w:pPr>
    <w:rPr>
      <w:color w:val="000000"/>
      <w:kern w:val="0"/>
      <w:sz w:val="24"/>
    </w:rPr>
  </w:style>
  <w:style w:type="paragraph" w:customStyle="1" w:styleId="62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26">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w:hAnsi="Arial" w:cs="Arial"/>
      <w:kern w:val="0"/>
      <w:szCs w:val="21"/>
    </w:rPr>
  </w:style>
  <w:style w:type="paragraph" w:customStyle="1" w:styleId="627">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628">
    <w:name w:val="xl7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629">
    <w:name w:val="xl75"/>
    <w:basedOn w:val="1"/>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630">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kern w:val="0"/>
      <w:szCs w:val="21"/>
    </w:rPr>
  </w:style>
  <w:style w:type="paragraph" w:customStyle="1" w:styleId="631">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table" w:customStyle="1" w:styleId="632">
    <w:name w:val="cmr"/>
    <w:basedOn w:val="58"/>
    <w:qFormat/>
    <w:uiPriority w:val="0"/>
    <w:pPr>
      <w:jc w:val="center"/>
    </w:pPr>
    <w:rPr>
      <w:sz w:val="21"/>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633">
    <w:name w:val="五号宋体表格（报告书）"/>
    <w:basedOn w:val="58"/>
    <w:qFormat/>
    <w:uiPriority w:val="0"/>
    <w:pPr>
      <w:spacing w:line="400" w:lineRule="exact"/>
      <w:jc w:val="center"/>
    </w:pPr>
    <w:rPr>
      <w:rFonts w:eastAsia="Times New Roman"/>
      <w:sz w:val="21"/>
    </w:rPr>
    <w:tblPr>
      <w:jc w:val="center"/>
      <w:tblBorders>
        <w:top w:val="single" w:color="000000" w:sz="12" w:space="0"/>
        <w:bottom w:val="single" w:color="000000" w:sz="12" w:space="0"/>
        <w:insideH w:val="single" w:color="000000" w:sz="6" w:space="0"/>
        <w:insideV w:val="single" w:color="000000" w:sz="6" w:space="0"/>
      </w:tblBorders>
    </w:tblPr>
    <w:trPr>
      <w:jc w:val="center"/>
    </w:trPr>
    <w:tcPr>
      <w:vAlign w:val="center"/>
    </w:tcPr>
  </w:style>
  <w:style w:type="table" w:customStyle="1" w:styleId="634">
    <w:name w:val="标准表格"/>
    <w:basedOn w:val="58"/>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Lines="0" w:beforeAutospacing="0" w:afterLines="0" w:afterAutospacing="0" w:line="240" w:lineRule="auto"/>
        <w:ind w:left="0" w:leftChars="0" w:right="0" w:rightChars="0" w:firstLine="0" w:firstLineChars="0"/>
        <w:jc w:val="center"/>
      </w:pPr>
      <w:rPr>
        <w:rFonts w:eastAsia="Courier"/>
        <w:sz w:val="18"/>
      </w:rPr>
      <w:tblPr/>
      <w:trPr>
        <w:tblHeader/>
      </w:trPr>
    </w:tblStylePr>
    <w:tblStylePr w:type="firstCol">
      <w:pPr>
        <w:jc w:val="center"/>
      </w:pPr>
    </w:tblStylePr>
  </w:style>
  <w:style w:type="table" w:customStyle="1" w:styleId="635">
    <w:name w:val="网格型21"/>
    <w:basedOn w:val="58"/>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6">
    <w:name w:val="网格型18"/>
    <w:basedOn w:val="58"/>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7">
    <w:name w:val="A-z正文 Char"/>
    <w:link w:val="638"/>
    <w:qFormat/>
    <w:uiPriority w:val="0"/>
    <w:rPr>
      <w:sz w:val="24"/>
      <w:szCs w:val="24"/>
    </w:rPr>
  </w:style>
  <w:style w:type="paragraph" w:customStyle="1" w:styleId="638">
    <w:name w:val="A-z正文"/>
    <w:basedOn w:val="1"/>
    <w:link w:val="637"/>
    <w:qFormat/>
    <w:uiPriority w:val="0"/>
    <w:pPr>
      <w:spacing w:line="360" w:lineRule="auto"/>
      <w:ind w:firstLine="200" w:firstLineChars="200"/>
    </w:pPr>
    <w:rPr>
      <w:kern w:val="0"/>
      <w:sz w:val="24"/>
      <w:lang w:val="zh-CN"/>
    </w:rPr>
  </w:style>
  <w:style w:type="character" w:customStyle="1" w:styleId="639">
    <w:name w:val="A-题注-表 Char"/>
    <w:link w:val="640"/>
    <w:qFormat/>
    <w:uiPriority w:val="0"/>
    <w:rPr>
      <w:rFonts w:cs="Arial"/>
      <w:b/>
      <w:szCs w:val="24"/>
    </w:rPr>
  </w:style>
  <w:style w:type="paragraph" w:customStyle="1" w:styleId="640">
    <w:name w:val="A-题注-表"/>
    <w:basedOn w:val="16"/>
    <w:link w:val="639"/>
    <w:qFormat/>
    <w:uiPriority w:val="0"/>
    <w:pPr>
      <w:adjustRightInd/>
      <w:ind w:firstLine="0" w:firstLineChars="0"/>
      <w:jc w:val="center"/>
      <w:textAlignment w:val="auto"/>
    </w:pPr>
    <w:rPr>
      <w:rFonts w:ascii="Times New Roman" w:hAnsi="Times New Roman" w:eastAsia="宋体"/>
      <w:b/>
      <w:szCs w:val="24"/>
    </w:rPr>
  </w:style>
  <w:style w:type="character" w:customStyle="1" w:styleId="641">
    <w:name w:val="A-题注-图 Char"/>
    <w:link w:val="642"/>
    <w:qFormat/>
    <w:uiPriority w:val="0"/>
    <w:rPr>
      <w:rFonts w:cs="Arial"/>
      <w:b/>
      <w:szCs w:val="24"/>
    </w:rPr>
  </w:style>
  <w:style w:type="paragraph" w:customStyle="1" w:styleId="642">
    <w:name w:val="A-题注-图"/>
    <w:basedOn w:val="640"/>
    <w:link w:val="641"/>
    <w:qFormat/>
    <w:uiPriority w:val="0"/>
  </w:style>
  <w:style w:type="character" w:customStyle="1" w:styleId="643">
    <w:name w:val="A-表格文字 Char"/>
    <w:link w:val="644"/>
    <w:qFormat/>
    <w:uiPriority w:val="0"/>
    <w:rPr>
      <w:szCs w:val="21"/>
    </w:rPr>
  </w:style>
  <w:style w:type="paragraph" w:customStyle="1" w:styleId="644">
    <w:name w:val="A-表格文字"/>
    <w:basedOn w:val="1"/>
    <w:next w:val="638"/>
    <w:link w:val="643"/>
    <w:qFormat/>
    <w:uiPriority w:val="0"/>
    <w:pPr>
      <w:autoSpaceDE w:val="0"/>
      <w:autoSpaceDN w:val="0"/>
      <w:adjustRightInd w:val="0"/>
      <w:jc w:val="center"/>
      <w:textAlignment w:val="center"/>
    </w:pPr>
    <w:rPr>
      <w:kern w:val="0"/>
      <w:sz w:val="20"/>
      <w:szCs w:val="21"/>
      <w:lang w:val="zh-CN"/>
    </w:rPr>
  </w:style>
  <w:style w:type="paragraph" w:customStyle="1" w:styleId="645">
    <w:name w:val="环评正文编号"/>
    <w:basedOn w:val="1"/>
    <w:link w:val="646"/>
    <w:qFormat/>
    <w:locked/>
    <w:uiPriority w:val="0"/>
    <w:pPr>
      <w:numPr>
        <w:ilvl w:val="0"/>
        <w:numId w:val="2"/>
      </w:numPr>
      <w:spacing w:line="360" w:lineRule="auto"/>
    </w:pPr>
    <w:rPr>
      <w:rFonts w:ascii="仿宋_GB2312" w:eastAsia="仿宋_GB2312"/>
      <w:sz w:val="24"/>
      <w:lang w:bidi="en-US"/>
    </w:rPr>
  </w:style>
  <w:style w:type="character" w:customStyle="1" w:styleId="646">
    <w:name w:val="环评正文编号 Char"/>
    <w:link w:val="645"/>
    <w:qFormat/>
    <w:uiPriority w:val="0"/>
    <w:rPr>
      <w:rFonts w:ascii="仿宋_GB2312" w:hAnsi="Times New Roman" w:eastAsia="仿宋_GB2312"/>
      <w:kern w:val="2"/>
      <w:sz w:val="24"/>
      <w:szCs w:val="24"/>
      <w:lang w:bidi="en-US"/>
    </w:rPr>
  </w:style>
  <w:style w:type="character" w:customStyle="1" w:styleId="647">
    <w:name w:val="正文文本缩进 3 Char1"/>
    <w:qFormat/>
    <w:uiPriority w:val="0"/>
    <w:rPr>
      <w:kern w:val="2"/>
      <w:sz w:val="16"/>
      <w:szCs w:val="16"/>
    </w:rPr>
  </w:style>
  <w:style w:type="paragraph" w:customStyle="1" w:styleId="648">
    <w:name w:val="表号题注"/>
    <w:basedOn w:val="1"/>
    <w:link w:val="649"/>
    <w:qFormat/>
    <w:uiPriority w:val="0"/>
    <w:pPr>
      <w:spacing w:line="360" w:lineRule="auto"/>
      <w:jc w:val="center"/>
    </w:pPr>
    <w:rPr>
      <w:rFonts w:eastAsia="黑体"/>
      <w:color w:val="000000"/>
      <w:szCs w:val="21"/>
      <w:lang w:bidi="en-US"/>
    </w:rPr>
  </w:style>
  <w:style w:type="character" w:customStyle="1" w:styleId="649">
    <w:name w:val="表号题注 Char Char"/>
    <w:link w:val="648"/>
    <w:qFormat/>
    <w:uiPriority w:val="0"/>
    <w:rPr>
      <w:rFonts w:eastAsia="黑体"/>
      <w:color w:val="000000"/>
      <w:kern w:val="2"/>
      <w:sz w:val="21"/>
      <w:szCs w:val="21"/>
      <w:lang w:bidi="en-US"/>
    </w:rPr>
  </w:style>
  <w:style w:type="paragraph" w:customStyle="1" w:styleId="650">
    <w:name w:val="预测表格"/>
    <w:basedOn w:val="1"/>
    <w:qFormat/>
    <w:uiPriority w:val="0"/>
    <w:pPr>
      <w:ind w:left="-15" w:leftChars="-15" w:right="-15" w:rightChars="-15"/>
      <w:jc w:val="center"/>
    </w:pPr>
    <w:rPr>
      <w:rFonts w:ascii="宋体" w:hAnsi="宋体"/>
      <w:spacing w:val="-5"/>
      <w:sz w:val="18"/>
      <w:szCs w:val="18"/>
    </w:rPr>
  </w:style>
  <w:style w:type="paragraph" w:styleId="651">
    <w:name w:val="List Paragraph"/>
    <w:basedOn w:val="1"/>
    <w:link w:val="696"/>
    <w:qFormat/>
    <w:uiPriority w:val="34"/>
    <w:pPr>
      <w:ind w:firstLine="420" w:firstLineChars="200"/>
    </w:pPr>
  </w:style>
  <w:style w:type="character" w:customStyle="1" w:styleId="652">
    <w:name w:val="cucd-0 Char1"/>
    <w:link w:val="653"/>
    <w:qFormat/>
    <w:uiPriority w:val="0"/>
    <w:rPr>
      <w:kern w:val="2"/>
      <w:sz w:val="24"/>
      <w:szCs w:val="24"/>
    </w:rPr>
  </w:style>
  <w:style w:type="paragraph" w:customStyle="1" w:styleId="653">
    <w:name w:val="cucd-0"/>
    <w:link w:val="652"/>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654">
    <w:name w:val="公式及图片"/>
    <w:basedOn w:val="1"/>
    <w:next w:val="1"/>
    <w:qFormat/>
    <w:locked/>
    <w:uiPriority w:val="0"/>
    <w:pPr>
      <w:jc w:val="center"/>
    </w:pPr>
    <w:rPr>
      <w:rFonts w:ascii="宋体"/>
    </w:rPr>
  </w:style>
  <w:style w:type="paragraph" w:customStyle="1" w:styleId="655">
    <w:name w:val="图题"/>
    <w:basedOn w:val="656"/>
    <w:next w:val="1"/>
    <w:link w:val="658"/>
    <w:qFormat/>
    <w:locked/>
    <w:uiPriority w:val="0"/>
    <w:rPr>
      <w:b/>
      <w:sz w:val="24"/>
    </w:rPr>
  </w:style>
  <w:style w:type="paragraph" w:customStyle="1" w:styleId="656">
    <w:name w:val="图号题注"/>
    <w:basedOn w:val="1"/>
    <w:next w:val="1"/>
    <w:link w:val="657"/>
    <w:qFormat/>
    <w:locked/>
    <w:uiPriority w:val="0"/>
    <w:pPr>
      <w:spacing w:line="360" w:lineRule="auto"/>
      <w:jc w:val="center"/>
    </w:pPr>
    <w:rPr>
      <w:rFonts w:ascii="宋体"/>
    </w:rPr>
  </w:style>
  <w:style w:type="character" w:customStyle="1" w:styleId="657">
    <w:name w:val="图号题注 Char"/>
    <w:link w:val="656"/>
    <w:qFormat/>
    <w:uiPriority w:val="0"/>
    <w:rPr>
      <w:rFonts w:ascii="宋体"/>
      <w:kern w:val="2"/>
      <w:sz w:val="21"/>
      <w:szCs w:val="24"/>
    </w:rPr>
  </w:style>
  <w:style w:type="character" w:customStyle="1" w:styleId="658">
    <w:name w:val="图题 Char"/>
    <w:link w:val="655"/>
    <w:qFormat/>
    <w:uiPriority w:val="0"/>
    <w:rPr>
      <w:rFonts w:ascii="宋体"/>
      <w:b/>
      <w:kern w:val="2"/>
      <w:sz w:val="24"/>
      <w:szCs w:val="24"/>
    </w:rPr>
  </w:style>
  <w:style w:type="paragraph" w:customStyle="1" w:styleId="659">
    <w:name w:val="Char4"/>
    <w:basedOn w:val="1"/>
    <w:qFormat/>
    <w:uiPriority w:val="0"/>
    <w:rPr>
      <w:sz w:val="24"/>
    </w:rPr>
  </w:style>
  <w:style w:type="paragraph" w:customStyle="1" w:styleId="660">
    <w:name w:val="表头"/>
    <w:basedOn w:val="1"/>
    <w:link w:val="661"/>
    <w:qFormat/>
    <w:locked/>
    <w:uiPriority w:val="0"/>
    <w:pPr>
      <w:spacing w:line="360" w:lineRule="auto"/>
    </w:pPr>
    <w:rPr>
      <w:rFonts w:ascii="宋体" w:hAnsi="Arial" w:cs="Arial"/>
      <w:b/>
      <w:sz w:val="24"/>
    </w:rPr>
  </w:style>
  <w:style w:type="character" w:customStyle="1" w:styleId="661">
    <w:name w:val="表头 Char"/>
    <w:link w:val="660"/>
    <w:qFormat/>
    <w:uiPriority w:val="0"/>
    <w:rPr>
      <w:rFonts w:ascii="宋体" w:hAnsi="Arial" w:eastAsia="宋体" w:cs="Arial"/>
      <w:b/>
      <w:kern w:val="2"/>
      <w:sz w:val="24"/>
      <w:szCs w:val="24"/>
    </w:rPr>
  </w:style>
  <w:style w:type="paragraph" w:customStyle="1" w:styleId="662">
    <w:name w:val="样式 样式 首行缩进:  0.77 厘米 行距: 固定值 20 磅 + 居中 首行缩进:  0 厘米 行距: 单倍行距"/>
    <w:basedOn w:val="439"/>
    <w:qFormat/>
    <w:uiPriority w:val="0"/>
    <w:pPr>
      <w:spacing w:line="240" w:lineRule="auto"/>
      <w:ind w:firstLine="0"/>
      <w:jc w:val="center"/>
    </w:pPr>
    <w:rPr>
      <w:rFonts w:cs="宋体"/>
      <w:sz w:val="21"/>
      <w:szCs w:val="21"/>
    </w:rPr>
  </w:style>
  <w:style w:type="character" w:customStyle="1" w:styleId="663">
    <w:name w:val="font41"/>
    <w:basedOn w:val="62"/>
    <w:qFormat/>
    <w:uiPriority w:val="0"/>
    <w:rPr>
      <w:rFonts w:hint="default" w:ascii="Times New Roman" w:hAnsi="Times New Roman" w:cs="Times New Roman"/>
      <w:color w:val="000000"/>
      <w:sz w:val="21"/>
      <w:szCs w:val="21"/>
      <w:u w:val="none"/>
      <w:vertAlign w:val="superscript"/>
    </w:rPr>
  </w:style>
  <w:style w:type="character" w:customStyle="1" w:styleId="664">
    <w:name w:val="font21"/>
    <w:basedOn w:val="62"/>
    <w:qFormat/>
    <w:uiPriority w:val="0"/>
    <w:rPr>
      <w:rFonts w:hint="default" w:ascii="Times New Roman" w:hAnsi="Times New Roman" w:cs="Times New Roman"/>
      <w:color w:val="000000"/>
      <w:sz w:val="21"/>
      <w:szCs w:val="21"/>
      <w:u w:val="none"/>
    </w:rPr>
  </w:style>
  <w:style w:type="character" w:customStyle="1" w:styleId="665">
    <w:name w:val="font01"/>
    <w:basedOn w:val="62"/>
    <w:qFormat/>
    <w:uiPriority w:val="0"/>
    <w:rPr>
      <w:rFonts w:hint="default" w:ascii="Times New Roman" w:hAnsi="Times New Roman" w:cs="Times New Roman"/>
      <w:color w:val="000000"/>
      <w:sz w:val="21"/>
      <w:szCs w:val="21"/>
      <w:u w:val="none"/>
      <w:vertAlign w:val="superscript"/>
    </w:rPr>
  </w:style>
  <w:style w:type="paragraph" w:customStyle="1" w:styleId="666">
    <w:name w:val="正文缩进1"/>
    <w:basedOn w:val="1"/>
    <w:qFormat/>
    <w:uiPriority w:val="0"/>
    <w:pPr>
      <w:overflowPunct w:val="0"/>
      <w:autoSpaceDE w:val="0"/>
      <w:autoSpaceDN w:val="0"/>
      <w:adjustRightInd w:val="0"/>
      <w:ind w:firstLine="482"/>
      <w:textAlignment w:val="baseline"/>
    </w:pPr>
    <w:rPr>
      <w:szCs w:val="20"/>
    </w:rPr>
  </w:style>
  <w:style w:type="character" w:customStyle="1" w:styleId="667">
    <w:name w:val="书籍标题2"/>
    <w:basedOn w:val="62"/>
    <w:qFormat/>
    <w:uiPriority w:val="33"/>
    <w:rPr>
      <w:rFonts w:ascii="Times New Roman" w:hAnsi="Times New Roman" w:eastAsia="黑体"/>
      <w:bCs/>
      <w:spacing w:val="5"/>
      <w:sz w:val="21"/>
    </w:rPr>
  </w:style>
  <w:style w:type="table" w:customStyle="1" w:styleId="668">
    <w:name w:val="网格型19"/>
    <w:basedOn w:val="58"/>
    <w:qFormat/>
    <w:uiPriority w:val="59"/>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69">
    <w:name w:val="column_name"/>
    <w:basedOn w:val="62"/>
    <w:qFormat/>
    <w:uiPriority w:val="0"/>
    <w:rPr>
      <w:sz w:val="24"/>
      <w:szCs w:val="24"/>
    </w:rPr>
  </w:style>
  <w:style w:type="character" w:customStyle="1" w:styleId="670">
    <w:name w:val="item-name"/>
    <w:basedOn w:val="62"/>
    <w:qFormat/>
    <w:uiPriority w:val="0"/>
  </w:style>
  <w:style w:type="character" w:customStyle="1" w:styleId="671">
    <w:name w:val="item-name1"/>
    <w:basedOn w:val="62"/>
    <w:qFormat/>
    <w:uiPriority w:val="0"/>
  </w:style>
  <w:style w:type="character" w:customStyle="1" w:styleId="672">
    <w:name w:val="书籍标题3"/>
    <w:basedOn w:val="62"/>
    <w:qFormat/>
    <w:uiPriority w:val="33"/>
    <w:rPr>
      <w:rFonts w:ascii="Times New Roman" w:hAnsi="Times New Roman" w:eastAsia="黑体"/>
      <w:bCs/>
      <w:spacing w:val="5"/>
      <w:sz w:val="21"/>
    </w:rPr>
  </w:style>
  <w:style w:type="table" w:customStyle="1" w:styleId="673">
    <w:name w:val="表格虚线1"/>
    <w:basedOn w:val="5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4">
    <w:name w:val="表格虚线2"/>
    <w:basedOn w:val="5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5">
    <w:name w:val="表格虚线3"/>
    <w:basedOn w:val="5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6">
    <w:name w:val="表格虚线4"/>
    <w:basedOn w:val="5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7">
    <w:name w:val="表格虚线5"/>
    <w:basedOn w:val="5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8">
    <w:name w:val="表格虚线6"/>
    <w:basedOn w:val="5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9">
    <w:name w:val="书籍标题31"/>
    <w:basedOn w:val="62"/>
    <w:qFormat/>
    <w:uiPriority w:val="33"/>
    <w:rPr>
      <w:rFonts w:ascii="Times New Roman" w:hAnsi="Times New Roman" w:eastAsia="黑体"/>
      <w:bCs/>
      <w:spacing w:val="5"/>
      <w:sz w:val="21"/>
    </w:rPr>
  </w:style>
  <w:style w:type="character" w:customStyle="1" w:styleId="680">
    <w:name w:val="书籍标题4"/>
    <w:basedOn w:val="62"/>
    <w:qFormat/>
    <w:uiPriority w:val="33"/>
    <w:rPr>
      <w:rFonts w:ascii="Times New Roman" w:hAnsi="Times New Roman" w:eastAsia="黑体"/>
      <w:bCs/>
      <w:spacing w:val="5"/>
      <w:sz w:val="21"/>
    </w:rPr>
  </w:style>
  <w:style w:type="table" w:customStyle="1" w:styleId="681">
    <w:name w:val="网格型231"/>
    <w:basedOn w:val="58"/>
    <w:qFormat/>
    <w:uiPriority w:val="5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2">
    <w:name w:val="网格型321"/>
    <w:basedOn w:val="58"/>
    <w:qFormat/>
    <w:uiPriority w:val="5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3">
    <w:name w:val="网格型322"/>
    <w:basedOn w:val="58"/>
    <w:qFormat/>
    <w:uiPriority w:val="5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84">
    <w:name w:val="bsharetext"/>
    <w:basedOn w:val="62"/>
    <w:qFormat/>
    <w:uiPriority w:val="0"/>
  </w:style>
  <w:style w:type="character" w:customStyle="1" w:styleId="685">
    <w:name w:val="gktitle-a1"/>
    <w:basedOn w:val="62"/>
    <w:qFormat/>
    <w:uiPriority w:val="0"/>
    <w:rPr>
      <w:color w:val="0199E4"/>
    </w:rPr>
  </w:style>
  <w:style w:type="character" w:customStyle="1" w:styleId="686">
    <w:name w:val="书籍标题42"/>
    <w:basedOn w:val="62"/>
    <w:qFormat/>
    <w:uiPriority w:val="33"/>
    <w:rPr>
      <w:rFonts w:ascii="Times New Roman" w:hAnsi="Times New Roman" w:eastAsia="黑体"/>
      <w:bCs/>
      <w:spacing w:val="5"/>
      <w:sz w:val="21"/>
    </w:rPr>
  </w:style>
  <w:style w:type="character" w:customStyle="1" w:styleId="687">
    <w:name w:val="font31"/>
    <w:basedOn w:val="62"/>
    <w:qFormat/>
    <w:uiPriority w:val="0"/>
    <w:rPr>
      <w:rFonts w:hint="default" w:ascii="Times New Roman" w:hAnsi="Times New Roman" w:cs="Times New Roman"/>
      <w:color w:val="000000"/>
      <w:sz w:val="22"/>
      <w:szCs w:val="22"/>
      <w:u w:val="none"/>
    </w:rPr>
  </w:style>
  <w:style w:type="character" w:customStyle="1" w:styleId="688">
    <w:name w:val="书籍标题41"/>
    <w:basedOn w:val="62"/>
    <w:qFormat/>
    <w:uiPriority w:val="33"/>
    <w:rPr>
      <w:rFonts w:ascii="Times New Roman" w:hAnsi="Times New Roman" w:eastAsia="黑体"/>
      <w:bCs/>
      <w:spacing w:val="5"/>
      <w:sz w:val="21"/>
    </w:rPr>
  </w:style>
  <w:style w:type="table" w:customStyle="1" w:styleId="689">
    <w:name w:val="网格表 1 浅色1"/>
    <w:basedOn w:val="58"/>
    <w:qFormat/>
    <w:uiPriority w:val="46"/>
    <w:rPr>
      <w:rFonts w:ascii="Times New Roman" w:hAnsi="Times New Roman"/>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690">
    <w:name w:val="普通(网站) 字符"/>
    <w:link w:val="53"/>
    <w:qFormat/>
    <w:uiPriority w:val="99"/>
    <w:rPr>
      <w:rFonts w:ascii="Arial Unicode MS" w:hAnsi="Arial Unicode MS" w:eastAsia="Arial Unicode MS" w:cs="Arial Unicode MS"/>
      <w:color w:val="000000"/>
      <w:sz w:val="24"/>
      <w:szCs w:val="24"/>
    </w:rPr>
  </w:style>
  <w:style w:type="paragraph" w:customStyle="1" w:styleId="691">
    <w:name w:val="样式 Char + 首行缩进:  2 字符1"/>
    <w:basedOn w:val="404"/>
    <w:qFormat/>
    <w:uiPriority w:val="0"/>
    <w:rPr>
      <w:rFonts w:ascii="Times New Roman" w:hAnsi="Times New Roman"/>
      <w:szCs w:val="20"/>
    </w:rPr>
  </w:style>
  <w:style w:type="paragraph" w:customStyle="1" w:styleId="692">
    <w:name w:val="分点段落文字"/>
    <w:link w:val="693"/>
    <w:qFormat/>
    <w:uiPriority w:val="0"/>
    <w:pPr>
      <w:tabs>
        <w:tab w:val="left" w:pos="510"/>
      </w:tabs>
      <w:spacing w:line="360" w:lineRule="auto"/>
      <w:ind w:left="846" w:hanging="420"/>
    </w:pPr>
    <w:rPr>
      <w:rFonts w:ascii="Times New Roman" w:hAnsi="Times New Roman" w:eastAsia="宋体" w:cs="Times New Roman"/>
      <w:sz w:val="24"/>
      <w:szCs w:val="24"/>
      <w:lang w:val="en-US" w:eastAsia="zh-CN" w:bidi="ar-SA"/>
    </w:rPr>
  </w:style>
  <w:style w:type="character" w:customStyle="1" w:styleId="693">
    <w:name w:val="分点段落文字 Char Char"/>
    <w:link w:val="692"/>
    <w:qFormat/>
    <w:uiPriority w:val="0"/>
    <w:rPr>
      <w:rFonts w:ascii="Times New Roman" w:hAnsi="Times New Roman"/>
      <w:sz w:val="24"/>
      <w:szCs w:val="24"/>
    </w:rPr>
  </w:style>
  <w:style w:type="paragraph" w:customStyle="1" w:styleId="694">
    <w:name w:val="样式 分点段落文字 + 图案: 15% (自动设置 前景 白色 背景)"/>
    <w:basedOn w:val="692"/>
    <w:link w:val="695"/>
    <w:qFormat/>
    <w:uiPriority w:val="0"/>
    <w:rPr>
      <w:shd w:val="pct10" w:color="auto" w:fill="FFFFFF"/>
    </w:rPr>
  </w:style>
  <w:style w:type="character" w:customStyle="1" w:styleId="695">
    <w:name w:val="样式 分点段落文字 + 图案: 15% (自动设置 前景 白色 背景) Char"/>
    <w:basedOn w:val="693"/>
    <w:link w:val="694"/>
    <w:qFormat/>
    <w:uiPriority w:val="0"/>
    <w:rPr>
      <w:rFonts w:ascii="Times New Roman" w:hAnsi="Times New Roman"/>
      <w:sz w:val="24"/>
      <w:szCs w:val="24"/>
    </w:rPr>
  </w:style>
  <w:style w:type="character" w:customStyle="1" w:styleId="696">
    <w:name w:val="列表段落 字符"/>
    <w:link w:val="651"/>
    <w:qFormat/>
    <w:uiPriority w:val="99"/>
    <w:rPr>
      <w:rFonts w:ascii="Times New Roman" w:hAnsi="Times New Roman"/>
      <w:kern w:val="2"/>
      <w:sz w:val="21"/>
      <w:szCs w:val="24"/>
    </w:rPr>
  </w:style>
  <w:style w:type="character" w:customStyle="1" w:styleId="697">
    <w:name w:val="批注框文本 Char1"/>
    <w:semiHidden/>
    <w:qFormat/>
    <w:uiPriority w:val="99"/>
    <w:rPr>
      <w:rFonts w:ascii="Calibri" w:hAnsi="Calibri" w:eastAsia="宋体" w:cs="Times New Roman"/>
      <w:sz w:val="18"/>
      <w:szCs w:val="18"/>
    </w:rPr>
  </w:style>
  <w:style w:type="paragraph" w:customStyle="1" w:styleId="698">
    <w:name w:val="默认段落字体 Para Char"/>
    <w:basedOn w:val="1"/>
    <w:next w:val="1"/>
    <w:qFormat/>
    <w:uiPriority w:val="0"/>
    <w:pPr>
      <w:spacing w:line="360" w:lineRule="auto"/>
      <w:ind w:firstLine="480" w:firstLineChars="200"/>
    </w:pPr>
    <w:rPr>
      <w:rFonts w:cs="宋体"/>
      <w:sz w:val="24"/>
    </w:rPr>
  </w:style>
  <w:style w:type="character" w:customStyle="1" w:styleId="699">
    <w:name w:val="表格文字 Char Char"/>
    <w:qFormat/>
    <w:uiPriority w:val="99"/>
    <w:rPr>
      <w:snapToGrid w:val="0"/>
      <w:color w:val="000000"/>
      <w:sz w:val="21"/>
      <w:szCs w:val="21"/>
    </w:rPr>
  </w:style>
  <w:style w:type="character" w:customStyle="1" w:styleId="700">
    <w:name w:val="表、图名 Char"/>
    <w:link w:val="534"/>
    <w:qFormat/>
    <w:uiPriority w:val="0"/>
    <w:rPr>
      <w:rFonts w:ascii="黑体" w:hAnsi="宋体" w:eastAsia="黑体"/>
      <w:color w:val="000000"/>
      <w:sz w:val="21"/>
      <w:szCs w:val="18"/>
    </w:rPr>
  </w:style>
  <w:style w:type="paragraph" w:customStyle="1" w:styleId="701">
    <w:name w:val="Char2 Char Char Char Char Char Char1 Char Char Char Char Char Char"/>
    <w:basedOn w:val="1"/>
    <w:qFormat/>
    <w:uiPriority w:val="0"/>
    <w:pPr>
      <w:snapToGrid w:val="0"/>
      <w:spacing w:beforeLines="100" w:afterLines="50" w:line="360" w:lineRule="auto"/>
    </w:pPr>
    <w:rPr>
      <w:szCs w:val="20"/>
    </w:rPr>
  </w:style>
  <w:style w:type="character" w:customStyle="1" w:styleId="702">
    <w:name w:val="正文文本首行缩进 2 字符3"/>
    <w:basedOn w:val="88"/>
    <w:link w:val="57"/>
    <w:qFormat/>
    <w:uiPriority w:val="0"/>
    <w:rPr>
      <w:rFonts w:asciiTheme="minorHAnsi" w:hAnsiTheme="minorHAnsi" w:eastAsiaTheme="minorEastAsia" w:cstheme="minorBidi"/>
      <w:kern w:val="2"/>
      <w:sz w:val="21"/>
      <w:szCs w:val="24"/>
    </w:rPr>
  </w:style>
  <w:style w:type="character" w:customStyle="1" w:styleId="703">
    <w:name w:val="表格内文字 Char"/>
    <w:link w:val="512"/>
    <w:qFormat/>
    <w:uiPriority w:val="0"/>
    <w:rPr>
      <w:rFonts w:ascii="Times New Roman" w:hAnsi="Times New Roman"/>
      <w:snapToGrid w:val="0"/>
      <w:sz w:val="24"/>
    </w:rPr>
  </w:style>
  <w:style w:type="paragraph" w:customStyle="1" w:styleId="704">
    <w:name w:val="【正文】"/>
    <w:basedOn w:val="1"/>
    <w:qFormat/>
    <w:uiPriority w:val="0"/>
    <w:pPr>
      <w:spacing w:line="440" w:lineRule="exact"/>
      <w:ind w:firstLine="544" w:firstLineChars="200"/>
    </w:pPr>
    <w:rPr>
      <w:rFonts w:cs="宋体" w:asciiTheme="minorHAnsi" w:hAnsiTheme="minorHAnsi" w:eastAsiaTheme="minorEastAsia"/>
      <w:szCs w:val="22"/>
    </w:rPr>
  </w:style>
  <w:style w:type="paragraph" w:customStyle="1" w:styleId="705">
    <w:name w:val="0正文"/>
    <w:qFormat/>
    <w:uiPriority w:val="0"/>
    <w:pPr>
      <w:adjustRightInd w:val="0"/>
      <w:snapToGrid w:val="0"/>
      <w:spacing w:line="360" w:lineRule="auto"/>
      <w:ind w:firstLine="560"/>
    </w:pPr>
    <w:rPr>
      <w:rFonts w:ascii="宋体" w:hAnsi="宋体" w:eastAsia="宋体" w:cs="Times New Roman"/>
      <w:kern w:val="2"/>
      <w:sz w:val="28"/>
      <w:szCs w:val="22"/>
      <w:lang w:val="en-US" w:eastAsia="zh-CN" w:bidi="ar-SA"/>
    </w:rPr>
  </w:style>
  <w:style w:type="paragraph" w:customStyle="1" w:styleId="706">
    <w:name w:val="小表1"/>
    <w:basedOn w:val="1"/>
    <w:qFormat/>
    <w:uiPriority w:val="0"/>
    <w:pPr>
      <w:adjustRightInd w:val="0"/>
      <w:snapToGrid w:val="0"/>
      <w:spacing w:line="240" w:lineRule="atLeast"/>
      <w:jc w:val="center"/>
    </w:pPr>
    <w:rPr>
      <w:rFonts w:ascii="Calibri" w:hAnsi="Calibri"/>
      <w:color w:val="000000"/>
      <w:spacing w:val="-10"/>
      <w:sz w:val="22"/>
      <w:szCs w:val="22"/>
    </w:rPr>
  </w:style>
  <w:style w:type="paragraph" w:customStyle="1" w:styleId="707">
    <w:name w:val="修订2"/>
    <w:hidden/>
    <w:semiHidden/>
    <w:unhideWhenUsed/>
    <w:qFormat/>
    <w:uiPriority w:val="99"/>
    <w:rPr>
      <w:rFonts w:ascii="Times New Roman" w:hAnsi="Times New Roman" w:eastAsia="宋体" w:cs="Times New Roman"/>
      <w:kern w:val="2"/>
      <w:sz w:val="21"/>
      <w:szCs w:val="24"/>
      <w:lang w:val="en-US" w:eastAsia="zh-CN" w:bidi="ar-SA"/>
    </w:rPr>
  </w:style>
  <w:style w:type="paragraph" w:customStyle="1" w:styleId="708">
    <w:name w:val="_Style 706"/>
    <w:basedOn w:val="1"/>
    <w:next w:val="651"/>
    <w:qFormat/>
    <w:uiPriority w:val="34"/>
    <w:pPr>
      <w:spacing w:line="360" w:lineRule="auto"/>
      <w:ind w:firstLine="420" w:firstLineChars="200"/>
    </w:pPr>
    <w:rPr>
      <w:sz w:val="24"/>
      <w:szCs w:val="21"/>
    </w:rPr>
  </w:style>
  <w:style w:type="character" w:customStyle="1" w:styleId="709">
    <w:name w:val="书籍标题5"/>
    <w:basedOn w:val="62"/>
    <w:qFormat/>
    <w:uiPriority w:val="33"/>
    <w:rPr>
      <w:rFonts w:ascii="Times New Roman" w:hAnsi="Times New Roman" w:eastAsia="黑体"/>
      <w:bCs/>
      <w:spacing w:val="5"/>
      <w:sz w:val="21"/>
    </w:rPr>
  </w:style>
  <w:style w:type="paragraph" w:customStyle="1" w:styleId="710">
    <w:name w:val="朔电编号正文"/>
    <w:basedOn w:val="1"/>
    <w:qFormat/>
    <w:uiPriority w:val="0"/>
    <w:pPr>
      <w:numPr>
        <w:ilvl w:val="0"/>
        <w:numId w:val="3"/>
      </w:numPr>
      <w:adjustRightInd w:val="0"/>
      <w:snapToGrid w:val="0"/>
      <w:spacing w:beforeLines="25" w:line="440" w:lineRule="exact"/>
      <w:ind w:firstLine="0"/>
    </w:pPr>
    <w:rPr>
      <w:color w:val="000000"/>
      <w:kern w:val="32"/>
      <w:sz w:val="24"/>
    </w:rPr>
  </w:style>
  <w:style w:type="paragraph" w:customStyle="1" w:styleId="711">
    <w:name w:val="表内文本"/>
    <w:basedOn w:val="1"/>
    <w:link w:val="712"/>
    <w:qFormat/>
    <w:uiPriority w:val="0"/>
    <w:pPr>
      <w:jc w:val="center"/>
    </w:pPr>
    <w:rPr>
      <w:rFonts w:cstheme="minorBidi"/>
      <w:szCs w:val="21"/>
    </w:rPr>
  </w:style>
  <w:style w:type="character" w:customStyle="1" w:styleId="712">
    <w:name w:val="表内文本 字符"/>
    <w:basedOn w:val="62"/>
    <w:link w:val="711"/>
    <w:qFormat/>
    <w:uiPriority w:val="0"/>
    <w:rPr>
      <w:rFonts w:ascii="Times New Roman" w:hAnsi="Times New Roman" w:cstheme="minorBidi"/>
      <w:kern w:val="2"/>
      <w:sz w:val="21"/>
      <w:szCs w:val="21"/>
    </w:rPr>
  </w:style>
  <w:style w:type="paragraph" w:customStyle="1" w:styleId="713">
    <w:name w:val="莱组正文"/>
    <w:basedOn w:val="1"/>
    <w:link w:val="714"/>
    <w:qFormat/>
    <w:uiPriority w:val="0"/>
    <w:pPr>
      <w:widowControl/>
      <w:adjustRightInd w:val="0"/>
      <w:snapToGrid w:val="0"/>
      <w:spacing w:beforeLines="50" w:line="360" w:lineRule="auto"/>
      <w:ind w:firstLine="200" w:firstLineChars="200"/>
    </w:pPr>
    <w:rPr>
      <w:color w:val="000000"/>
      <w:kern w:val="0"/>
      <w:sz w:val="24"/>
      <w:szCs w:val="22"/>
    </w:rPr>
  </w:style>
  <w:style w:type="character" w:customStyle="1" w:styleId="714">
    <w:name w:val="莱组正文 Char"/>
    <w:basedOn w:val="62"/>
    <w:link w:val="713"/>
    <w:qFormat/>
    <w:uiPriority w:val="0"/>
    <w:rPr>
      <w:rFonts w:ascii="Times New Roman" w:hAnsi="Times New Roman"/>
      <w:color w:val="000000"/>
      <w:sz w:val="24"/>
      <w:szCs w:val="22"/>
    </w:rPr>
  </w:style>
  <w:style w:type="character" w:customStyle="1" w:styleId="715">
    <w:name w:val="正文文字 Char Char"/>
    <w:link w:val="716"/>
    <w:qFormat/>
    <w:uiPriority w:val="0"/>
    <w:rPr>
      <w:rFonts w:ascii="宋体" w:hAnsi="宋体"/>
      <w:sz w:val="24"/>
      <w:szCs w:val="24"/>
    </w:rPr>
  </w:style>
  <w:style w:type="paragraph" w:customStyle="1" w:styleId="716">
    <w:name w:val="正文文字"/>
    <w:basedOn w:val="1"/>
    <w:link w:val="715"/>
    <w:qFormat/>
    <w:uiPriority w:val="0"/>
    <w:pPr>
      <w:topLinePunct/>
      <w:spacing w:line="360" w:lineRule="auto"/>
      <w:ind w:firstLine="440" w:firstLineChars="200"/>
      <w:textAlignment w:val="top"/>
    </w:pPr>
    <w:rPr>
      <w:rFonts w:ascii="宋体" w:hAnsi="宋体"/>
      <w:kern w:val="0"/>
      <w:sz w:val="24"/>
    </w:rPr>
  </w:style>
  <w:style w:type="paragraph" w:customStyle="1" w:styleId="717">
    <w:name w:val="Char Char Char1 Char"/>
    <w:basedOn w:val="1"/>
    <w:qFormat/>
    <w:uiPriority w:val="0"/>
    <w:pPr>
      <w:tabs>
        <w:tab w:val="left" w:pos="360"/>
      </w:tabs>
      <w:spacing w:line="360" w:lineRule="auto"/>
      <w:ind w:firstLine="200" w:firstLineChars="200"/>
    </w:pPr>
    <w:rPr>
      <w:sz w:val="44"/>
    </w:rPr>
  </w:style>
  <w:style w:type="character" w:customStyle="1" w:styleId="718">
    <w:name w:val="show-img-bd"/>
    <w:basedOn w:val="62"/>
    <w:qFormat/>
    <w:uiPriority w:val="0"/>
  </w:style>
  <w:style w:type="paragraph" w:customStyle="1" w:styleId="719">
    <w:name w:val="Other|1"/>
    <w:basedOn w:val="1"/>
    <w:qFormat/>
    <w:uiPriority w:val="0"/>
    <w:rPr>
      <w:rFonts w:ascii="宋体" w:hAnsi="宋体" w:cs="宋体"/>
      <w:sz w:val="16"/>
      <w:szCs w:val="16"/>
      <w:lang w:val="zh-TW" w:eastAsia="zh-TW" w:bidi="zh-TW"/>
    </w:rPr>
  </w:style>
  <w:style w:type="paragraph" w:customStyle="1" w:styleId="720">
    <w:name w:val="正文样式z"/>
    <w:basedOn w:val="1"/>
    <w:link w:val="721"/>
    <w:qFormat/>
    <w:uiPriority w:val="0"/>
    <w:pPr>
      <w:spacing w:line="360" w:lineRule="auto"/>
      <w:ind w:firstLine="480" w:firstLineChars="200"/>
    </w:pPr>
    <w:rPr>
      <w:rFonts w:cs="宋体"/>
      <w:color w:val="000000" w:themeColor="text1"/>
      <w:sz w:val="24"/>
      <w:szCs w:val="20"/>
    </w:rPr>
  </w:style>
  <w:style w:type="character" w:customStyle="1" w:styleId="721">
    <w:name w:val="正文样式z 字符"/>
    <w:basedOn w:val="62"/>
    <w:link w:val="720"/>
    <w:qFormat/>
    <w:uiPriority w:val="0"/>
    <w:rPr>
      <w:rFonts w:ascii="Times New Roman" w:hAnsi="Times New Roman" w:cs="宋体"/>
      <w:color w:val="000000" w:themeColor="text1"/>
      <w:kern w:val="2"/>
      <w:sz w:val="24"/>
    </w:rPr>
  </w:style>
  <w:style w:type="paragraph" w:customStyle="1" w:styleId="722">
    <w:name w:val="表内文本2"/>
    <w:basedOn w:val="36"/>
    <w:link w:val="723"/>
    <w:qFormat/>
    <w:uiPriority w:val="0"/>
    <w:pPr>
      <w:jc w:val="center"/>
    </w:pPr>
    <w:rPr>
      <w:sz w:val="21"/>
      <w:szCs w:val="21"/>
      <w:lang w:val="en-US"/>
    </w:rPr>
  </w:style>
  <w:style w:type="character" w:customStyle="1" w:styleId="723">
    <w:name w:val="表内文本2 字符"/>
    <w:basedOn w:val="71"/>
    <w:link w:val="722"/>
    <w:qFormat/>
    <w:uiPriority w:val="0"/>
    <w:rPr>
      <w:rFonts w:ascii="Times New Roman" w:hAnsi="Times New Roman"/>
      <w:kern w:val="2"/>
      <w:sz w:val="21"/>
      <w:szCs w:val="21"/>
    </w:rPr>
  </w:style>
  <w:style w:type="paragraph" w:customStyle="1" w:styleId="724">
    <w:name w:val="表名图名"/>
    <w:basedOn w:val="1"/>
    <w:link w:val="726"/>
    <w:qFormat/>
    <w:uiPriority w:val="0"/>
    <w:pPr>
      <w:jc w:val="center"/>
    </w:pPr>
    <w:rPr>
      <w:rFonts w:ascii="黑体" w:hAnsi="黑体" w:eastAsia="黑体"/>
    </w:rPr>
  </w:style>
  <w:style w:type="paragraph" w:customStyle="1" w:styleId="725">
    <w:name w:val="图片"/>
    <w:basedOn w:val="720"/>
    <w:link w:val="727"/>
    <w:qFormat/>
    <w:uiPriority w:val="0"/>
    <w:pPr>
      <w:spacing w:line="240" w:lineRule="auto"/>
      <w:ind w:firstLine="0" w:firstLineChars="0"/>
      <w:jc w:val="center"/>
    </w:pPr>
  </w:style>
  <w:style w:type="character" w:customStyle="1" w:styleId="726">
    <w:name w:val="表名图名 字符"/>
    <w:basedOn w:val="62"/>
    <w:link w:val="724"/>
    <w:qFormat/>
    <w:uiPriority w:val="0"/>
    <w:rPr>
      <w:rFonts w:ascii="黑体" w:hAnsi="黑体" w:eastAsia="黑体"/>
      <w:kern w:val="2"/>
      <w:sz w:val="21"/>
      <w:szCs w:val="24"/>
    </w:rPr>
  </w:style>
  <w:style w:type="character" w:customStyle="1" w:styleId="727">
    <w:name w:val="图片 字符"/>
    <w:basedOn w:val="721"/>
    <w:link w:val="725"/>
    <w:qFormat/>
    <w:uiPriority w:val="0"/>
    <w:rPr>
      <w:rFonts w:ascii="Times New Roman" w:hAnsi="Times New Roman" w:cs="宋体"/>
      <w:color w:val="000000" w:themeColor="text1"/>
      <w:kern w:val="2"/>
      <w:sz w:val="24"/>
    </w:rPr>
  </w:style>
  <w:style w:type="paragraph" w:customStyle="1" w:styleId="728">
    <w:name w:val="样式 小四 红色 行距: 1.5 倍行距 首行缩进:  2 字符"/>
    <w:basedOn w:val="1"/>
    <w:link w:val="729"/>
    <w:qFormat/>
    <w:uiPriority w:val="0"/>
    <w:pPr>
      <w:spacing w:line="360" w:lineRule="auto"/>
      <w:ind w:firstLine="200" w:firstLineChars="200"/>
    </w:pPr>
    <w:rPr>
      <w:rFonts w:cs="宋体"/>
      <w:sz w:val="24"/>
      <w:szCs w:val="20"/>
    </w:rPr>
  </w:style>
  <w:style w:type="character" w:customStyle="1" w:styleId="729">
    <w:name w:val="样式 小四 红色 行距: 1.5 倍行距 首行缩进:  2 字符 字符"/>
    <w:basedOn w:val="62"/>
    <w:link w:val="728"/>
    <w:qFormat/>
    <w:uiPriority w:val="0"/>
    <w:rPr>
      <w:rFonts w:ascii="Times New Roman" w:hAnsi="Times New Roman" w:cs="宋体"/>
      <w:kern w:val="2"/>
      <w:sz w:val="24"/>
    </w:rPr>
  </w:style>
  <w:style w:type="character" w:customStyle="1" w:styleId="730">
    <w:name w:val="rgroup"/>
    <w:basedOn w:val="62"/>
    <w:qFormat/>
    <w:uiPriority w:val="0"/>
  </w:style>
  <w:style w:type="character" w:customStyle="1" w:styleId="731">
    <w:name w:val="Re-正文 Char"/>
    <w:link w:val="732"/>
    <w:qFormat/>
    <w:locked/>
    <w:uiPriority w:val="0"/>
    <w:rPr>
      <w:sz w:val="22"/>
    </w:rPr>
  </w:style>
  <w:style w:type="paragraph" w:customStyle="1" w:styleId="732">
    <w:name w:val="Re-正文"/>
    <w:basedOn w:val="1"/>
    <w:link w:val="731"/>
    <w:qFormat/>
    <w:uiPriority w:val="0"/>
    <w:pPr>
      <w:spacing w:line="360" w:lineRule="auto"/>
      <w:ind w:firstLine="200" w:firstLineChars="200"/>
    </w:pPr>
    <w:rPr>
      <w:rFonts w:ascii="Calibri" w:hAnsi="Calibri"/>
      <w:kern w:val="0"/>
      <w:sz w:val="22"/>
      <w:szCs w:val="20"/>
    </w:rPr>
  </w:style>
  <w:style w:type="character" w:customStyle="1" w:styleId="733">
    <w:name w:val="Unresolved Mention"/>
    <w:basedOn w:val="62"/>
    <w:semiHidden/>
    <w:unhideWhenUsed/>
    <w:qFormat/>
    <w:uiPriority w:val="99"/>
    <w:rPr>
      <w:color w:val="605E5C"/>
      <w:shd w:val="clear" w:color="auto" w:fill="E1DFDD"/>
    </w:rPr>
  </w:style>
  <w:style w:type="character" w:customStyle="1" w:styleId="734">
    <w:name w:val="智汇元-宜昌-正文 Char"/>
    <w:link w:val="735"/>
    <w:qFormat/>
    <w:uiPriority w:val="0"/>
    <w:rPr>
      <w:snapToGrid w:val="0"/>
      <w:color w:val="000000"/>
      <w:sz w:val="24"/>
      <w:szCs w:val="24"/>
    </w:rPr>
  </w:style>
  <w:style w:type="paragraph" w:customStyle="1" w:styleId="735">
    <w:name w:val="智汇元-宜昌-正文"/>
    <w:basedOn w:val="1"/>
    <w:link w:val="734"/>
    <w:qFormat/>
    <w:uiPriority w:val="0"/>
    <w:pPr>
      <w:spacing w:line="360" w:lineRule="auto"/>
      <w:ind w:firstLine="480" w:firstLineChars="200"/>
    </w:pPr>
    <w:rPr>
      <w:rFonts w:ascii="Calibri" w:hAnsi="Calibri"/>
      <w:snapToGrid w:val="0"/>
      <w:color w:val="000000"/>
      <w:kern w:val="0"/>
      <w:sz w:val="24"/>
    </w:rPr>
  </w:style>
  <w:style w:type="paragraph" w:customStyle="1" w:styleId="736">
    <w:name w:val="正文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737">
    <w:name w:val="正文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738">
    <w:name w:val="正文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39">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740">
    <w:name w:val="正文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1">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2">
    <w:name w:val="正文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743">
    <w:name w:val="正文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744">
    <w:name w:val="正文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45">
    <w:name w:val="正文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746">
    <w:name w:val="2"/>
    <w:basedOn w:val="1"/>
    <w:next w:val="28"/>
    <w:qFormat/>
    <w:uiPriority w:val="0"/>
    <w:rPr>
      <w:rFonts w:ascii="宋体" w:hAnsi="Lucida Console" w:eastAsia="楷体_GB2312"/>
      <w:bCs/>
      <w:sz w:val="24"/>
    </w:rPr>
  </w:style>
  <w:style w:type="paragraph" w:customStyle="1" w:styleId="747">
    <w:name w:val="正本文字"/>
    <w:basedOn w:val="1"/>
    <w:qFormat/>
    <w:uiPriority w:val="0"/>
    <w:pPr>
      <w:adjustRightInd w:val="0"/>
      <w:snapToGrid w:val="0"/>
      <w:spacing w:line="360" w:lineRule="auto"/>
      <w:ind w:firstLine="200" w:firstLineChars="200"/>
      <w:jc w:val="left"/>
    </w:pPr>
    <w:rPr>
      <w:rFonts w:cs="宋体"/>
      <w:kern w:val="18"/>
      <w:sz w:val="24"/>
      <w:szCs w:val="20"/>
    </w:rPr>
  </w:style>
  <w:style w:type="paragraph" w:customStyle="1" w:styleId="748">
    <w:name w:val="表内文字"/>
    <w:basedOn w:val="1"/>
    <w:qFormat/>
    <w:uiPriority w:val="0"/>
    <w:pPr>
      <w:widowControl/>
      <w:ind w:left="57" w:right="57"/>
      <w:jc w:val="center"/>
    </w:pPr>
    <w:rPr>
      <w:rFonts w:ascii="Times" w:hAnsi="Times" w:cs="Times"/>
      <w:snapToGrid w:val="0"/>
      <w:spacing w:val="-20"/>
      <w:kern w:val="0"/>
      <w:sz w:val="24"/>
      <w:szCs w:val="21"/>
    </w:rPr>
  </w:style>
  <w:style w:type="paragraph" w:customStyle="1" w:styleId="749">
    <w:name w:val="表头行-黑"/>
    <w:basedOn w:val="748"/>
    <w:qFormat/>
    <w:uiPriority w:val="0"/>
    <w:pPr>
      <w:tabs>
        <w:tab w:val="center" w:pos="633"/>
        <w:tab w:val="left" w:pos="3615"/>
      </w:tabs>
    </w:pPr>
    <w:rPr>
      <w:rFonts w:eastAsia="黑体"/>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numbering" Target="numbering.xml"/><Relationship Id="rId97" Type="http://schemas.openxmlformats.org/officeDocument/2006/relationships/image" Target="media/image56.jpeg"/><Relationship Id="rId96" Type="http://schemas.openxmlformats.org/officeDocument/2006/relationships/image" Target="media/image55.jpeg"/><Relationship Id="rId95" Type="http://schemas.openxmlformats.org/officeDocument/2006/relationships/image" Target="media/image54.png"/><Relationship Id="rId94" Type="http://schemas.openxmlformats.org/officeDocument/2006/relationships/image" Target="media/image53.png"/><Relationship Id="rId93" Type="http://schemas.openxmlformats.org/officeDocument/2006/relationships/image" Target="media/image52.png"/><Relationship Id="rId92" Type="http://schemas.openxmlformats.org/officeDocument/2006/relationships/image" Target="media/image51.jpeg"/><Relationship Id="rId91" Type="http://schemas.openxmlformats.org/officeDocument/2006/relationships/image" Target="media/image50.jpeg"/><Relationship Id="rId90" Type="http://schemas.openxmlformats.org/officeDocument/2006/relationships/image" Target="media/image49.png"/><Relationship Id="rId9" Type="http://schemas.openxmlformats.org/officeDocument/2006/relationships/footer" Target="footer4.xml"/><Relationship Id="rId89" Type="http://schemas.openxmlformats.org/officeDocument/2006/relationships/image" Target="media/image48.jpeg"/><Relationship Id="rId88" Type="http://schemas.openxmlformats.org/officeDocument/2006/relationships/image" Target="media/image47.wmf"/><Relationship Id="rId87" Type="http://schemas.openxmlformats.org/officeDocument/2006/relationships/oleObject" Target="embeddings/oleObject20.bin"/><Relationship Id="rId86" Type="http://schemas.openxmlformats.org/officeDocument/2006/relationships/image" Target="media/image46.wmf"/><Relationship Id="rId85" Type="http://schemas.openxmlformats.org/officeDocument/2006/relationships/oleObject" Target="embeddings/oleObject19.bin"/><Relationship Id="rId84" Type="http://schemas.openxmlformats.org/officeDocument/2006/relationships/image" Target="media/image45.wmf"/><Relationship Id="rId83" Type="http://schemas.openxmlformats.org/officeDocument/2006/relationships/oleObject" Target="embeddings/oleObject18.bin"/><Relationship Id="rId82" Type="http://schemas.openxmlformats.org/officeDocument/2006/relationships/image" Target="media/image44.wmf"/><Relationship Id="rId81" Type="http://schemas.openxmlformats.org/officeDocument/2006/relationships/oleObject" Target="embeddings/oleObject17.bin"/><Relationship Id="rId80" Type="http://schemas.openxmlformats.org/officeDocument/2006/relationships/image" Target="media/image43.wmf"/><Relationship Id="rId8" Type="http://schemas.openxmlformats.org/officeDocument/2006/relationships/header" Target="header3.xml"/><Relationship Id="rId79" Type="http://schemas.openxmlformats.org/officeDocument/2006/relationships/image" Target="media/image42.wmf"/><Relationship Id="rId78" Type="http://schemas.openxmlformats.org/officeDocument/2006/relationships/image" Target="media/image41.wmf"/><Relationship Id="rId77" Type="http://schemas.openxmlformats.org/officeDocument/2006/relationships/image" Target="media/image40.wmf"/><Relationship Id="rId76" Type="http://schemas.openxmlformats.org/officeDocument/2006/relationships/image" Target="media/image39.wmf"/><Relationship Id="rId75" Type="http://schemas.openxmlformats.org/officeDocument/2006/relationships/oleObject" Target="embeddings/oleObject16.bin"/><Relationship Id="rId74" Type="http://schemas.openxmlformats.org/officeDocument/2006/relationships/image" Target="media/image38.png"/><Relationship Id="rId73" Type="http://schemas.openxmlformats.org/officeDocument/2006/relationships/image" Target="media/image37.wmf"/><Relationship Id="rId72" Type="http://schemas.openxmlformats.org/officeDocument/2006/relationships/oleObject" Target="embeddings/oleObject15.bin"/><Relationship Id="rId71" Type="http://schemas.openxmlformats.org/officeDocument/2006/relationships/image" Target="media/image36.wmf"/><Relationship Id="rId70" Type="http://schemas.openxmlformats.org/officeDocument/2006/relationships/oleObject" Target="embeddings/oleObject14.bin"/><Relationship Id="rId7" Type="http://schemas.openxmlformats.org/officeDocument/2006/relationships/footer" Target="footer3.xml"/><Relationship Id="rId69" Type="http://schemas.openxmlformats.org/officeDocument/2006/relationships/oleObject" Target="embeddings/oleObject13.bin"/><Relationship Id="rId68" Type="http://schemas.openxmlformats.org/officeDocument/2006/relationships/image" Target="media/image35.wmf"/><Relationship Id="rId67" Type="http://schemas.openxmlformats.org/officeDocument/2006/relationships/oleObject" Target="embeddings/oleObject12.bin"/><Relationship Id="rId66" Type="http://schemas.openxmlformats.org/officeDocument/2006/relationships/image" Target="media/image34.wmf"/><Relationship Id="rId65" Type="http://schemas.openxmlformats.org/officeDocument/2006/relationships/oleObject" Target="embeddings/oleObject11.bin"/><Relationship Id="rId64" Type="http://schemas.openxmlformats.org/officeDocument/2006/relationships/image" Target="media/image33.wmf"/><Relationship Id="rId63" Type="http://schemas.openxmlformats.org/officeDocument/2006/relationships/oleObject" Target="embeddings/oleObject10.bin"/><Relationship Id="rId62" Type="http://schemas.openxmlformats.org/officeDocument/2006/relationships/image" Target="media/image32.wmf"/><Relationship Id="rId61" Type="http://schemas.openxmlformats.org/officeDocument/2006/relationships/oleObject" Target="embeddings/oleObject9.bin"/><Relationship Id="rId60" Type="http://schemas.openxmlformats.org/officeDocument/2006/relationships/image" Target="media/image31.wmf"/><Relationship Id="rId6" Type="http://schemas.openxmlformats.org/officeDocument/2006/relationships/header" Target="header2.xml"/><Relationship Id="rId59" Type="http://schemas.openxmlformats.org/officeDocument/2006/relationships/image" Target="media/image30.wmf"/><Relationship Id="rId58" Type="http://schemas.openxmlformats.org/officeDocument/2006/relationships/oleObject" Target="embeddings/oleObject8.bin"/><Relationship Id="rId57" Type="http://schemas.openxmlformats.org/officeDocument/2006/relationships/image" Target="media/image29.jpeg"/><Relationship Id="rId56" Type="http://schemas.openxmlformats.org/officeDocument/2006/relationships/image" Target="media/image28.jpeg"/><Relationship Id="rId55" Type="http://schemas.openxmlformats.org/officeDocument/2006/relationships/image" Target="media/image27.jpeg"/><Relationship Id="rId54" Type="http://schemas.openxmlformats.org/officeDocument/2006/relationships/image" Target="media/image26.jpeg"/><Relationship Id="rId53" Type="http://schemas.openxmlformats.org/officeDocument/2006/relationships/image" Target="media/image25.jpeg"/><Relationship Id="rId52" Type="http://schemas.openxmlformats.org/officeDocument/2006/relationships/image" Target="media/image24.jpeg"/><Relationship Id="rId51" Type="http://schemas.openxmlformats.org/officeDocument/2006/relationships/image" Target="media/image23.jpeg"/><Relationship Id="rId50" Type="http://schemas.openxmlformats.org/officeDocument/2006/relationships/image" Target="media/image22.jpeg"/><Relationship Id="rId5" Type="http://schemas.openxmlformats.org/officeDocument/2006/relationships/footer" Target="footer2.xml"/><Relationship Id="rId49" Type="http://schemas.openxmlformats.org/officeDocument/2006/relationships/image" Target="media/image21.jpeg"/><Relationship Id="rId48" Type="http://schemas.openxmlformats.org/officeDocument/2006/relationships/image" Target="media/image20.jpeg"/><Relationship Id="rId47" Type="http://schemas.openxmlformats.org/officeDocument/2006/relationships/image" Target="media/image19.wmf"/><Relationship Id="rId46" Type="http://schemas.openxmlformats.org/officeDocument/2006/relationships/oleObject" Target="embeddings/oleObject7.bin"/><Relationship Id="rId45" Type="http://schemas.openxmlformats.org/officeDocument/2006/relationships/image" Target="media/image18.wmf"/><Relationship Id="rId44" Type="http://schemas.openxmlformats.org/officeDocument/2006/relationships/oleObject" Target="embeddings/oleObject6.bin"/><Relationship Id="rId43" Type="http://schemas.openxmlformats.org/officeDocument/2006/relationships/image" Target="media/image17.wmf"/><Relationship Id="rId42" Type="http://schemas.openxmlformats.org/officeDocument/2006/relationships/oleObject" Target="embeddings/oleObject5.bin"/><Relationship Id="rId41" Type="http://schemas.openxmlformats.org/officeDocument/2006/relationships/image" Target="media/image16.wmf"/><Relationship Id="rId40" Type="http://schemas.openxmlformats.org/officeDocument/2006/relationships/oleObject" Target="embeddings/oleObject4.bin"/><Relationship Id="rId4" Type="http://schemas.openxmlformats.org/officeDocument/2006/relationships/footer" Target="footer1.xml"/><Relationship Id="rId39" Type="http://schemas.openxmlformats.org/officeDocument/2006/relationships/image" Target="media/image15.wmf"/><Relationship Id="rId38" Type="http://schemas.openxmlformats.org/officeDocument/2006/relationships/oleObject" Target="embeddings/oleObject3.bin"/><Relationship Id="rId37" Type="http://schemas.openxmlformats.org/officeDocument/2006/relationships/image" Target="media/image14.wmf"/><Relationship Id="rId36" Type="http://schemas.openxmlformats.org/officeDocument/2006/relationships/oleObject" Target="embeddings/oleObject2.bin"/><Relationship Id="rId35" Type="http://schemas.openxmlformats.org/officeDocument/2006/relationships/image" Target="media/image13.wmf"/><Relationship Id="rId34" Type="http://schemas.openxmlformats.org/officeDocument/2006/relationships/oleObject" Target="embeddings/oleObject1.bin"/><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1" Type="http://schemas.openxmlformats.org/officeDocument/2006/relationships/fontTable" Target="fontTable.xml"/><Relationship Id="rId100" Type="http://schemas.microsoft.com/office/2006/relationships/keyMapCustomizations" Target="customizations.xml"/><Relationship Id="rId10" Type="http://schemas.openxmlformats.org/officeDocument/2006/relationships/header" Target="header4.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2275C-80FE-4DC6-8105-648CA3453825}">
  <ds:schemaRefs/>
</ds:datastoreItem>
</file>

<file path=docProps/app.xml><?xml version="1.0" encoding="utf-8"?>
<Properties xmlns="http://schemas.openxmlformats.org/officeDocument/2006/extended-properties" xmlns:vt="http://schemas.openxmlformats.org/officeDocument/2006/docPropsVTypes">
  <Template>Normal</Template>
  <Pages>258</Pages>
  <Words>4281</Words>
  <Characters>4782</Characters>
  <Lines>1205</Lines>
  <Paragraphs>339</Paragraphs>
  <TotalTime>346</TotalTime>
  <ScaleCrop>false</ScaleCrop>
  <LinksUpToDate>false</LinksUpToDate>
  <CharactersWithSpaces>4919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2020-11-20T03:16:00Z</dcterms:created>
  <dc:creator>LiJie</dc:creator>
  <cp:lastModifiedBy>卸风</cp:lastModifiedBy>
  <cp:lastPrinted>2023-11-14T14:56:00Z</cp:lastPrinted>
  <dcterms:modified xsi:type="dcterms:W3CDTF">2026-06-03T14:41:35Z</dcterms:modified>
  <cp:revision>926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eyJoZGlkIjoiN2YzNjBkOTgyNWQ1YTMxYzM3MzMwNWFiODNmOWIzYWMiLCJ1c2VySWQiOiI2NDM1MjMwNDEifQ==</vt:lpwstr>
  </property>
  <property fmtid="{D5CDD505-2E9C-101B-9397-08002B2CF9AE}" pid="4" name="ICV">
    <vt:lpwstr>B07E3D22809342C5A1EBA6E38AA67C10_12</vt:lpwstr>
  </property>
</Properties>
</file>