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ind w:firstLine="951"/>
        <w:rPr>
          <w:rFonts w:ascii="仿宋_GB2312" w:hAnsi="黑体" w:cs="宋体"/>
          <w:color w:val="000000"/>
          <w:kern w:val="0"/>
          <w:sz w:val="48"/>
          <w:szCs w:val="48"/>
        </w:rPr>
      </w:pPr>
    </w:p>
    <w:p>
      <w:pPr>
        <w:widowControl/>
        <w:spacing w:line="576" w:lineRule="exact"/>
        <w:ind w:firstLine="951"/>
        <w:jc w:val="center"/>
        <w:rPr>
          <w:rFonts w:ascii="仿宋_GB2312" w:hAnsi="黑体" w:cs="宋体"/>
          <w:color w:val="000000"/>
          <w:kern w:val="0"/>
          <w:sz w:val="48"/>
          <w:szCs w:val="48"/>
        </w:rPr>
      </w:pPr>
    </w:p>
    <w:p>
      <w:pPr>
        <w:widowControl/>
        <w:spacing w:line="240" w:lineRule="auto"/>
        <w:ind w:firstLine="0" w:firstLineChars="0"/>
        <w:jc w:val="center"/>
        <w:rPr>
          <w:rFonts w:ascii="方正小标宋简体" w:hAnsi="黑体" w:eastAsia="方正小标宋简体" w:cs="宋体"/>
          <w:color w:val="000000"/>
          <w:kern w:val="0"/>
          <w:sz w:val="72"/>
          <w:szCs w:val="72"/>
        </w:rPr>
      </w:pPr>
      <w:r>
        <w:rPr>
          <w:rFonts w:hint="eastAsia" w:ascii="方正小标宋简体" w:hAnsi="黑体" w:eastAsia="方正小标宋简体" w:cs="宋体"/>
          <w:color w:val="000000"/>
          <w:kern w:val="0"/>
          <w:sz w:val="72"/>
          <w:szCs w:val="72"/>
        </w:rPr>
        <w:t>林芝市生态环境保护</w:t>
      </w:r>
    </w:p>
    <w:p>
      <w:pPr>
        <w:widowControl/>
        <w:spacing w:line="240" w:lineRule="auto"/>
        <w:ind w:firstLine="0" w:firstLineChars="0"/>
        <w:jc w:val="center"/>
        <w:rPr>
          <w:rFonts w:ascii="方正小标宋简体" w:hAnsi="黑体" w:eastAsia="方正小标宋简体" w:cs="宋体"/>
          <w:kern w:val="0"/>
          <w:sz w:val="72"/>
          <w:szCs w:val="72"/>
        </w:rPr>
      </w:pPr>
      <w:r>
        <w:rPr>
          <w:rFonts w:hint="eastAsia" w:ascii="方正小标宋简体" w:hAnsi="黑体" w:eastAsia="方正小标宋简体" w:cs="Times New Roman"/>
          <w:color w:val="000000"/>
          <w:kern w:val="0"/>
          <w:sz w:val="72"/>
          <w:szCs w:val="72"/>
        </w:rPr>
        <w:t>“</w:t>
      </w:r>
      <w:r>
        <w:rPr>
          <w:rFonts w:hint="eastAsia" w:ascii="方正小标宋简体" w:hAnsi="黑体" w:eastAsia="方正小标宋简体" w:cs="宋体"/>
          <w:color w:val="000000"/>
          <w:kern w:val="0"/>
          <w:sz w:val="72"/>
          <w:szCs w:val="72"/>
        </w:rPr>
        <w:t>十四五</w:t>
      </w:r>
      <w:r>
        <w:rPr>
          <w:rFonts w:hint="eastAsia" w:ascii="方正小标宋简体" w:hAnsi="黑体" w:eastAsia="方正小标宋简体" w:cs="Times New Roman"/>
          <w:color w:val="000000"/>
          <w:kern w:val="0"/>
          <w:sz w:val="72"/>
          <w:szCs w:val="72"/>
        </w:rPr>
        <w:t>”</w:t>
      </w:r>
      <w:r>
        <w:rPr>
          <w:rFonts w:hint="eastAsia" w:ascii="方正小标宋简体" w:hAnsi="黑体" w:eastAsia="方正小标宋简体" w:cs="宋体"/>
          <w:color w:val="000000"/>
          <w:kern w:val="0"/>
          <w:sz w:val="72"/>
          <w:szCs w:val="72"/>
        </w:rPr>
        <w:t>规划</w:t>
      </w:r>
    </w:p>
    <w:p>
      <w:pPr>
        <w:widowControl/>
        <w:spacing w:line="576" w:lineRule="exact"/>
        <w:ind w:firstLine="0" w:firstLineChars="0"/>
        <w:jc w:val="center"/>
        <w:rPr>
          <w:rFonts w:ascii="仿宋_GB2312" w:hAnsi="仿宋_GB2312" w:cs="宋体"/>
          <w:b/>
          <w:kern w:val="0"/>
          <w:sz w:val="44"/>
          <w:szCs w:val="44"/>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宋体" w:cs="宋体"/>
          <w:b/>
          <w:bCs/>
          <w:color w:val="000000"/>
          <w:kern w:val="0"/>
          <w:szCs w:val="32"/>
        </w:rPr>
      </w:pPr>
    </w:p>
    <w:p>
      <w:pPr>
        <w:widowControl/>
        <w:spacing w:line="576" w:lineRule="exact"/>
        <w:ind w:firstLine="0" w:firstLineChars="0"/>
        <w:jc w:val="center"/>
        <w:rPr>
          <w:rFonts w:ascii="仿宋_GB2312" w:hAnsi="仿宋_GB2312" w:cs="宋体"/>
          <w:kern w:val="0"/>
          <w:sz w:val="24"/>
        </w:rPr>
      </w:pPr>
      <w:r>
        <w:rPr>
          <w:rFonts w:hint="eastAsia" w:ascii="仿宋_GB2312" w:hAnsi="仿宋_GB2312" w:cs="宋体"/>
          <w:b/>
          <w:bCs/>
          <w:color w:val="000000"/>
          <w:kern w:val="0"/>
          <w:szCs w:val="32"/>
        </w:rPr>
        <w:t>林芝市生态环境局</w:t>
      </w:r>
    </w:p>
    <w:p>
      <w:pPr>
        <w:widowControl/>
        <w:spacing w:line="576" w:lineRule="exact"/>
        <w:ind w:firstLine="0" w:firstLineChars="0"/>
        <w:jc w:val="center"/>
        <w:rPr>
          <w:rFonts w:ascii="仿宋_GB2312" w:hAnsi="仿宋_GB2312" w:cs="宋体"/>
          <w:b/>
          <w:bCs/>
          <w:color w:val="000000"/>
          <w:kern w:val="0"/>
          <w:szCs w:val="32"/>
        </w:rPr>
      </w:pPr>
      <w:r>
        <w:rPr>
          <w:rFonts w:hint="eastAsia" w:ascii="仿宋_GB2312" w:hAnsi="仿宋_GB2312" w:cs="Times New Roman"/>
          <w:b/>
          <w:bCs/>
          <w:color w:val="000000"/>
          <w:kern w:val="0"/>
          <w:szCs w:val="32"/>
        </w:rPr>
        <w:t>2022</w:t>
      </w:r>
      <w:r>
        <w:rPr>
          <w:rFonts w:hint="eastAsia" w:ascii="仿宋_GB2312" w:hAnsi="仿宋_GB2312" w:cs="宋体"/>
          <w:b/>
          <w:bCs/>
          <w:color w:val="000000"/>
          <w:kern w:val="0"/>
          <w:szCs w:val="32"/>
        </w:rPr>
        <w:t>年2月</w:t>
      </w:r>
    </w:p>
    <w:p>
      <w:pPr>
        <w:widowControl/>
        <w:spacing w:line="576" w:lineRule="exact"/>
        <w:ind w:firstLine="0" w:firstLineChars="0"/>
        <w:jc w:val="center"/>
        <w:rPr>
          <w:rFonts w:ascii="仿宋_GB2312" w:hAnsi="仿宋_GB2312" w:cs="宋体"/>
          <w:b/>
          <w:bCs/>
          <w:color w:val="000000"/>
          <w:kern w:val="0"/>
          <w:szCs w:val="32"/>
        </w:rPr>
      </w:pPr>
    </w:p>
    <w:p>
      <w:pPr>
        <w:widowControl/>
        <w:spacing w:line="576" w:lineRule="exact"/>
        <w:ind w:firstLine="0" w:firstLineChars="0"/>
        <w:jc w:val="center"/>
        <w:rPr>
          <w:rFonts w:ascii="仿宋_GB2312" w:hAnsi="仿宋_GB2312" w:cs="宋体"/>
          <w:b/>
          <w:bCs/>
          <w:color w:val="000000"/>
          <w:kern w:val="0"/>
          <w:szCs w:val="32"/>
        </w:rPr>
      </w:pPr>
    </w:p>
    <w:p>
      <w:pPr>
        <w:widowControl/>
        <w:spacing w:line="576" w:lineRule="exact"/>
        <w:ind w:firstLine="0" w:firstLineChars="0"/>
        <w:jc w:val="center"/>
      </w:pPr>
      <w:r>
        <w:rPr>
          <w:rFonts w:hint="eastAsia" w:ascii="仿宋_GB2312" w:hAnsi="仿宋_GB2312" w:cs="宋体"/>
          <w:b/>
          <w:bCs/>
          <w:color w:val="000000"/>
          <w:kern w:val="0"/>
          <w:szCs w:val="32"/>
        </w:rPr>
        <w:t>目  录</w:t>
      </w:r>
      <w:bookmarkStart w:id="0" w:name="_Toc82188334"/>
      <w:bookmarkStart w:id="1" w:name="_Toc82188404"/>
      <w:bookmarkStart w:id="2" w:name="_Toc75016647"/>
      <w:r>
        <w:rPr>
          <w:b/>
          <w:bCs/>
          <w:szCs w:val="32"/>
        </w:rPr>
        <w:fldChar w:fldCharType="begin"/>
      </w:r>
      <w:r>
        <w:rPr>
          <w:rFonts w:hint="eastAsia"/>
          <w:b/>
          <w:bCs/>
          <w:szCs w:val="32"/>
        </w:rPr>
        <w:instrText xml:space="preserve">TOC \o "1-3" \h \z \u</w:instrText>
      </w:r>
      <w:r>
        <w:rPr>
          <w:b/>
          <w:bCs/>
          <w:szCs w:val="32"/>
        </w:rPr>
        <w:fldChar w:fldCharType="separate"/>
      </w:r>
    </w:p>
    <w:p>
      <w:pPr>
        <w:pStyle w:val="17"/>
        <w:tabs>
          <w:tab w:val="right" w:leader="dot" w:pos="8290"/>
        </w:tabs>
        <w:spacing w:line="576" w:lineRule="exact"/>
        <w:ind w:firstLine="431"/>
        <w:rPr>
          <w:rFonts w:asciiTheme="minorHAnsi" w:hAnsiTheme="minorHAnsi" w:eastAsiaTheme="minorEastAsia"/>
          <w:b w:val="0"/>
          <w:bCs w:val="0"/>
          <w:sz w:val="21"/>
        </w:rPr>
      </w:pPr>
      <w:r>
        <w:fldChar w:fldCharType="begin"/>
      </w:r>
      <w:r>
        <w:instrText xml:space="preserve"> HYPERLINK \l "_第一章__发展基础与形势" </w:instrText>
      </w:r>
      <w:r>
        <w:fldChar w:fldCharType="separate"/>
      </w:r>
      <w:r>
        <w:rPr>
          <w:rStyle w:val="24"/>
          <w:rFonts w:hint="eastAsia"/>
        </w:rPr>
        <w:t>第一章发展基础与形势</w:t>
      </w:r>
      <w:r>
        <w:tab/>
      </w:r>
      <w:r>
        <w:fldChar w:fldCharType="begin"/>
      </w:r>
      <w:r>
        <w:instrText xml:space="preserve"> PAGEREF _Toc82189330 \h </w:instrText>
      </w:r>
      <w:r>
        <w:fldChar w:fldCharType="separate"/>
      </w:r>
      <w:r>
        <w:t>3</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"_Toc82189331" </w:instrText>
      </w:r>
      <w:r>
        <w:fldChar w:fldCharType="separate"/>
      </w:r>
      <w:r>
        <w:rPr>
          <w:rStyle w:val="24"/>
          <w:rFonts w:hint="eastAsia"/>
        </w:rPr>
        <w:t>第一节</w:t>
      </w:r>
      <w:r>
        <w:rPr>
          <w:rStyle w:val="24"/>
          <w:rFonts w:cs="Times New Roman"/>
        </w:rPr>
        <w:t>“</w:t>
      </w:r>
      <w:r>
        <w:rPr>
          <w:rStyle w:val="24"/>
          <w:rFonts w:hint="eastAsia"/>
        </w:rPr>
        <w:t>十三五</w:t>
      </w:r>
      <w:r>
        <w:rPr>
          <w:rStyle w:val="24"/>
          <w:rFonts w:cs="Times New Roman"/>
        </w:rPr>
        <w:t>”</w:t>
      </w:r>
      <w:r>
        <w:rPr>
          <w:rStyle w:val="24"/>
          <w:rFonts w:hint="eastAsia"/>
        </w:rPr>
        <w:t>时期主要工作</w:t>
      </w:r>
      <w:r>
        <w:tab/>
      </w:r>
      <w:r>
        <w:fldChar w:fldCharType="begin"/>
      </w:r>
      <w:r>
        <w:instrText xml:space="preserve"> PAGEREF _Toc82189331 \h </w:instrText>
      </w:r>
      <w:r>
        <w:fldChar w:fldCharType="separate"/>
      </w:r>
      <w:r>
        <w:t>4</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"_Toc82189332" </w:instrText>
      </w:r>
      <w:r>
        <w:fldChar w:fldCharType="separate"/>
      </w:r>
      <w:r>
        <w:rPr>
          <w:rStyle w:val="24"/>
          <w:rFonts w:hint="eastAsia"/>
        </w:rPr>
        <w:t>第二节</w:t>
      </w:r>
      <w:r>
        <w:rPr>
          <w:rStyle w:val="24"/>
          <w:rFonts w:cs="Times New Roman"/>
        </w:rPr>
        <w:t>“</w:t>
      </w:r>
      <w:r>
        <w:rPr>
          <w:rStyle w:val="24"/>
          <w:rFonts w:hint="eastAsia"/>
        </w:rPr>
        <w:t>十四五</w:t>
      </w:r>
      <w:r>
        <w:rPr>
          <w:rStyle w:val="24"/>
          <w:rFonts w:hint="eastAsia" w:cs="Times New Roman"/>
        </w:rPr>
        <w:t>”时期面临的</w:t>
      </w:r>
      <w:r>
        <w:rPr>
          <w:rStyle w:val="24"/>
          <w:rFonts w:hint="eastAsia"/>
        </w:rPr>
        <w:t>形势</w:t>
      </w:r>
      <w:r>
        <w:tab/>
      </w:r>
      <w:r>
        <w:fldChar w:fldCharType="begin"/>
      </w:r>
      <w:r>
        <w:instrText xml:space="preserve"> PAGEREF _Toc82189332 \h </w:instrText>
      </w:r>
      <w:r>
        <w:fldChar w:fldCharType="separate"/>
      </w:r>
      <w:r>
        <w:t>8</w:t>
      </w:r>
      <w:r>
        <w:fldChar w:fldCharType="end"/>
      </w:r>
      <w:r>
        <w:fldChar w:fldCharType="end"/>
      </w:r>
    </w:p>
    <w:p>
      <w:pPr>
        <w:pStyle w:val="17"/>
        <w:tabs>
          <w:tab w:val="right" w:leader="dot" w:pos="8290"/>
        </w:tabs>
        <w:spacing w:line="576" w:lineRule="exact"/>
        <w:ind w:firstLine="431"/>
        <w:rPr>
          <w:rFonts w:asciiTheme="minorHAnsi" w:hAnsiTheme="minorHAnsi" w:eastAsiaTheme="minorEastAsia"/>
          <w:b w:val="0"/>
          <w:bCs w:val="0"/>
          <w:sz w:val="21"/>
        </w:rPr>
      </w:pPr>
      <w:r>
        <w:fldChar w:fldCharType="begin"/>
      </w:r>
      <w:r>
        <w:instrText xml:space="preserve"> HYPERLINK \l "_Toc82189333" </w:instrText>
      </w:r>
      <w:r>
        <w:fldChar w:fldCharType="separate"/>
      </w:r>
      <w:r>
        <w:rPr>
          <w:rStyle w:val="24"/>
          <w:rFonts w:hint="eastAsia"/>
        </w:rPr>
        <w:t>第二章指导思想和主要目标</w:t>
      </w:r>
      <w:r>
        <w:tab/>
      </w:r>
      <w:r>
        <w:fldChar w:fldCharType="begin"/>
      </w:r>
      <w:r>
        <w:instrText xml:space="preserve"> PAGEREF _Toc82189333 \h </w:instrText>
      </w:r>
      <w:r>
        <w:fldChar w:fldCharType="separate"/>
      </w:r>
      <w:r>
        <w:t>11</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"_Toc82189334" </w:instrText>
      </w:r>
      <w:r>
        <w:fldChar w:fldCharType="separate"/>
      </w:r>
      <w:r>
        <w:rPr>
          <w:rStyle w:val="24"/>
          <w:rFonts w:hint="eastAsia"/>
        </w:rPr>
        <w:t>第一节指导思想</w:t>
      </w:r>
      <w:r>
        <w:tab/>
      </w:r>
      <w:r>
        <w:fldChar w:fldCharType="begin"/>
      </w:r>
      <w:r>
        <w:instrText xml:space="preserve"> PAGEREF _Toc82189334 \h </w:instrText>
      </w:r>
      <w:r>
        <w:fldChar w:fldCharType="separate"/>
      </w:r>
      <w:r>
        <w:t>11</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"_Toc82189335" </w:instrText>
      </w:r>
      <w:r>
        <w:fldChar w:fldCharType="separate"/>
      </w:r>
      <w:r>
        <w:rPr>
          <w:rStyle w:val="24"/>
          <w:rFonts w:hint="eastAsia" w:ascii="仿宋_GB2312"/>
        </w:rPr>
        <w:t>第二节基本原则</w:t>
      </w:r>
      <w:r>
        <w:tab/>
      </w:r>
      <w:r>
        <w:fldChar w:fldCharType="begin"/>
      </w:r>
      <w:r>
        <w:instrText xml:space="preserve"> PAGEREF _Toc82189335 \h </w:instrText>
      </w:r>
      <w:r>
        <w:fldChar w:fldCharType="separate"/>
      </w:r>
      <w:r>
        <w:t>12</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"_Toc82189336" </w:instrText>
      </w:r>
      <w:r>
        <w:fldChar w:fldCharType="separate"/>
      </w:r>
      <w:r>
        <w:rPr>
          <w:rStyle w:val="24"/>
          <w:rFonts w:hint="eastAsia"/>
        </w:rPr>
        <w:t>第三节主要目标</w:t>
      </w:r>
      <w:r>
        <w:tab/>
      </w:r>
      <w:r>
        <w:fldChar w:fldCharType="begin"/>
      </w:r>
      <w:r>
        <w:instrText xml:space="preserve"> PAGEREF _Toc82189336 \h </w:instrText>
      </w:r>
      <w:r>
        <w:fldChar w:fldCharType="separate"/>
      </w:r>
      <w:r>
        <w:t>13</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"_Toc82189337" </w:instrText>
      </w:r>
      <w:r>
        <w:fldChar w:fldCharType="separate"/>
      </w:r>
      <w:r>
        <w:rPr>
          <w:rStyle w:val="24"/>
          <w:rFonts w:hint="eastAsia"/>
          <w:kern w:val="0"/>
        </w:rPr>
        <w:t>第四节指标体系</w:t>
      </w:r>
      <w:r>
        <w:tab/>
      </w:r>
      <w:r>
        <w:fldChar w:fldCharType="begin"/>
      </w:r>
      <w:r>
        <w:instrText xml:space="preserve"> PAGEREF _Toc82189337 \h </w:instrText>
      </w:r>
      <w:r>
        <w:fldChar w:fldCharType="separate"/>
      </w:r>
      <w:r>
        <w:t>14</w:t>
      </w:r>
      <w:r>
        <w:fldChar w:fldCharType="end"/>
      </w:r>
      <w:r>
        <w:fldChar w:fldCharType="end"/>
      </w:r>
    </w:p>
    <w:p>
      <w:pPr>
        <w:pStyle w:val="17"/>
        <w:tabs>
          <w:tab w:val="right" w:leader="dot" w:pos="8290"/>
        </w:tabs>
        <w:spacing w:line="576" w:lineRule="exact"/>
        <w:ind w:firstLine="431"/>
        <w:rPr>
          <w:rFonts w:asciiTheme="minorHAnsi" w:hAnsiTheme="minorHAnsi" w:eastAsiaTheme="minorEastAsia"/>
          <w:b w:val="0"/>
          <w:bCs w:val="0"/>
          <w:sz w:val="21"/>
        </w:rPr>
      </w:pPr>
      <w:r>
        <w:fldChar w:fldCharType="begin"/>
      </w:r>
      <w:r>
        <w:instrText xml:space="preserve"> HYPERLINK \l "_Toc82189338" </w:instrText>
      </w:r>
      <w:r>
        <w:fldChar w:fldCharType="separate"/>
      </w:r>
      <w:r>
        <w:rPr>
          <w:rStyle w:val="24"/>
          <w:rFonts w:hint="eastAsia"/>
        </w:rPr>
        <w:t>第三章重点任务</w:t>
      </w:r>
      <w:r>
        <w:tab/>
      </w:r>
      <w:r>
        <w:fldChar w:fldCharType="begin"/>
      </w:r>
      <w:r>
        <w:instrText xml:space="preserve"> PAGEREF _Toc82189338 \h </w:instrText>
      </w:r>
      <w:r>
        <w:fldChar w:fldCharType="separate"/>
      </w:r>
      <w:r>
        <w:t>17</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"_Toc82189339" </w:instrText>
      </w:r>
      <w:r>
        <w:fldChar w:fldCharType="separate"/>
      </w:r>
      <w:r>
        <w:rPr>
          <w:rStyle w:val="24"/>
          <w:rFonts w:hint="eastAsia"/>
        </w:rPr>
        <w:t>第一节坚持生态保护优先，推动绿色低碳发展</w:t>
      </w:r>
      <w:r>
        <w:tab/>
      </w:r>
      <w:r>
        <w:fldChar w:fldCharType="begin"/>
      </w:r>
      <w:r>
        <w:instrText xml:space="preserve"> PAGEREF _Toc82189339 \h </w:instrText>
      </w:r>
      <w:r>
        <w:fldChar w:fldCharType="separate"/>
      </w:r>
      <w:r>
        <w:t>17</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"_Toc82189340" </w:instrText>
      </w:r>
      <w:r>
        <w:fldChar w:fldCharType="separate"/>
      </w:r>
      <w:r>
        <w:rPr>
          <w:rStyle w:val="24"/>
          <w:rFonts w:hint="eastAsia"/>
        </w:rPr>
        <w:t>第二节</w:t>
      </w:r>
      <w:r>
        <w:rPr>
          <w:rStyle w:val="24"/>
          <w:rFonts w:hint="eastAsia" w:asciiTheme="minorHAnsi" w:hAnsiTheme="minorHAnsi" w:eastAsiaTheme="minorEastAsia"/>
        </w:rPr>
        <w:t>坚定不移加强生态建设，大力创建国家生态文明高地</w:t>
      </w:r>
      <w:r>
        <w:tab/>
      </w:r>
      <w:r>
        <w:fldChar w:fldCharType="begin"/>
      </w:r>
      <w:r>
        <w:instrText xml:space="preserve"> PAGEREF _Toc82189340 \h </w:instrText>
      </w:r>
      <w:r>
        <w:fldChar w:fldCharType="separate"/>
      </w:r>
      <w:r>
        <w:t>19</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"_Toc82189341" </w:instrText>
      </w:r>
      <w:r>
        <w:fldChar w:fldCharType="separate"/>
      </w:r>
      <w:r>
        <w:rPr>
          <w:rStyle w:val="24"/>
          <w:rFonts w:hint="eastAsia"/>
        </w:rPr>
        <w:t>第三节维护生态安全格局，筑牢生态安全屏障</w:t>
      </w:r>
      <w:r>
        <w:tab/>
      </w:r>
      <w:r>
        <w:fldChar w:fldCharType="begin"/>
      </w:r>
      <w:r>
        <w:instrText xml:space="preserve"> PAGEREF _Toc82189341 \h </w:instrText>
      </w:r>
      <w:r>
        <w:fldChar w:fldCharType="separate"/>
      </w:r>
      <w:r>
        <w:t>22</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"_Toc82189342" </w:instrText>
      </w:r>
      <w:r>
        <w:fldChar w:fldCharType="separate"/>
      </w:r>
      <w:r>
        <w:rPr>
          <w:rStyle w:val="24"/>
          <w:rFonts w:hint="eastAsia"/>
        </w:rPr>
        <w:t>第四节持续改善生态环境质量，满足群众优美生态环境需要</w:t>
      </w:r>
      <w:r>
        <w:tab/>
      </w:r>
      <w:r>
        <w:fldChar w:fldCharType="begin"/>
      </w:r>
      <w:r>
        <w:instrText xml:space="preserve"> PAGEREF _Toc82189342 \h </w:instrText>
      </w:r>
      <w:r>
        <w:fldChar w:fldCharType="separate"/>
      </w:r>
      <w:r>
        <w:t>25</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"_Toc82189343" </w:instrText>
      </w:r>
      <w:r>
        <w:fldChar w:fldCharType="separate"/>
      </w:r>
      <w:r>
        <w:rPr>
          <w:rStyle w:val="24"/>
          <w:rFonts w:hint="eastAsia"/>
        </w:rPr>
        <w:t>第五节加强生态环境风险防控，助力社会大局稳定</w:t>
      </w:r>
      <w:r>
        <w:tab/>
      </w:r>
      <w:r>
        <w:fldChar w:fldCharType="begin"/>
      </w:r>
      <w:r>
        <w:instrText xml:space="preserve"> PAGEREF _Toc82189343 \h </w:instrText>
      </w:r>
      <w:r>
        <w:fldChar w:fldCharType="separate"/>
      </w:r>
      <w:r>
        <w:t>28</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"_Toc82189344" </w:instrText>
      </w:r>
      <w:r>
        <w:fldChar w:fldCharType="separate"/>
      </w:r>
      <w:r>
        <w:rPr>
          <w:rStyle w:val="24"/>
          <w:rFonts w:hint="eastAsia"/>
          <w:kern w:val="0"/>
        </w:rPr>
        <w:t>第六节</w:t>
      </w:r>
      <w:r>
        <w:rPr>
          <w:rStyle w:val="24"/>
          <w:rFonts w:hint="eastAsia"/>
        </w:rPr>
        <w:t>加强环保能力建设，提升监测监管能力</w:t>
      </w:r>
      <w:r>
        <w:tab/>
      </w:r>
      <w:r>
        <w:fldChar w:fldCharType="begin"/>
      </w:r>
      <w:r>
        <w:instrText xml:space="preserve"> PAGEREF _Toc82189344 \h </w:instrText>
      </w:r>
      <w:r>
        <w:fldChar w:fldCharType="separate"/>
      </w:r>
      <w:r>
        <w:t>30</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"_Toc82189345" </w:instrText>
      </w:r>
      <w:r>
        <w:fldChar w:fldCharType="separate"/>
      </w:r>
      <w:r>
        <w:rPr>
          <w:rStyle w:val="24"/>
          <w:rFonts w:hint="eastAsia"/>
        </w:rPr>
        <w:t>第七节构建现代环境治理体系，提升生态环境管治水平</w:t>
      </w:r>
      <w:r>
        <w:tab/>
      </w:r>
      <w:r>
        <w:fldChar w:fldCharType="begin"/>
      </w:r>
      <w:r>
        <w:instrText xml:space="preserve"> PAGEREF _Toc82189345 \h </w:instrText>
      </w:r>
      <w:r>
        <w:fldChar w:fldCharType="separate"/>
      </w:r>
      <w:r>
        <w:t>33</w:t>
      </w:r>
      <w:r>
        <w:fldChar w:fldCharType="end"/>
      </w:r>
      <w:r>
        <w:fldChar w:fldCharType="end"/>
      </w:r>
    </w:p>
    <w:p>
      <w:pPr>
        <w:pStyle w:val="17"/>
        <w:tabs>
          <w:tab w:val="right" w:leader="dot" w:pos="8290"/>
        </w:tabs>
        <w:spacing w:line="576" w:lineRule="exact"/>
        <w:ind w:firstLine="431"/>
        <w:rPr>
          <w:rFonts w:asciiTheme="minorHAnsi" w:hAnsiTheme="minorHAnsi" w:eastAsiaTheme="minorEastAsia"/>
          <w:b w:val="0"/>
          <w:bCs w:val="0"/>
          <w:sz w:val="21"/>
        </w:rPr>
      </w:pPr>
      <w:r>
        <w:fldChar w:fldCharType="begin"/>
      </w:r>
      <w:r>
        <w:instrText xml:space="preserve"> HYPERLINK \l "_Toc82189346" </w:instrText>
      </w:r>
      <w:r>
        <w:fldChar w:fldCharType="separate"/>
      </w:r>
      <w:r>
        <w:rPr>
          <w:rStyle w:val="24"/>
          <w:rFonts w:hint="eastAsia"/>
        </w:rPr>
        <w:t>第四章规划实施保障措施</w:t>
      </w:r>
      <w:r>
        <w:tab/>
      </w:r>
      <w:r>
        <w:fldChar w:fldCharType="begin"/>
      </w:r>
      <w:r>
        <w:instrText xml:space="preserve"> PAGEREF _Toc82189346 \h </w:instrText>
      </w:r>
      <w:r>
        <w:fldChar w:fldCharType="separate"/>
      </w:r>
      <w:r>
        <w:t>37</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"_Toc82189347" </w:instrText>
      </w:r>
      <w:r>
        <w:fldChar w:fldCharType="separate"/>
      </w:r>
      <w:r>
        <w:rPr>
          <w:rStyle w:val="24"/>
          <w:rFonts w:hint="eastAsia"/>
        </w:rPr>
        <w:t>第一节加强组织实施</w:t>
      </w:r>
      <w:r>
        <w:tab/>
      </w:r>
      <w:r>
        <w:fldChar w:fldCharType="begin"/>
      </w:r>
      <w:r>
        <w:instrText xml:space="preserve"> PAGEREF _Toc82189347 \h </w:instrText>
      </w:r>
      <w:r>
        <w:fldChar w:fldCharType="separate"/>
      </w:r>
      <w:r>
        <w:t>37</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"_Toc82189348" </w:instrText>
      </w:r>
      <w:r>
        <w:fldChar w:fldCharType="separate"/>
      </w:r>
      <w:r>
        <w:rPr>
          <w:rStyle w:val="24"/>
          <w:rFonts w:hint="eastAsia"/>
        </w:rPr>
        <w:t>第二节加强资金科技保障</w:t>
      </w:r>
      <w:r>
        <w:tab/>
      </w:r>
      <w:r>
        <w:fldChar w:fldCharType="begin"/>
      </w:r>
      <w:r>
        <w:instrText xml:space="preserve"> PAGEREF _Toc82189348 \h </w:instrText>
      </w:r>
      <w:r>
        <w:fldChar w:fldCharType="separate"/>
      </w:r>
      <w:r>
        <w:t>38</w:t>
      </w:r>
      <w:r>
        <w:fldChar w:fldCharType="end"/>
      </w:r>
      <w:r>
        <w:fldChar w:fldCharType="end"/>
      </w:r>
    </w:p>
    <w:p>
      <w:pPr>
        <w:pStyle w:val="8"/>
        <w:tabs>
          <w:tab w:val="right" w:leader="dot" w:pos="8290"/>
        </w:tabs>
        <w:spacing w:line="576" w:lineRule="exact"/>
        <w:ind w:firstLine="391"/>
        <w:rPr>
          <w:rFonts w:asciiTheme="minorHAnsi" w:hAnsiTheme="minorHAnsi" w:eastAsiaTheme="minorEastAsia"/>
          <w:sz w:val="21"/>
          <w:szCs w:val="22"/>
        </w:rPr>
      </w:pPr>
      <w:r>
        <w:fldChar w:fldCharType="begin"/>
      </w:r>
      <w:r>
        <w:instrText xml:space="preserve"> HYPERLINK \l "_Toc82189349" </w:instrText>
      </w:r>
      <w:r>
        <w:fldChar w:fldCharType="separate"/>
      </w:r>
      <w:r>
        <w:rPr>
          <w:rStyle w:val="24"/>
          <w:rFonts w:hint="eastAsia" w:ascii="仿宋_GB2312"/>
        </w:rPr>
        <w:t>第三节加强</w:t>
      </w:r>
      <w:r>
        <w:rPr>
          <w:rStyle w:val="24"/>
          <w:rFonts w:hint="eastAsia"/>
        </w:rPr>
        <w:t>规划实施考核评估</w:t>
      </w:r>
      <w:r>
        <w:tab/>
      </w:r>
      <w:r>
        <w:fldChar w:fldCharType="begin"/>
      </w:r>
      <w:r>
        <w:instrText xml:space="preserve"> PAGEREF _Toc82189349 \h </w:instrText>
      </w:r>
      <w:r>
        <w:fldChar w:fldCharType="separate"/>
      </w:r>
      <w:r>
        <w:t>39</w:t>
      </w:r>
      <w:r>
        <w:fldChar w:fldCharType="end"/>
      </w:r>
      <w:r>
        <w:fldChar w:fldCharType="end"/>
      </w:r>
    </w:p>
    <w:p>
      <w:pPr>
        <w:pStyle w:val="3"/>
        <w:spacing w:before="289" w:after="289" w:line="560" w:lineRule="exact"/>
        <w:ind w:firstLine="632" w:firstLineChars="200"/>
        <w:rPr>
          <w:rFonts w:ascii="仿宋_GB2312" w:hAnsi="Times New Roman" w:cstheme="minorBidi"/>
          <w:b w:val="0"/>
          <w:bCs w:val="0"/>
          <w:kern w:val="2"/>
          <w:sz w:val="32"/>
          <w:szCs w:val="24"/>
        </w:rPr>
      </w:pPr>
      <w:r>
        <w:rPr>
          <w:b w:val="0"/>
          <w:bCs w:val="0"/>
          <w:sz w:val="32"/>
          <w:szCs w:val="32"/>
        </w:rPr>
        <w:fldChar w:fldCharType="end"/>
      </w:r>
      <w:bookmarkStart w:id="3" w:name="_Toc82188716"/>
      <w:bookmarkStart w:id="4" w:name="_Toc82188817"/>
      <w:r>
        <w:rPr>
          <w:rFonts w:hint="eastAsia" w:ascii="仿宋_GB2312" w:hAnsi="Times New Roman" w:cstheme="minorBidi"/>
          <w:b w:val="0"/>
          <w:bCs w:val="0"/>
          <w:kern w:val="2"/>
          <w:sz w:val="32"/>
          <w:szCs w:val="24"/>
        </w:rPr>
        <w:t xml:space="preserve"> “十四五”时期是开启全面建设社会主义现代化国家新征程</w:t>
      </w:r>
      <w:bookmarkStart w:id="66" w:name="_GoBack"/>
      <w:bookmarkEnd w:id="66"/>
      <w:r>
        <w:rPr>
          <w:rFonts w:hint="eastAsia" w:ascii="仿宋_GB2312" w:hAnsi="Times New Roman" w:cstheme="minorBidi"/>
          <w:b w:val="0"/>
          <w:bCs w:val="0"/>
          <w:kern w:val="2"/>
          <w:sz w:val="32"/>
          <w:szCs w:val="24"/>
        </w:rPr>
        <w:t>，向第二个百年奋斗目标进军的第一个五年，是完整、准确、全面贯彻新发展理念，加快构建现代环境治理体系，全力推进高质量发展的关键时期。为全面贯彻落实习近平总书记有关西藏生态环境保护的系列指示批示精神，尤其是在西藏视察时的重要讲话精神，贯彻落实党的十九大和十九届历次全会以及中央第七次西藏工作座谈会精神，深化全市生态环境保护工作，明确未来五年工作目标任务，根据林芝市委、市政府统一部署和“11364”发展战略要求，结合《西藏自治区“十四五”时期生态环境保护规划》《西藏自治区国家生态文明高地建设规划（2021—2035年）》《林芝市国民经济和社会发展第十四个五年规划和二〇三五年远景目标纲要》，制定本规划。</w:t>
      </w:r>
      <w:bookmarkEnd w:id="0"/>
      <w:bookmarkEnd w:id="1"/>
      <w:bookmarkEnd w:id="3"/>
      <w:bookmarkEnd w:id="4"/>
    </w:p>
    <w:p>
      <w:pPr>
        <w:pStyle w:val="3"/>
        <w:spacing w:before="289" w:after="289" w:line="560" w:lineRule="exact"/>
      </w:pPr>
      <w:bookmarkStart w:id="5" w:name="_第一章__发展基础与形势"/>
      <w:bookmarkEnd w:id="5"/>
      <w:bookmarkStart w:id="6" w:name="_Toc82189330"/>
      <w:bookmarkStart w:id="7" w:name="_Toc82188405"/>
      <w:r>
        <w:rPr>
          <w:rFonts w:hint="eastAsia"/>
        </w:rPr>
        <w:t>第一章  发展基础与形势</w:t>
      </w:r>
      <w:bookmarkEnd w:id="2"/>
      <w:bookmarkEnd w:id="6"/>
      <w:bookmarkEnd w:id="7"/>
    </w:p>
    <w:p>
      <w:pPr>
        <w:spacing w:line="560" w:lineRule="exact"/>
        <w:ind w:firstLine="631"/>
        <w:rPr>
          <w:rFonts w:ascii="仿宋_GB2312"/>
        </w:rPr>
      </w:pPr>
      <w:r>
        <w:rPr>
          <w:rFonts w:hint="eastAsia" w:ascii="仿宋_GB2312" w:cs="Times New Roman"/>
        </w:rPr>
        <w:t>“</w:t>
      </w:r>
      <w:r>
        <w:rPr>
          <w:rFonts w:hint="eastAsia" w:ascii="仿宋_GB2312"/>
        </w:rPr>
        <w:t>十三五</w:t>
      </w:r>
      <w:r>
        <w:rPr>
          <w:rFonts w:hint="eastAsia" w:ascii="仿宋_GB2312" w:cs="Times New Roman"/>
        </w:rPr>
        <w:t>”以来</w:t>
      </w:r>
      <w:r>
        <w:rPr>
          <w:rFonts w:hint="eastAsia" w:ascii="仿宋_GB2312"/>
        </w:rPr>
        <w:t>，林芝市委、市政府在自治区党委、政府坚强领导下，在自治区生态环境厅的有力指导下，认真贯彻习近平新时代中国特色社会主义思想和习近平生态文明思想，牢固</w:t>
      </w:r>
      <w:r>
        <w:rPr>
          <w:rFonts w:hint="eastAsia" w:ascii="仿宋_GB2312"/>
          <w:color w:val="000000" w:themeColor="text1"/>
        </w:rPr>
        <w:t>树立“绿水青山就是金山银山，冰天雪地也是金山银山”</w:t>
      </w:r>
      <w:r>
        <w:rPr>
          <w:rFonts w:hint="eastAsia" w:ascii="仿宋_GB2312"/>
        </w:rPr>
        <w:t>发展理念，切实把生态文明建设摆在全市工作突出地位，立足原生态的自然环境优势，全面加强生态文明系列示范创建，阶段性污染防治攻坚战目标任务顺利完成，生态文明体制改革深入推进，生态环境保护制度体系不断完善。始终坚持绿色发展、循环发展、低碳发展，走生态优先，绿色发展之路，协同推进经济高质量发展和生态环境高水平保护，全市生态环境质量持续保持优良，生态安全屏障日益牢固，“十三五”生态环境保护规划目标任务圆满完成。</w:t>
      </w:r>
    </w:p>
    <w:p>
      <w:pPr>
        <w:pStyle w:val="4"/>
        <w:spacing w:before="289" w:after="289" w:line="560" w:lineRule="exact"/>
        <w:rPr>
          <w:szCs w:val="36"/>
        </w:rPr>
      </w:pPr>
      <w:bookmarkStart w:id="8" w:name="_Toc82188406"/>
      <w:bookmarkStart w:id="9" w:name="_Toc82189331"/>
      <w:bookmarkStart w:id="10" w:name="_Toc75016648"/>
      <w:r>
        <w:rPr>
          <w:rFonts w:hint="eastAsia"/>
        </w:rPr>
        <w:t xml:space="preserve">第一节  </w:t>
      </w:r>
      <w:r>
        <w:rPr>
          <w:rFonts w:hint="eastAsia" w:cs="Times New Roman"/>
        </w:rPr>
        <w:t>“</w:t>
      </w:r>
      <w:r>
        <w:rPr>
          <w:rFonts w:hint="eastAsia"/>
        </w:rPr>
        <w:t>十三五</w:t>
      </w:r>
      <w:r>
        <w:rPr>
          <w:rFonts w:hint="eastAsia" w:cs="Times New Roman"/>
        </w:rPr>
        <w:t>”</w:t>
      </w:r>
      <w:r>
        <w:rPr>
          <w:rFonts w:hint="eastAsia"/>
        </w:rPr>
        <w:t>时期主要工作</w:t>
      </w:r>
      <w:bookmarkEnd w:id="8"/>
      <w:bookmarkEnd w:id="9"/>
      <w:bookmarkEnd w:id="10"/>
    </w:p>
    <w:p>
      <w:pPr>
        <w:widowControl/>
        <w:spacing w:line="560" w:lineRule="exact"/>
        <w:ind w:firstLine="634"/>
        <w:rPr>
          <w:rFonts w:ascii="仿宋_GB2312" w:hAnsi="仿宋_GB2312" w:cs="宋体"/>
          <w:kern w:val="0"/>
          <w:szCs w:val="32"/>
        </w:rPr>
      </w:pPr>
      <w:r>
        <w:rPr>
          <w:rFonts w:hint="eastAsia" w:ascii="仿宋_GB2312" w:hAnsi="仿宋_GB2312" w:cs="宋体"/>
          <w:b/>
          <w:bCs/>
          <w:kern w:val="0"/>
          <w:szCs w:val="32"/>
        </w:rPr>
        <w:t>生态安全屏障建设成效明显，生态系统总体稳定。</w:t>
      </w:r>
      <w:r>
        <w:rPr>
          <w:rFonts w:hint="eastAsia" w:ascii="仿宋_GB2312" w:hAnsi="仿宋_GB2312" w:cs="宋体"/>
          <w:kern w:val="0"/>
          <w:szCs w:val="32"/>
        </w:rPr>
        <w:t>加强生态保护与修复，落实资金10.5亿元（包含：垃圾、污水等环保基础设施建设、江河湖泊保护、国土绿化和生态修复等方面资金投入），完成生态保护与建设等各类生态安全屏障项目110个。大力实施国土绿化行动，“十三五”以来新增人工造林27.8万余亩、治理</w:t>
      </w:r>
      <w:r>
        <w:rPr>
          <w:rFonts w:hint="eastAsia" w:ascii="仿宋_GB2312" w:hAnsi="仿宋_GB2312" w:cs="宋体"/>
          <w:w w:val="98"/>
          <w:kern w:val="0"/>
          <w:szCs w:val="32"/>
        </w:rPr>
        <w:t>沙化土地19.3万余亩、森林抚育41万余亩，完成15个“无树村”、</w:t>
      </w:r>
      <w:r>
        <w:rPr>
          <w:rFonts w:hint="eastAsia" w:ascii="仿宋_GB2312" w:hAnsi="仿宋_GB2312" w:cs="宋体"/>
          <w:kern w:val="0"/>
          <w:szCs w:val="32"/>
        </w:rPr>
        <w:t>2250户“无树户”消除任务，全市森林覆盖率</w:t>
      </w:r>
      <w:r>
        <w:rPr>
          <w:rFonts w:hint="eastAsia" w:ascii="仿宋_GB2312" w:hAnsi="仿宋_GB2312" w:cs="宋体"/>
          <w:color w:val="000000" w:themeColor="text1"/>
          <w:kern w:val="0"/>
          <w:szCs w:val="32"/>
        </w:rPr>
        <w:t>达46.66％。完善</w:t>
      </w:r>
      <w:r>
        <w:rPr>
          <w:rFonts w:hint="eastAsia" w:ascii="仿宋_GB2312" w:hAnsi="仿宋_GB2312" w:cs="宋体"/>
          <w:kern w:val="0"/>
          <w:szCs w:val="32"/>
        </w:rPr>
        <w:t>生态安全屏障科技支撑，建成国控环境空气质量自动监测站2个、国控水质自动监测站1个、生态监测站1个。严格管控生态空间，区域空间生态环境评价（“三线一单”编制）及生态保护红线划定工作基本完成，生态保护红线范围约占全市国土面积的82.3％。完善自然保护地管理，完成自然保护地优化调整，自然保护地范围更加科学合理。落实生物多样性保护战略与行动计划，配合开展第二次青藏高原综合科学考察，完成西藏第二次陆生野生动植物资源调查。出台《林芝市野生鱼类保护办法》，建立野生动物收容救护机构，开展野生动物肇事保险试点。加强生态安全建设法治保障，制定出台《林芝市生态公益林保护条例》《林芝市森林草原防火条例》等地方法规。持续开展“绿盾”自然保护地专项行动，推动解决违法违规行为。目前，林芝市生态系统总体稳定，生态安全屏障日益筑牢。</w:t>
      </w:r>
    </w:p>
    <w:p>
      <w:pPr>
        <w:widowControl/>
        <w:spacing w:line="560" w:lineRule="exact"/>
        <w:ind w:firstLine="634"/>
        <w:rPr>
          <w:rFonts w:ascii="仿宋_GB2312"/>
          <w:color w:val="000000" w:themeColor="text1"/>
        </w:rPr>
      </w:pPr>
      <w:r>
        <w:rPr>
          <w:rFonts w:hint="eastAsia" w:ascii="仿宋_GB2312" w:hAnsi="仿宋_GB2312" w:cs="宋体"/>
          <w:b/>
          <w:bCs/>
          <w:color w:val="000000"/>
          <w:kern w:val="0"/>
          <w:szCs w:val="32"/>
        </w:rPr>
        <w:t>生态文明示范建设成果突出，环境质量持续优良。</w:t>
      </w:r>
      <w:r>
        <w:rPr>
          <w:rFonts w:hint="eastAsia" w:ascii="仿宋_GB2312" w:hAnsi="仿宋_GB2312" w:cs="宋体"/>
          <w:color w:val="000000"/>
          <w:kern w:val="0"/>
          <w:szCs w:val="32"/>
        </w:rPr>
        <w:t>围绕大气、水、土壤三大领域，积极开展污染防治攻坚战行动，</w:t>
      </w:r>
      <w:r>
        <w:rPr>
          <w:rFonts w:hint="eastAsia" w:ascii="仿宋_GB2312"/>
        </w:rPr>
        <w:t>圆满完成阶段性目标任务。加强饮用水源保护，完成集中式饮用水水源地专项整治，划定县级以上饮用水水源保护区12个，</w:t>
      </w:r>
      <w:r>
        <w:rPr>
          <w:rFonts w:hint="eastAsia" w:ascii="仿宋_GB2312"/>
          <w:color w:val="000000" w:themeColor="text1"/>
        </w:rPr>
        <w:t>完成</w:t>
      </w:r>
      <w:r>
        <w:rPr>
          <w:rFonts w:hint="eastAsia" w:ascii="仿宋_GB2312" w:cs="Times New Roman"/>
          <w:kern w:val="0"/>
          <w:szCs w:val="32"/>
        </w:rPr>
        <w:t>426</w:t>
      </w:r>
      <w:r>
        <w:rPr>
          <w:rFonts w:hint="eastAsia" w:ascii="仿宋_GB2312" w:hAnsi="仿宋_GB2312" w:cs="宋体"/>
          <w:color w:val="000000"/>
          <w:kern w:val="0"/>
          <w:szCs w:val="32"/>
        </w:rPr>
        <w:t>个农村饮用水水源点保护工程。</w:t>
      </w:r>
      <w:r>
        <w:rPr>
          <w:rFonts w:hint="eastAsia" w:ascii="仿宋_GB2312"/>
          <w:color w:val="000000" w:themeColor="text1"/>
        </w:rPr>
        <w:t>推进城乡环境综合整治，持续推进美丽林芝“三整治、三提升”及河湖“清四乱”行动，</w:t>
      </w:r>
      <w:r>
        <w:rPr>
          <w:rFonts w:hint="eastAsia" w:ascii="仿宋_GB2312" w:hAnsi="仿宋_GB2312" w:cs="宋体"/>
          <w:color w:val="000000"/>
          <w:kern w:val="0"/>
          <w:szCs w:val="32"/>
        </w:rPr>
        <w:t>全市清理农村生活垃圾</w:t>
      </w:r>
      <w:r>
        <w:rPr>
          <w:rFonts w:hint="eastAsia" w:ascii="仿宋_GB2312" w:cs="Times New Roman"/>
          <w:kern w:val="0"/>
          <w:szCs w:val="32"/>
        </w:rPr>
        <w:t>4</w:t>
      </w:r>
      <w:r>
        <w:rPr>
          <w:rFonts w:hint="eastAsia" w:ascii="仿宋_GB2312" w:hAnsi="仿宋_GB2312" w:cs="宋体"/>
          <w:kern w:val="0"/>
          <w:szCs w:val="32"/>
        </w:rPr>
        <w:t>万</w:t>
      </w:r>
      <w:r>
        <w:rPr>
          <w:rFonts w:hint="eastAsia" w:ascii="仿宋_GB2312" w:hAnsi="仿宋_GB2312" w:cs="宋体"/>
          <w:color w:val="000000"/>
          <w:kern w:val="0"/>
          <w:szCs w:val="32"/>
        </w:rPr>
        <w:t>余吨，清理农村沟塘、黑臭水体、淤泥等</w:t>
      </w:r>
      <w:r>
        <w:rPr>
          <w:rFonts w:hint="eastAsia" w:ascii="仿宋_GB2312" w:cs="Times New Roman"/>
          <w:kern w:val="0"/>
          <w:szCs w:val="32"/>
        </w:rPr>
        <w:t>2400</w:t>
      </w:r>
      <w:r>
        <w:rPr>
          <w:rFonts w:hint="eastAsia" w:ascii="仿宋_GB2312" w:hAnsi="仿宋_GB2312" w:cs="宋体"/>
          <w:color w:val="000000"/>
          <w:kern w:val="0"/>
          <w:szCs w:val="32"/>
        </w:rPr>
        <w:t>余吨</w:t>
      </w:r>
      <w:r>
        <w:rPr>
          <w:rFonts w:hint="eastAsia" w:ascii="仿宋_GB2312" w:hAnsi="仿宋_GB2312" w:cs="宋体"/>
          <w:color w:val="C00000"/>
          <w:kern w:val="0"/>
          <w:szCs w:val="32"/>
        </w:rPr>
        <w:t>。</w:t>
      </w:r>
      <w:r>
        <w:rPr>
          <w:rFonts w:hint="eastAsia" w:ascii="仿宋_GB2312"/>
          <w:color w:val="000000" w:themeColor="text1"/>
        </w:rPr>
        <w:t>落实资金1833万元，完成59个河湖范围划定和6个县（区）河道采砂规划编制。严格入河排污口监督管理，完成入河排污口专项整治和固定污染源排污许可清理整顿。全面推行河湖长制，设立市县乡村四级河湖长1595人。加强生态修复与治理，落实3748万元，先后完成福清河流域污染防治、加拉村雅鲁藏布江堰塞湖灾后重建点饮用水水源地环境保护、朗县境内道路沿线生态修复及</w:t>
      </w:r>
      <w:r>
        <w:rPr>
          <w:rFonts w:hint="eastAsia" w:ascii="仿宋_GB2312"/>
        </w:rPr>
        <w:t>5</w:t>
      </w:r>
      <w:r>
        <w:rPr>
          <w:rFonts w:hint="eastAsia" w:ascii="仿宋_GB2312"/>
          <w:color w:val="000000" w:themeColor="text1"/>
        </w:rPr>
        <w:t>个农村污水处理试点工程等项目建设。完善环境基础设施建设，</w:t>
      </w:r>
      <w:r>
        <w:rPr>
          <w:rFonts w:hint="eastAsia" w:ascii="仿宋_GB2312" w:hAnsi="仿宋_GB2312" w:cs="宋体"/>
          <w:kern w:val="0"/>
          <w:szCs w:val="32"/>
        </w:rPr>
        <w:t>全市7县（区）驻地垃圾填埋场全部建成投用，7县</w:t>
      </w:r>
      <w:r>
        <w:rPr>
          <w:rFonts w:hint="eastAsia" w:ascii="仿宋_GB2312"/>
          <w:color w:val="000000" w:themeColor="text1"/>
        </w:rPr>
        <w:t>（区）县城</w:t>
      </w:r>
      <w:r>
        <w:rPr>
          <w:rFonts w:hint="eastAsia" w:ascii="仿宋_GB2312" w:hAnsi="仿宋_GB2312" w:cs="宋体"/>
          <w:kern w:val="0"/>
          <w:szCs w:val="32"/>
        </w:rPr>
        <w:t>驻地建成生活污水处理厂6座，1座正在修建，生活垃圾污水规范化处理逐步完善。持续推进生态文明系列示范创建，先后获得</w:t>
      </w:r>
      <w:r>
        <w:rPr>
          <w:rFonts w:hint="eastAsia" w:ascii="仿宋_GB2312" w:hAnsi="仿宋_GB2312" w:cs="宋体"/>
          <w:color w:val="000000"/>
          <w:kern w:val="0"/>
          <w:szCs w:val="32"/>
        </w:rPr>
        <w:t>全国园林绿化先进城市、</w:t>
      </w:r>
      <w:r>
        <w:rPr>
          <w:rFonts w:hint="eastAsia" w:ascii="仿宋_GB2312" w:hAnsi="仿宋_GB2312" w:cs="宋体"/>
          <w:kern w:val="0"/>
          <w:szCs w:val="32"/>
        </w:rPr>
        <w:t>国家卫生城市、生态文明建设示范市等系列“国字号”荣誉，</w:t>
      </w:r>
      <w:r>
        <w:rPr>
          <w:rFonts w:hint="eastAsia" w:ascii="仿宋_GB2312" w:hAnsi="仿宋_GB2312" w:cs="宋体"/>
          <w:color w:val="000000"/>
          <w:kern w:val="0"/>
          <w:szCs w:val="32"/>
        </w:rPr>
        <w:t>全市现有国家生态文明建设示范市、示范县（区）各1个，自治区级生态县6个、生态乡</w:t>
      </w:r>
      <w:r>
        <w:rPr>
          <w:rFonts w:hint="eastAsia" w:ascii="仿宋_GB2312"/>
          <w:color w:val="000000" w:themeColor="text1"/>
        </w:rPr>
        <w:t>（</w:t>
      </w:r>
      <w:r>
        <w:rPr>
          <w:rFonts w:hint="eastAsia" w:ascii="仿宋_GB2312" w:hAnsi="仿宋_GB2312" w:cs="宋体"/>
          <w:color w:val="000000"/>
          <w:kern w:val="0"/>
          <w:szCs w:val="32"/>
        </w:rPr>
        <w:t>镇</w:t>
      </w:r>
      <w:r>
        <w:rPr>
          <w:rFonts w:hint="eastAsia" w:ascii="仿宋_GB2312"/>
          <w:color w:val="000000" w:themeColor="text1"/>
        </w:rPr>
        <w:t>）</w:t>
      </w:r>
      <w:r>
        <w:rPr>
          <w:rFonts w:hint="eastAsia" w:ascii="仿宋_GB2312" w:hAnsi="仿宋_GB2312" w:cs="宋体"/>
          <w:color w:val="000000"/>
          <w:kern w:val="0"/>
          <w:szCs w:val="32"/>
        </w:rPr>
        <w:t>44个、生态村410个。</w:t>
      </w:r>
      <w:r>
        <w:rPr>
          <w:rFonts w:hint="eastAsia" w:ascii="仿宋_GB2312"/>
          <w:color w:val="000000" w:themeColor="text1"/>
        </w:rPr>
        <w:t>“十三五”以来，全市环境空气质量优良天数比率100％，主要江河湖泊水质全部达到或优于Ⅲ类标准，县级以上集中式饮用水水源地水质达标率100％，土壤环境总体处于自然本底状态，区域声环境质量符合国家标准，辐射环境处于安全状态，全市生态环境质量持续良好。</w:t>
      </w:r>
    </w:p>
    <w:p>
      <w:pPr>
        <w:spacing w:line="560" w:lineRule="exact"/>
        <w:ind w:firstLine="634"/>
        <w:rPr>
          <w:rFonts w:ascii="仿宋_GB2312"/>
          <w:szCs w:val="32"/>
        </w:rPr>
      </w:pPr>
      <w:r>
        <w:rPr>
          <w:rFonts w:hint="eastAsia" w:ascii="仿宋_GB2312" w:hAnsi="仿宋_GB2312" w:cs="宋体"/>
          <w:b/>
          <w:bCs/>
          <w:color w:val="000000"/>
          <w:kern w:val="0"/>
          <w:szCs w:val="32"/>
        </w:rPr>
        <w:t>绿色发展积极推进，生态效益逐步凸显。</w:t>
      </w:r>
      <w:r>
        <w:rPr>
          <w:rFonts w:hint="eastAsia" w:ascii="仿宋_GB2312" w:hAnsi="仿宋_GB2312" w:cs="宋体"/>
          <w:color w:val="000000"/>
          <w:kern w:val="0"/>
          <w:szCs w:val="32"/>
        </w:rPr>
        <w:t>落实新发展理念，立足生态和资源优势，大力发展生态旅游、特色农牧、水电能源、藏医药和文化创意等五大优势绿色产业，把绿色发展贯穿于经济社会发展的各方面和全过程。建成5A级旅游景区2个，国家级旅游度假区1个，五年累计旅游人次突破3200万人次、旅游收入累计达250亿元。建成乡村旅游示范村31个，农牧民家庭旅馆637家，直接参与旅游业的农牧民群众达6756余户、2.49万余人，户均增收4.77万余元，人均增收1.13万元。开发利用水能等清洁能源装机量35.6万千瓦，茶叶、藏药材、蔬果等特色种植40余万亩，生态农牧业辐射带动1.9万余户7.8万余名群众增收致富。严格环评审批，深化“放管服”改革，</w:t>
      </w:r>
      <w:r>
        <w:rPr>
          <w:rFonts w:hint="eastAsia" w:ascii="仿宋_GB2312" w:hAnsi="仿宋_GB2312" w:cs="仿宋_GB2312"/>
          <w:color w:val="000000"/>
          <w:szCs w:val="32"/>
        </w:rPr>
        <w:t>坚持“三高”项目零审批零引进，落实环境影响评价告知承诺制，建立环境执法正面清单，服务绿色环保产业发展。落实森林生态效益补偿和</w:t>
      </w:r>
      <w:r>
        <w:rPr>
          <w:rFonts w:hint="eastAsia" w:ascii="仿宋_GB2312"/>
          <w:color w:val="000000"/>
          <w:szCs w:val="32"/>
        </w:rPr>
        <w:t>草原生态保护补助，</w:t>
      </w:r>
      <w:r>
        <w:rPr>
          <w:rFonts w:hint="eastAsia" w:ascii="仿宋_GB2312" w:hAnsi="仿宋_GB2312" w:cs="仿宋_GB2312"/>
          <w:color w:val="000000"/>
          <w:szCs w:val="32"/>
        </w:rPr>
        <w:t>累计兑现生态岗位资金3.53亿元，11.43万人次通过生态岗位受益，年人均增收3500元。</w:t>
      </w:r>
      <w:r>
        <w:rPr>
          <w:rFonts w:hint="eastAsia" w:ascii="仿宋_GB2312"/>
          <w:szCs w:val="32"/>
        </w:rPr>
        <w:t>绿色低碳产业的蓬勃发展及各类生态转移资金的落实，大幅度提高了群众收入，2020年林芝农村居民人均可支配收入1.88万元，位列全区第一。</w:t>
      </w:r>
    </w:p>
    <w:p>
      <w:pPr>
        <w:spacing w:line="560" w:lineRule="exact"/>
        <w:ind w:firstLine="634"/>
        <w:rPr>
          <w:rFonts w:ascii="仿宋_GB2312" w:hAnsi="仿宋_GB2312" w:cs="宋体"/>
          <w:color w:val="000000"/>
          <w:kern w:val="0"/>
          <w:szCs w:val="32"/>
        </w:rPr>
      </w:pPr>
      <w:bookmarkStart w:id="11" w:name="_Hlk66019199"/>
      <w:r>
        <w:rPr>
          <w:rFonts w:hint="eastAsia" w:ascii="仿宋_GB2312" w:hAnsi="仿宋_GB2312" w:cs="楷体_GB2312"/>
          <w:b/>
          <w:bCs/>
          <w:szCs w:val="32"/>
        </w:rPr>
        <w:t>生态环境管理体制机制不断完善，环境治理能力逐步提升</w:t>
      </w:r>
      <w:r>
        <w:rPr>
          <w:rFonts w:hint="eastAsia" w:ascii="仿宋_GB2312" w:hAnsi="仿宋_GB2312"/>
          <w:szCs w:val="32"/>
        </w:rPr>
        <w:t>。</w:t>
      </w:r>
      <w:bookmarkEnd w:id="11"/>
      <w:r>
        <w:rPr>
          <w:rFonts w:hint="eastAsia" w:ascii="仿宋_GB2312" w:hAnsi="仿宋_GB2312" w:cs="仿宋_GB2312"/>
          <w:szCs w:val="32"/>
        </w:rPr>
        <w:t>坚持党对生态文明建设的领导，</w:t>
      </w:r>
      <w:r>
        <w:rPr>
          <w:rFonts w:hint="eastAsia" w:ascii="仿宋_GB2312"/>
          <w:szCs w:val="32"/>
        </w:rPr>
        <w:t>建立健全生态文明体制机制，</w:t>
      </w:r>
      <w:r>
        <w:rPr>
          <w:rFonts w:hint="eastAsia" w:ascii="仿宋_GB2312" w:hAnsi="仿宋_GB2312" w:cs="仿宋_GB2312"/>
          <w:szCs w:val="32"/>
        </w:rPr>
        <w:t>积极</w:t>
      </w:r>
      <w:r>
        <w:rPr>
          <w:rFonts w:hint="eastAsia" w:ascii="仿宋_GB2312" w:hAnsi="仿宋_GB2312"/>
          <w:szCs w:val="32"/>
        </w:rPr>
        <w:t>落实生态环境保护工作“党政同责、一岗双责”，</w:t>
      </w:r>
      <w:r>
        <w:rPr>
          <w:rFonts w:hint="eastAsia" w:ascii="仿宋_GB2312"/>
          <w:szCs w:val="32"/>
        </w:rPr>
        <w:t>成立市委生态文明建设领导小组，市生态环境损害赔偿制度改革工作领导小组，印发《林芝市党政领导干部生态环境损害责任追究实施细则（试行）》《林芝市各级党委、政府及有关部门环境保护工作职责规定》《林芝市各有关部门生态环境保护责任清单》等文件，为生态文明建设提供了坚实制度保障。落实生态环境部门统一监管职责，完成全市生态环境系统机构改革，成立市生态环境局及7县（区）生态环境分局、市县生态环境保护综合行政执法队，统一行使生态环境执法。五</w:t>
      </w:r>
      <w:r>
        <w:rPr>
          <w:rFonts w:hint="eastAsia" w:ascii="仿宋_GB2312" w:hAnsi="仿宋_GB2312" w:cs="宋体"/>
          <w:color w:val="000000"/>
          <w:kern w:val="0"/>
          <w:szCs w:val="32"/>
        </w:rPr>
        <w:t>年，累计查处环境违法行为140起，罚款840余万元。建立健全生态环境监测，明确</w:t>
      </w:r>
      <w:r>
        <w:rPr>
          <w:rFonts w:hint="eastAsia" w:ascii="仿宋_GB2312"/>
          <w:szCs w:val="32"/>
        </w:rPr>
        <w:t>环境监测任务分工，成立巴宜片区、波密片区生态环境监测站，重点开展污染源监测和执法监测。环境信访举报及环境信息公布制度不断完善，设立市县统一12369环保举报信息平台，建立生态环境部门网络平台，保障公众环境知情权、参与权和监督权。开展环境信息与统计能力建设，建成土壤污染信息管理平台，完成国家第二次污染源普查。通过系列改革，全市生态环境管理体制机制不断完善，环境治理体系和治理能力现代化水平明显提高。</w:t>
      </w:r>
    </w:p>
    <w:p>
      <w:pPr>
        <w:pStyle w:val="4"/>
        <w:spacing w:before="289" w:after="289" w:line="560" w:lineRule="exact"/>
        <w:rPr>
          <w:szCs w:val="36"/>
        </w:rPr>
      </w:pPr>
      <w:bookmarkStart w:id="12" w:name="_Toc75016649"/>
      <w:bookmarkStart w:id="13" w:name="_Toc82188407"/>
      <w:bookmarkStart w:id="14" w:name="_Toc82189332"/>
      <w:r>
        <w:rPr>
          <w:rFonts w:hint="eastAsia"/>
        </w:rPr>
        <w:t xml:space="preserve">第二节  </w:t>
      </w:r>
      <w:r>
        <w:rPr>
          <w:rFonts w:hint="eastAsia" w:cs="Times New Roman"/>
        </w:rPr>
        <w:t>“</w:t>
      </w:r>
      <w:r>
        <w:rPr>
          <w:rFonts w:hint="eastAsia"/>
        </w:rPr>
        <w:t>十四五</w:t>
      </w:r>
      <w:r>
        <w:rPr>
          <w:rFonts w:hint="eastAsia" w:cs="Times New Roman"/>
        </w:rPr>
        <w:t>”时期面临的</w:t>
      </w:r>
      <w:r>
        <w:rPr>
          <w:rFonts w:hint="eastAsia"/>
        </w:rPr>
        <w:t>形势</w:t>
      </w:r>
      <w:bookmarkEnd w:id="12"/>
      <w:bookmarkEnd w:id="13"/>
      <w:bookmarkEnd w:id="14"/>
    </w:p>
    <w:p>
      <w:pPr>
        <w:spacing w:line="560" w:lineRule="exact"/>
        <w:ind w:firstLine="631"/>
        <w:rPr>
          <w:szCs w:val="32"/>
        </w:rPr>
      </w:pPr>
      <w:r>
        <w:rPr>
          <w:rFonts w:hint="eastAsia" w:ascii="仿宋_GB2312" w:hAnsi="仿宋_GB2312" w:cs="仿宋_GB2312"/>
          <w:szCs w:val="32"/>
        </w:rPr>
        <w:t>“十四五”时期我国进入新发展阶段，开启全面建设社会主义现代化国家新征程。深入贯彻新发展理念，加快构建新发展格局，推动高质量发展，创造高品质生活，对加强生态文明建设、加快推动绿色低碳发展提出了新的要求。</w:t>
      </w:r>
      <w:r>
        <w:rPr>
          <w:rFonts w:hint="eastAsia"/>
          <w:szCs w:val="32"/>
        </w:rPr>
        <w:t>《林芝市国民经济和社会发展第十四个五年规划和二〇三五年远景目标纲要》提出：“要深入贯彻习近平生态文明思想，牢固树立绿水青山就是金山银山、冰天雪地也是金山银山的理念，坚持对历史负责、对人民负责、对世界负责的态度，把生态文明建设摆在更加突出的位置，筑牢国家生态安全屏障，着力打造生态文明高地”。做好“十四五”生态环境保护和生态文明建设机遇与挑战并存。</w:t>
      </w:r>
    </w:p>
    <w:p>
      <w:pPr>
        <w:spacing w:line="560" w:lineRule="exact"/>
        <w:ind w:firstLine="634"/>
        <w:rPr>
          <w:rFonts w:ascii="仿宋_GB2312" w:hAnsi="仿宋_GB2312" w:cs="仿宋_GB2312"/>
          <w:szCs w:val="32"/>
        </w:rPr>
      </w:pPr>
      <w:r>
        <w:rPr>
          <w:rFonts w:hint="eastAsia" w:ascii="仿宋_GB2312" w:hAnsi="仿宋_GB2312" w:cs="仿宋_GB2312"/>
          <w:b/>
          <w:bCs/>
          <w:szCs w:val="32"/>
        </w:rPr>
        <w:t>面临的机遇前所未有，生态环境保护和生态文明建设大有可为。一是</w:t>
      </w:r>
      <w:r>
        <w:rPr>
          <w:rFonts w:hint="eastAsia" w:ascii="仿宋_GB2312" w:hAnsi="仿宋_GB2312" w:cs="仿宋_GB2312"/>
          <w:szCs w:val="32"/>
        </w:rPr>
        <w:t>党的十九届五中全会将“生态文明建设实现新进步”作为“十四五”时期经济社会发展主要目标之一，将“广泛形成绿色生产生活方式，碳排放达峰后稳中有降，生态环境根本好转，美丽中国建设目标基本实现”作为到2035年基本实现社会主义现代化的远景目标之一，专门对“推动绿色发展，促进人与自然和谐共生”作出具体部署和安排，明确要求深入实施可持续发展战略，促进经济社会发展全面绿色转型，建设人与自然和谐共生的现代化，为生态环境保护和生态文明建设提供了方向指引和根本遵循。</w:t>
      </w:r>
      <w:r>
        <w:rPr>
          <w:rFonts w:hint="eastAsia" w:ascii="仿宋_GB2312" w:hAnsi="仿宋_GB2312" w:cs="仿宋_GB2312"/>
          <w:b/>
          <w:bCs/>
          <w:szCs w:val="32"/>
        </w:rPr>
        <w:t>二是</w:t>
      </w:r>
      <w:r>
        <w:rPr>
          <w:rFonts w:hint="eastAsia" w:ascii="仿宋_GB2312" w:hAnsi="仿宋_GB2312" w:cs="仿宋_GB2312"/>
          <w:szCs w:val="32"/>
        </w:rPr>
        <w:t>以习近平同志为核心的党中央高度重视西藏生态环境保护和生态文明建设。习近平总书记强调“保护好青藏高原生态就是对中华民族生存和发展的最大贡献”，中央第七次西藏工作座谈会提出要牢固树立绿水青山就是金山银山的理念，坚持对历史负责、对人民负责、对世界负责的态度，把生态文明建设摆在更加突出的位置，守护好高原的生灵草木、万水千山，把青藏高原打造成为全国乃至国际生态文明高地。习近平总书记在西藏和平解放70周年之际专门赴西藏尤其是赴林芝考察调研，对林芝生态环境保护工作提出了新思想新战略新要求。</w:t>
      </w:r>
      <w:r>
        <w:rPr>
          <w:rFonts w:hint="eastAsia" w:ascii="仿宋_GB2312" w:hAnsi="仿宋_GB2312" w:cs="仿宋_GB2312"/>
          <w:b/>
          <w:bCs/>
          <w:szCs w:val="32"/>
        </w:rPr>
        <w:t>三是</w:t>
      </w:r>
      <w:r>
        <w:rPr>
          <w:rFonts w:hint="eastAsia" w:ascii="仿宋_GB2312" w:hAnsi="仿宋_GB2312" w:cs="仿宋_GB2312"/>
          <w:szCs w:val="32"/>
        </w:rPr>
        <w:t>自治区出台了《西藏自治区国家生态文明高地建设条例》《中共西藏自治区委员会 西藏自治区人民政府关于创建国家生态文明建设示范区  加快建设美丽西藏的决定》《西藏自治区人民政府关于创建国家生态文明建设示范区 加快建设美丽西藏的实施意见》，为全区生态环境保护提供了强有力的政策保障。林芝市委、市政府高度重视生态环境保护工作，牢记习近平总书记重托，尤其是在林芝视察时的指示精神，切实担负起生态文明建设的政治责任，调整充实生态文明建设领导小组，进一步加强党对生态环境保护工作的领导。市委、市政府先后出台</w:t>
      </w:r>
      <w:r>
        <w:rPr>
          <w:rFonts w:hint="eastAsia" w:ascii="仿宋_GB2312"/>
          <w:szCs w:val="32"/>
        </w:rPr>
        <w:t>《林芝市落实〈关于创建国家生态文明建设示范区 加快建设美丽西藏的实施意见〉的实施方案》</w:t>
      </w:r>
      <w:r>
        <w:rPr>
          <w:rFonts w:hint="eastAsia" w:ascii="仿宋_GB2312" w:hAnsi="仿宋_GB2312" w:cs="仿宋_GB2312"/>
          <w:szCs w:val="32"/>
        </w:rPr>
        <w:t>《林芝市构建现代环境治理体系工作方案》《林芝市国民经济和社会发展第十四个五年规划及二</w:t>
      </w:r>
      <w:r>
        <w:rPr>
          <w:rFonts w:hint="eastAsia" w:ascii="仿宋_GB2312"/>
        </w:rPr>
        <w:t>〇</w:t>
      </w:r>
      <w:r>
        <w:rPr>
          <w:rFonts w:hint="eastAsia" w:ascii="仿宋_GB2312" w:hAnsi="仿宋_GB2312" w:cs="仿宋_GB2312"/>
          <w:szCs w:val="32"/>
        </w:rPr>
        <w:t>三五年远景目标纲要》，为“十四五”时期生态环境保护工作明确了任务书、路线图。</w:t>
      </w:r>
      <w:r>
        <w:rPr>
          <w:rFonts w:hint="eastAsia" w:ascii="仿宋_GB2312" w:hAnsi="仿宋_GB2312" w:cs="仿宋_GB2312"/>
          <w:b/>
          <w:bCs/>
          <w:szCs w:val="32"/>
        </w:rPr>
        <w:t>四是</w:t>
      </w:r>
      <w:r>
        <w:rPr>
          <w:rFonts w:hint="eastAsia" w:ascii="仿宋_GB2312" w:hAnsi="仿宋_GB2312" w:cs="仿宋_GB2312"/>
          <w:szCs w:val="32"/>
        </w:rPr>
        <w:t>保护生态环境的优良传统及生态效益的逐渐显现，奠定了坚实的干部群众基础。长期以来生活在这里的人们形成了与大自然和谐相处的环境，生态产业的发展，生态效益的显现，更加促进了群众保护生态环境的自觉。党政干部生态文明教育课的设立，大大提高了各级领导干部保护生态环境的能力和水平。</w:t>
      </w:r>
    </w:p>
    <w:p>
      <w:pPr>
        <w:spacing w:line="560" w:lineRule="exact"/>
        <w:ind w:firstLine="634"/>
        <w:rPr>
          <w:rFonts w:ascii="仿宋_GB2312" w:hAnsi="仿宋_GB2312" w:cs="宋体"/>
          <w:color w:val="000000"/>
          <w:kern w:val="0"/>
          <w:szCs w:val="32"/>
        </w:rPr>
      </w:pPr>
      <w:r>
        <w:rPr>
          <w:rFonts w:hint="eastAsia" w:ascii="仿宋_GB2312" w:hAnsi="仿宋_GB2312" w:cs="仿宋_GB2312"/>
          <w:b/>
          <w:bCs/>
          <w:szCs w:val="32"/>
        </w:rPr>
        <w:t>面临的挑战更加复杂，生态环境保护和生态文明建设任务更加繁重</w:t>
      </w:r>
      <w:r>
        <w:rPr>
          <w:rFonts w:hint="eastAsia" w:ascii="仿宋_GB2312" w:hAnsi="仿宋_GB2312" w:cs="仿宋_GB2312"/>
          <w:szCs w:val="32"/>
        </w:rPr>
        <w:t>。</w:t>
      </w:r>
      <w:r>
        <w:rPr>
          <w:rFonts w:hint="eastAsia" w:ascii="仿宋_GB2312" w:hAnsi="仿宋_GB2312" w:cs="仿宋_GB2312"/>
          <w:b/>
          <w:bCs/>
          <w:szCs w:val="32"/>
        </w:rPr>
        <w:t>一是</w:t>
      </w:r>
      <w:r>
        <w:rPr>
          <w:rFonts w:hint="eastAsia" w:ascii="仿宋_GB2312" w:hAnsi="仿宋_GB2312" w:cs="仿宋_GB2312"/>
          <w:szCs w:val="32"/>
        </w:rPr>
        <w:t>生态环境变化强烈。我市地处藏东南高山峡谷区，地形地貌特殊，降水较多，地质灾害高发易发，加之受全球气候变化影响，冰川退缩速度加快，近年来发生的易贡地质灾害，雅鲁藏布江特大滑坡等自然灾害，给人民群众生命财产带来重大威胁，对区域生态环境造成较大影响。</w:t>
      </w:r>
      <w:r>
        <w:rPr>
          <w:rFonts w:hint="eastAsia" w:ascii="仿宋_GB2312" w:hAnsi="仿宋_GB2312" w:cs="仿宋_GB2312"/>
          <w:b/>
          <w:bCs/>
          <w:szCs w:val="32"/>
        </w:rPr>
        <w:t>二是</w:t>
      </w:r>
      <w:r>
        <w:rPr>
          <w:rFonts w:hint="eastAsia" w:ascii="仿宋_GB2312" w:hAnsi="仿宋_GB2312" w:cs="仿宋_GB2312"/>
          <w:szCs w:val="32"/>
        </w:rPr>
        <w:t>建设生态安全屏障的任务仍然艰巨。林芝虽然生态环境整体较好，森林覆盖率高，生物多样性丰富，同时存在森林防火基础设施建设薄弱，科技支撑弱，生物生态安全底数不清，野生动植物非法交易采挖屡禁不止等短板。立足山水林田湖草沙冰系统治理的重大生态项目较少，近年来实施的生态安全屏障类项目大多集中在某一方面，产生的生态效益主要体现在局部区域，生态工程对整个生态系统的贡献有限。</w:t>
      </w:r>
      <w:r>
        <w:rPr>
          <w:rFonts w:hint="eastAsia" w:ascii="仿宋_GB2312" w:hAnsi="仿宋_GB2312" w:cs="仿宋_GB2312"/>
          <w:b/>
          <w:bCs/>
          <w:szCs w:val="32"/>
        </w:rPr>
        <w:t>三是</w:t>
      </w:r>
      <w:r>
        <w:rPr>
          <w:rFonts w:hint="eastAsia" w:ascii="仿宋_GB2312" w:hAnsi="仿宋_GB2312" w:cs="仿宋_GB2312"/>
          <w:szCs w:val="32"/>
        </w:rPr>
        <w:t>协同推进高质量发展与生态环境保护面临诸多挑战。林芝大力发展生态旅游、清洁能源、特色农牧等绿色产业，尚处于起步阶段，产业规模小、层次低、链条短，绿色产业对发展的支撑作用不够，生态综合补偿机制不健全，“两山”转化办法不多，生态价值体现不够充分。边境线长，面临生态建设与强边固边双重压力，协同推进生态保护与高质量发展任务艰巨。</w:t>
      </w:r>
      <w:r>
        <w:rPr>
          <w:rFonts w:hint="eastAsia" w:ascii="仿宋_GB2312" w:hAnsi="仿宋_GB2312" w:cs="仿宋_GB2312"/>
          <w:b/>
          <w:bCs/>
          <w:szCs w:val="32"/>
        </w:rPr>
        <w:t>四是</w:t>
      </w:r>
      <w:r>
        <w:rPr>
          <w:rFonts w:hint="eastAsia" w:ascii="仿宋_GB2312" w:hAnsi="仿宋_GB2312" w:cs="仿宋_GB2312"/>
          <w:szCs w:val="32"/>
        </w:rPr>
        <w:t>生态环境部门能力建设和</w:t>
      </w:r>
      <w:r>
        <w:rPr>
          <w:rFonts w:hint="eastAsia" w:ascii="仿宋_GB2312" w:hAnsi="仿宋_GB2312" w:cs="宋体"/>
          <w:color w:val="000000"/>
          <w:kern w:val="0"/>
          <w:szCs w:val="32"/>
        </w:rPr>
        <w:t>环境基础设施建设</w:t>
      </w:r>
      <w:r>
        <w:rPr>
          <w:rFonts w:hint="eastAsia" w:ascii="仿宋_GB2312" w:hAnsi="仿宋_GB2312" w:cs="仿宋_GB2312"/>
          <w:szCs w:val="32"/>
        </w:rPr>
        <w:t>不能适应新时代发展要求。目前，生态环境系统机构改革基本完成，生态环境部门统一行使环境管理和环境执法的体制基本形成，生态环境部门工作职责明显增加，工作任务更加繁重，人员超负荷工作现象更加突出。环境监管与污染防控支撑不足，环境监测、执法、应急、信息基础能力薄弱，同标准化建设要求差距较大，</w:t>
      </w:r>
      <w:r>
        <w:rPr>
          <w:rFonts w:hint="eastAsia" w:ascii="仿宋_GB2312" w:hAnsi="仿宋_GB2312" w:cs="宋体"/>
          <w:color w:val="000000"/>
          <w:kern w:val="0"/>
          <w:szCs w:val="32"/>
        </w:rPr>
        <w:t>与环境管理现实需要不相适应，更不能满足生态环境治理体系和治理能力现代化的要求。环境基础设施建设滞后，运维不规范问题仍然存在。危险废物收、贮、运市场不健全，处置能力不足，尚不能满足社会需求。</w:t>
      </w:r>
    </w:p>
    <w:p>
      <w:pPr>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展望二〇三五年，林芝与全国一道基本实现社会主义现代化。美丽林芝全面建成，生态环境质量持续保持全国领先水平，所有县（区）达到国家生态文明建设示范县（区）标准，成为全国乃至国际生态文明高地，率先实现“碳达峰”和“碳中和”。国家重要生态安全屏障进一步筑牢，各方面制度更加完善，环境治理体系和治理能力现代化基本实现。</w:t>
      </w:r>
    </w:p>
    <w:p>
      <w:pPr>
        <w:pStyle w:val="3"/>
        <w:spacing w:before="289" w:after="289" w:line="560" w:lineRule="exact"/>
        <w:rPr>
          <w:sz w:val="48"/>
          <w:szCs w:val="48"/>
        </w:rPr>
      </w:pPr>
      <w:bookmarkStart w:id="15" w:name="_Toc75016650"/>
      <w:bookmarkStart w:id="16" w:name="_Toc82188408"/>
      <w:bookmarkStart w:id="17" w:name="_Toc82189333"/>
      <w:r>
        <w:rPr>
          <w:rFonts w:hint="eastAsia"/>
        </w:rPr>
        <w:t>第二章  指导思想和主要目标</w:t>
      </w:r>
      <w:bookmarkEnd w:id="15"/>
      <w:bookmarkEnd w:id="16"/>
      <w:bookmarkEnd w:id="17"/>
    </w:p>
    <w:p>
      <w:pPr>
        <w:pStyle w:val="4"/>
        <w:spacing w:before="289" w:after="289" w:line="560" w:lineRule="exact"/>
        <w:rPr>
          <w:szCs w:val="36"/>
        </w:rPr>
      </w:pPr>
      <w:bookmarkStart w:id="18" w:name="_Toc82189334"/>
      <w:bookmarkStart w:id="19" w:name="_Toc82188409"/>
      <w:bookmarkStart w:id="20" w:name="_Toc75016651"/>
      <w:r>
        <w:rPr>
          <w:rFonts w:hint="eastAsia"/>
        </w:rPr>
        <w:t>第一节  指导思想</w:t>
      </w:r>
      <w:bookmarkEnd w:id="18"/>
      <w:bookmarkEnd w:id="19"/>
      <w:bookmarkEnd w:id="20"/>
    </w:p>
    <w:p>
      <w:pPr>
        <w:widowControl/>
        <w:spacing w:line="560" w:lineRule="exact"/>
        <w:ind w:firstLine="631"/>
        <w:rPr>
          <w:rFonts w:ascii="Arial" w:hAnsi="Arial" w:cs="Arial"/>
          <w:color w:val="333333"/>
          <w:shd w:val="clear" w:color="auto" w:fill="FFFFFF"/>
        </w:rPr>
      </w:pPr>
      <w:r>
        <w:rPr>
          <w:rFonts w:hint="eastAsia" w:ascii="Arial" w:hAnsi="Arial" w:cs="Arial"/>
          <w:color w:val="333333"/>
          <w:shd w:val="clear" w:color="auto" w:fill="FFFFFF"/>
        </w:rPr>
        <w:t>以习近平新时代中国特色社会主义思想为指导，全面贯彻党的十九大和十九届历次全会以及</w:t>
      </w:r>
      <w:r>
        <w:rPr>
          <w:rFonts w:ascii="Arial" w:hAnsi="Arial" w:cs="Arial"/>
          <w:color w:val="333333"/>
          <w:shd w:val="clear" w:color="auto" w:fill="FFFFFF"/>
        </w:rPr>
        <w:t>中央第七次西藏工作座谈会</w:t>
      </w:r>
      <w:r>
        <w:rPr>
          <w:rFonts w:hint="eastAsia" w:ascii="Arial" w:hAnsi="Arial" w:cs="Arial"/>
          <w:color w:val="333333"/>
          <w:shd w:val="clear" w:color="auto" w:fill="FFFFFF"/>
        </w:rPr>
        <w:t>会议精神，深刻把握习近平生态文明思想，不断增强“四个意识”、坚定“四个自信”、做到“两个维护”，全面贯彻落实新时代党的治藏方略，准确把握新发展阶段，深入贯彻新发展理念，加快构建新发展格局，紧扣推动高质量发展，坚持稳中求进工作总基调，坚持系统观念，更好统筹经济社会发展和生态环境保护，</w:t>
      </w:r>
      <w:r>
        <w:rPr>
          <w:rFonts w:ascii="Arial" w:hAnsi="Arial" w:cs="Arial"/>
          <w:color w:val="333333"/>
          <w:shd w:val="clear" w:color="auto" w:fill="FFFFFF"/>
        </w:rPr>
        <w:t>坚持生态保护第一，统筹推进</w:t>
      </w:r>
      <w:r>
        <w:rPr>
          <w:rFonts w:hint="eastAsia" w:ascii="Arial" w:hAnsi="Arial" w:cs="Arial"/>
          <w:color w:val="333333"/>
          <w:shd w:val="clear" w:color="auto" w:fill="FFFFFF"/>
        </w:rPr>
        <w:t>山水林田湖草沙冰综合治理、系统治理、源头治理，筑牢国家生态安全屏障，坚定走生态优先、绿色发展之路，全面建设生态文明高地，找准生态环境保护与经济发展的平衡点，坚持把保护好生态环境作为利在千秋、泽被天下的大事，持续提高生态文明创建水平，巩固拓展国家生态文明建设示范市创建成果，让绿水青山成为各族群众的幸福靠山，为西藏建设国家生态文明高地贡献林芝力量。</w:t>
      </w:r>
    </w:p>
    <w:p>
      <w:pPr>
        <w:pStyle w:val="4"/>
        <w:spacing w:before="289" w:after="289" w:line="560" w:lineRule="exact"/>
        <w:rPr>
          <w:rFonts w:ascii="仿宋_GB2312"/>
          <w:szCs w:val="36"/>
        </w:rPr>
      </w:pPr>
      <w:bookmarkStart w:id="21" w:name="_Toc82189335"/>
      <w:bookmarkStart w:id="22" w:name="_Toc75016652"/>
      <w:bookmarkStart w:id="23" w:name="_Toc82188410"/>
      <w:r>
        <w:rPr>
          <w:rFonts w:hint="eastAsia" w:ascii="仿宋_GB2312"/>
        </w:rPr>
        <w:t>第二节  基本原则</w:t>
      </w:r>
      <w:bookmarkEnd w:id="21"/>
      <w:bookmarkEnd w:id="22"/>
      <w:bookmarkEnd w:id="23"/>
    </w:p>
    <w:p>
      <w:pPr>
        <w:widowControl/>
        <w:spacing w:line="560" w:lineRule="exact"/>
        <w:ind w:firstLine="634"/>
        <w:rPr>
          <w:rFonts w:ascii="仿宋_GB2312" w:hAnsi="仿宋_GB2312" w:cs="宋体"/>
          <w:b/>
          <w:bCs/>
          <w:color w:val="000000"/>
          <w:kern w:val="0"/>
          <w:szCs w:val="32"/>
        </w:rPr>
      </w:pPr>
      <w:r>
        <w:rPr>
          <w:rFonts w:hint="eastAsia" w:ascii="仿宋_GB2312" w:hAnsi="仿宋_GB2312" w:cs="宋体"/>
          <w:b/>
          <w:bCs/>
          <w:color w:val="000000"/>
          <w:kern w:val="0"/>
          <w:szCs w:val="32"/>
        </w:rPr>
        <w:t>坚持党对生态文明建设的全面领导。</w:t>
      </w:r>
      <w:r>
        <w:rPr>
          <w:rFonts w:hint="eastAsia" w:ascii="仿宋_GB2312" w:hAnsi="仿宋_GB2312" w:cs="宋体"/>
          <w:color w:val="000000"/>
          <w:kern w:val="0"/>
          <w:szCs w:val="32"/>
        </w:rPr>
        <w:t>坚持中国共产党的领导，坚持新时代党的治藏方略，坚决扛起生态文明建设政治责任，把生态文明建设摆在全市工作的突出位置，全面加强生态文明建设，增强“四个意识”，坚定“四个自信”，做到“两个维护”，为推进生态环境高水平保护和经济高质量发展提供根本保证。</w:t>
      </w:r>
    </w:p>
    <w:p>
      <w:pPr>
        <w:widowControl/>
        <w:spacing w:line="560" w:lineRule="exact"/>
        <w:ind w:firstLine="634"/>
        <w:rPr>
          <w:rFonts w:ascii="仿宋_GB2312" w:hAnsi="仿宋_GB2312" w:cs="宋体"/>
          <w:b/>
          <w:bCs/>
          <w:color w:val="000000"/>
          <w:kern w:val="0"/>
          <w:szCs w:val="32"/>
        </w:rPr>
      </w:pPr>
      <w:r>
        <w:rPr>
          <w:rFonts w:hint="eastAsia" w:ascii="仿宋_GB2312" w:hAnsi="仿宋_GB2312" w:cs="宋体"/>
          <w:b/>
          <w:bCs/>
          <w:color w:val="000000"/>
          <w:kern w:val="0"/>
          <w:szCs w:val="32"/>
        </w:rPr>
        <w:t>坚持生态保护优先、绿色发展。</w:t>
      </w:r>
      <w:r>
        <w:rPr>
          <w:rFonts w:hint="eastAsia" w:ascii="仿宋_GB2312" w:hAnsi="仿宋_GB2312" w:cs="宋体"/>
          <w:color w:val="000000"/>
          <w:kern w:val="0"/>
          <w:szCs w:val="32"/>
        </w:rPr>
        <w:t>牢固树立绿水青山就是金山银山，冰天雪地也是金山银山的理念，坚定不移走生态优先，绿色发展之路。坚持生态旅游、特色农牧、水电能源、藏医药和文化创意等五大绿色优势产业定位不动摇，严守生态保护红线，把绿色发展贯穿于经济社会发展的各方面和全过程，促进生态产业化、产业生态化，提升绿色品牌价值。</w:t>
      </w:r>
    </w:p>
    <w:p>
      <w:pPr>
        <w:widowControl/>
        <w:spacing w:line="560" w:lineRule="exact"/>
        <w:ind w:firstLine="634"/>
        <w:rPr>
          <w:rFonts w:ascii="仿宋_GB2312" w:hAnsi="仿宋_GB2312" w:cs="宋体"/>
          <w:b/>
          <w:bCs/>
          <w:color w:val="000000"/>
          <w:kern w:val="0"/>
          <w:szCs w:val="32"/>
        </w:rPr>
      </w:pPr>
      <w:r>
        <w:rPr>
          <w:rFonts w:hint="eastAsia" w:ascii="仿宋_GB2312" w:hAnsi="仿宋_GB2312" w:cs="宋体"/>
          <w:b/>
          <w:bCs/>
          <w:color w:val="000000"/>
          <w:kern w:val="0"/>
          <w:szCs w:val="32"/>
        </w:rPr>
        <w:t>坚持山水林田湖草沙冰系统治理。</w:t>
      </w:r>
      <w:r>
        <w:rPr>
          <w:rFonts w:hint="eastAsia" w:ascii="仿宋_GB2312" w:hAnsi="仿宋_GB2312" w:cs="宋体"/>
          <w:color w:val="000000"/>
          <w:kern w:val="0"/>
          <w:szCs w:val="32"/>
        </w:rPr>
        <w:t>遵循生态系统内在规律，以生态本底和自然禀赋为基础，推进一体化生态保护与修复。坚持生态保护修复与环境治理相结合，坚持城市治理与乡村生态振兴相统筹，坚持环境治理、生态修复、应对气候变化相融合，保护好地球第三极生态，为治边稳藏厚植生态之基。</w:t>
      </w:r>
    </w:p>
    <w:p>
      <w:pPr>
        <w:widowControl/>
        <w:spacing w:line="560" w:lineRule="exact"/>
        <w:ind w:firstLine="634"/>
        <w:rPr>
          <w:rFonts w:ascii="仿宋_GB2312" w:hAnsi="仿宋_GB2312" w:cs="宋体"/>
          <w:color w:val="000000"/>
          <w:kern w:val="0"/>
          <w:szCs w:val="32"/>
        </w:rPr>
      </w:pPr>
      <w:r>
        <w:rPr>
          <w:rFonts w:hint="eastAsia" w:ascii="仿宋_GB2312" w:hAnsi="仿宋_GB2312" w:cs="宋体"/>
          <w:b/>
          <w:bCs/>
          <w:color w:val="000000"/>
          <w:kern w:val="0"/>
          <w:szCs w:val="32"/>
        </w:rPr>
        <w:t>坚持以人民为中心。</w:t>
      </w:r>
      <w:r>
        <w:rPr>
          <w:rFonts w:hint="eastAsia" w:ascii="仿宋_GB2312" w:hAnsi="仿宋_GB2312" w:cs="宋体"/>
          <w:color w:val="000000"/>
          <w:kern w:val="0"/>
          <w:szCs w:val="32"/>
        </w:rPr>
        <w:t>坚持以人民为中心，正确处理好生态保护与富民利民的关系，把生态保护与乡村振兴紧密结合起来，做到生态惠民、生态利民、生态为民。持续深入打好打赢污染防治攻坚战，扎实推进生态环境治理各项任务，为人民群众创造良好生产生活环境，提供更多优质生态产品，不断满足人民群众对优美生态环境的需要，提升各族群众生态获得感、幸福感、安全感。</w:t>
      </w:r>
    </w:p>
    <w:p>
      <w:pPr>
        <w:widowControl/>
        <w:spacing w:line="560" w:lineRule="exact"/>
        <w:ind w:firstLine="634"/>
        <w:rPr>
          <w:rFonts w:ascii="仿宋_GB2312" w:hAnsi="仿宋_GB2312" w:cs="宋体"/>
          <w:color w:val="000000"/>
          <w:kern w:val="0"/>
          <w:szCs w:val="32"/>
        </w:rPr>
      </w:pPr>
      <w:r>
        <w:rPr>
          <w:rFonts w:hint="eastAsia" w:ascii="仿宋_GB2312" w:hAnsi="仿宋_GB2312" w:cs="宋体"/>
          <w:b/>
          <w:bCs/>
          <w:color w:val="000000"/>
          <w:kern w:val="0"/>
          <w:szCs w:val="32"/>
        </w:rPr>
        <w:t>坚持改革创新</w:t>
      </w:r>
      <w:r>
        <w:rPr>
          <w:rFonts w:hint="eastAsia" w:ascii="仿宋_GB2312" w:hAnsi="仿宋_GB2312" w:cs="宋体"/>
          <w:color w:val="000000"/>
          <w:kern w:val="0"/>
          <w:szCs w:val="32"/>
        </w:rPr>
        <w:t>。深入推进生态文明体制改革，积极完善生态文明领域体制机制，加快构建现代环境治理体系。健全生态环境监管，落实生态环境保护综合行政执法，注重建立健全市场化机制，积极研究地方法立法，推进生态环境法制建设，激发党委、政府、企业、公众等各类责任主体内生动力，突出精准治理、科学治理、依法治理，形成与治理任务、治理需求相适应的治理能力和治理水平，推动生态环境治理体系与治理能力现代化。</w:t>
      </w:r>
      <w:bookmarkStart w:id="24" w:name="_Toc75016653"/>
    </w:p>
    <w:p>
      <w:pPr>
        <w:pStyle w:val="4"/>
        <w:spacing w:before="289" w:after="289" w:line="560" w:lineRule="exact"/>
      </w:pPr>
      <w:bookmarkStart w:id="25" w:name="_Toc82189336"/>
      <w:r>
        <w:rPr>
          <w:rFonts w:hint="eastAsia"/>
        </w:rPr>
        <w:t>第三节  主要目标</w:t>
      </w:r>
      <w:bookmarkEnd w:id="24"/>
      <w:bookmarkEnd w:id="25"/>
    </w:p>
    <w:p>
      <w:pPr>
        <w:widowControl/>
        <w:spacing w:line="560" w:lineRule="exact"/>
        <w:ind w:firstLine="631"/>
        <w:rPr>
          <w:rFonts w:ascii="仿宋_GB2312" w:hAnsi="仿宋_GB2312" w:cs="宋体"/>
          <w:color w:val="000000"/>
          <w:kern w:val="0"/>
          <w:szCs w:val="32"/>
        </w:rPr>
      </w:pPr>
      <w:r>
        <w:rPr>
          <w:rFonts w:hint="eastAsia" w:ascii="仿宋_GB2312"/>
        </w:rPr>
        <w:t>到2025年，全市生态环境持续保持良好。高水平保护和高质量发展取得明显成效，绿色低碳发展和绿色生活水平不断提升。环境空气质量优良天数比例保持在100%，主要江河湖泊水质达到或优于</w:t>
      </w:r>
      <w:r>
        <w:rPr>
          <w:rFonts w:hint="eastAsia" w:ascii="仿宋_GB2312" w:hAnsi="仿宋_GB2312" w:cs="宋体"/>
          <w:color w:val="000000"/>
          <w:kern w:val="0"/>
          <w:szCs w:val="32"/>
        </w:rPr>
        <w:t>Ⅲ类比例保持100%，集中式饮用水水源地水质达标率100%，土壤环境质量良好。主要污染物排放量控制在国家核定范围内。固体废物与化学品环境风险防控能力明显增强，危险废物安全处置率、转移率100%，辐射环境监管水平不断提升。生态系统稳定性有效维持，森林覆盖率逐年提高，生物多样性保护不断加强。生态文明体制改革深入落实，生态文明制度体系更加成熟，全社会生态文明意识逐步提升。美丽林芝加快建设，努力打造生态文明高地，7县（区）全部达到自治区生态文明建设示范县标准，自治区级生态文明建设示范乡、村创建率达40%、60%以上。建设生态文明高地的基础更加稳固。展望二〇三五年，同全区一道建成全国乃至国际生态文明高地，生态环境治理体系和治理能力现代化基本实现。</w:t>
      </w:r>
    </w:p>
    <w:p>
      <w:pPr>
        <w:pStyle w:val="4"/>
        <w:spacing w:before="289" w:after="289" w:line="560" w:lineRule="exact"/>
      </w:pPr>
      <w:bookmarkStart w:id="26" w:name="_Toc82188411"/>
      <w:bookmarkStart w:id="27" w:name="_Toc82189337"/>
      <w:r>
        <w:rPr>
          <w:rFonts w:hint="eastAsia"/>
          <w:kern w:val="0"/>
        </w:rPr>
        <w:t>第四节  指标体系</w:t>
      </w:r>
      <w:bookmarkEnd w:id="26"/>
      <w:bookmarkEnd w:id="27"/>
    </w:p>
    <w:p>
      <w:pPr>
        <w:spacing w:line="560" w:lineRule="exact"/>
        <w:ind w:firstLine="631"/>
        <w:rPr>
          <w:rFonts w:ascii="仿宋_GB2312" w:hAnsi="仿宋_GB2312" w:cs="宋体"/>
          <w:kern w:val="0"/>
          <w:szCs w:val="32"/>
        </w:rPr>
      </w:pPr>
      <w:r>
        <w:rPr>
          <w:rFonts w:hint="eastAsia" w:ascii="仿宋_GB2312" w:hAnsi="仿宋_GB2312" w:cs="宋体"/>
          <w:color w:val="000000"/>
          <w:kern w:val="0"/>
          <w:szCs w:val="32"/>
        </w:rPr>
        <w:t>林芝市“十四五”生态环境保护指标体系包括环境治理、应对气候变化、生态保护、环境风险防控等四大类15项指标。具体见表3-1</w:t>
      </w:r>
      <w:bookmarkStart w:id="28" w:name="_Toc75016654"/>
      <w:r>
        <w:rPr>
          <w:rFonts w:hint="eastAsia" w:ascii="仿宋_GB2312" w:hAnsi="仿宋_GB2312" w:cs="宋体"/>
          <w:kern w:val="0"/>
          <w:szCs w:val="32"/>
        </w:rPr>
        <w:t>。</w:t>
      </w:r>
    </w:p>
    <w:p>
      <w:pPr>
        <w:spacing w:line="560" w:lineRule="exact"/>
        <w:ind w:firstLine="631"/>
        <w:rPr>
          <w:rFonts w:ascii="仿宋_GB2312" w:hAnsi="仿宋_GB2312" w:cs="宋体"/>
          <w:kern w:val="0"/>
          <w:szCs w:val="32"/>
        </w:rPr>
      </w:pPr>
    </w:p>
    <w:p>
      <w:pPr>
        <w:spacing w:line="560" w:lineRule="exact"/>
        <w:ind w:firstLine="631"/>
        <w:rPr>
          <w:rFonts w:ascii="仿宋_GB2312" w:hAnsi="仿宋_GB2312" w:cs="宋体"/>
          <w:kern w:val="0"/>
          <w:szCs w:val="32"/>
        </w:rPr>
      </w:pPr>
    </w:p>
    <w:p>
      <w:pPr>
        <w:spacing w:line="560" w:lineRule="exact"/>
        <w:ind w:firstLine="631"/>
        <w:rPr>
          <w:rFonts w:ascii="仿宋_GB2312" w:hAnsi="仿宋_GB2312" w:cs="宋体"/>
          <w:kern w:val="0"/>
          <w:szCs w:val="32"/>
        </w:rPr>
      </w:pPr>
    </w:p>
    <w:p>
      <w:pPr>
        <w:spacing w:line="560" w:lineRule="exact"/>
        <w:ind w:firstLine="631"/>
        <w:rPr>
          <w:rFonts w:ascii="仿宋_GB2312" w:hAnsi="仿宋_GB2312" w:cs="宋体"/>
          <w:kern w:val="0"/>
          <w:szCs w:val="32"/>
        </w:rPr>
      </w:pPr>
    </w:p>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表3—1  林芝市“十四五”生态环境规划指标体系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34"/>
        <w:gridCol w:w="3605"/>
        <w:gridCol w:w="107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类别</w:t>
            </w:r>
          </w:p>
        </w:tc>
        <w:tc>
          <w:tcPr>
            <w:tcW w:w="1134"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序号</w:t>
            </w:r>
          </w:p>
        </w:tc>
        <w:tc>
          <w:tcPr>
            <w:tcW w:w="3605"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指标</w:t>
            </w:r>
          </w:p>
        </w:tc>
        <w:tc>
          <w:tcPr>
            <w:tcW w:w="1073"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2020年</w:t>
            </w:r>
          </w:p>
        </w:tc>
        <w:tc>
          <w:tcPr>
            <w:tcW w:w="1134"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2025年预计</w:t>
            </w:r>
          </w:p>
        </w:tc>
        <w:tc>
          <w:tcPr>
            <w:tcW w:w="1134" w:type="dxa"/>
            <w:vAlign w:val="center"/>
          </w:tcPr>
          <w:p>
            <w:pPr>
              <w:spacing w:line="560" w:lineRule="exact"/>
              <w:ind w:firstLine="0" w:firstLineChars="0"/>
              <w:jc w:val="center"/>
              <w:rPr>
                <w:rFonts w:ascii="黑体" w:hAnsi="黑体" w:eastAsia="黑体" w:cs="宋体"/>
                <w:kern w:val="0"/>
                <w:szCs w:val="32"/>
              </w:rPr>
            </w:pPr>
            <w:r>
              <w:rPr>
                <w:rFonts w:hint="eastAsia" w:ascii="黑体" w:hAnsi="黑体" w:eastAsia="黑体" w:cs="宋体"/>
                <w:kern w:val="0"/>
                <w:szCs w:val="32"/>
              </w:rPr>
              <w:t>指标属性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环境</w:t>
            </w:r>
          </w:p>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治理</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县级及以上城市空气质量优良天数比率（%）</w:t>
            </w:r>
          </w:p>
        </w:tc>
        <w:tc>
          <w:tcPr>
            <w:tcW w:w="1073" w:type="dxa"/>
            <w:vAlign w:val="center"/>
          </w:tcPr>
          <w:p>
            <w:pPr>
              <w:spacing w:line="560" w:lineRule="exact"/>
              <w:ind w:firstLine="0" w:firstLineChars="0"/>
              <w:jc w:val="center"/>
              <w:rPr>
                <w:rFonts w:ascii="仿宋_GB2312" w:hAnsi="仿宋_GB2312" w:cs="宋体"/>
                <w:color w:val="000000" w:themeColor="text1"/>
                <w:kern w:val="0"/>
                <w:sz w:val="24"/>
              </w:rPr>
            </w:pPr>
            <w:r>
              <w:rPr>
                <w:rFonts w:hint="eastAsia" w:ascii="仿宋_GB2312" w:hAnsi="仿宋_GB2312" w:cs="宋体"/>
                <w:color w:val="000000" w:themeColor="text1"/>
                <w:kern w:val="0"/>
                <w:sz w:val="24"/>
              </w:rPr>
              <w:t>100</w:t>
            </w:r>
          </w:p>
        </w:tc>
        <w:tc>
          <w:tcPr>
            <w:tcW w:w="1134" w:type="dxa"/>
            <w:vAlign w:val="center"/>
          </w:tcPr>
          <w:p>
            <w:pPr>
              <w:spacing w:line="560" w:lineRule="exact"/>
              <w:ind w:firstLine="0" w:firstLineChars="0"/>
              <w:jc w:val="center"/>
              <w:rPr>
                <w:rFonts w:ascii="仿宋_GB2312" w:hAnsi="仿宋_GB2312" w:cs="宋体"/>
                <w:color w:val="000000" w:themeColor="text1"/>
                <w:kern w:val="0"/>
                <w:sz w:val="24"/>
              </w:rPr>
            </w:pPr>
            <w:r>
              <w:rPr>
                <w:rFonts w:hint="eastAsia" w:ascii="仿宋_GB2312" w:hAnsi="仿宋_GB2312" w:cs="宋体"/>
                <w:color w:val="000000" w:themeColor="text1"/>
                <w:kern w:val="0"/>
                <w:sz w:val="24"/>
              </w:rPr>
              <w:t>100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471"/>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2</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地表水达到或好于Ⅲ类水体比例（%）</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100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100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3</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城市黑臭水体比例（%）</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4</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地下水质量Ⅴ类水体比例（%）</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5</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农村生活污水处理率（%）</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完成国家下达目标</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6</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氮氧化物、挥发性有机物、化学需氧量、氨氮排放总量减少（%）</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完成国家下达目标</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817" w:type="dxa"/>
            <w:vMerge w:val="restart"/>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应对气候变化</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7</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单位地区生产总值二氧化碳排放降低（%）</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国家核定范围内</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国家核定范围内</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8</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单位地区生产总值能源消耗降低（%）</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国家核定范围内</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国家核定范围内</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约束性</w:t>
            </w:r>
          </w:p>
        </w:tc>
      </w:tr>
    </w:tbl>
    <w:p>
      <w:pPr>
        <w:spacing w:line="560" w:lineRule="exact"/>
        <w:ind w:firstLine="0" w:firstLineChars="0"/>
        <w:jc w:val="center"/>
      </w:pPr>
      <w:r>
        <w:rPr>
          <w:rFonts w:hint="eastAsia" w:ascii="黑体" w:hAnsi="黑体" w:eastAsia="黑体" w:cs="宋体"/>
          <w:kern w:val="0"/>
          <w:szCs w:val="32"/>
        </w:rPr>
        <w:t>表3—1  林芝市“十四五”生态环境规划指标体系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34"/>
        <w:gridCol w:w="3605"/>
        <w:gridCol w:w="107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817" w:type="dxa"/>
            <w:vMerge w:val="restart"/>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环境风险防控</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9</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受污染耕地安全利用率（%）</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91</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完成国家下达目标</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10</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污染地块安全利用率（%）</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100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完成国家下达目标</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11</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放射源辐射事故年发生率（起/每万枚）</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0</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生态保护</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12</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生态质量指数（新EI）</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稳中向好</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13</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森林覆盖率（%）</w:t>
            </w:r>
          </w:p>
        </w:tc>
        <w:tc>
          <w:tcPr>
            <w:tcW w:w="1073" w:type="dxa"/>
            <w:vAlign w:val="center"/>
          </w:tcPr>
          <w:p>
            <w:pPr>
              <w:spacing w:line="560" w:lineRule="exact"/>
              <w:ind w:firstLine="0" w:firstLineChars="0"/>
              <w:jc w:val="center"/>
              <w:rPr>
                <w:rFonts w:ascii="仿宋_GB2312" w:hAnsi="仿宋_GB2312" w:cs="宋体"/>
                <w:color w:val="000000" w:themeColor="text1"/>
                <w:kern w:val="0"/>
                <w:sz w:val="24"/>
              </w:rPr>
            </w:pPr>
            <w:r>
              <w:rPr>
                <w:rFonts w:hint="eastAsia" w:ascii="仿宋_GB2312" w:hAnsi="仿宋_GB2312" w:cs="宋体"/>
                <w:color w:val="000000" w:themeColor="text1"/>
                <w:kern w:val="0"/>
                <w:sz w:val="24"/>
              </w:rPr>
              <w:t>47.6</w:t>
            </w:r>
          </w:p>
        </w:tc>
        <w:tc>
          <w:tcPr>
            <w:tcW w:w="1134" w:type="dxa"/>
            <w:vAlign w:val="center"/>
          </w:tcPr>
          <w:p>
            <w:pPr>
              <w:spacing w:line="560" w:lineRule="exact"/>
              <w:ind w:firstLine="0" w:firstLineChars="0"/>
              <w:jc w:val="center"/>
              <w:rPr>
                <w:rFonts w:ascii="仿宋_GB2312" w:hAnsi="仿宋_GB2312" w:cs="宋体"/>
                <w:color w:val="000000" w:themeColor="text1"/>
                <w:kern w:val="0"/>
                <w:sz w:val="24"/>
              </w:rPr>
            </w:pPr>
            <w:r>
              <w:rPr>
                <w:rFonts w:hint="eastAsia" w:ascii="仿宋_GB2312" w:hAnsi="仿宋_GB2312" w:cs="宋体"/>
                <w:color w:val="000000" w:themeColor="text1"/>
                <w:kern w:val="0"/>
                <w:sz w:val="24"/>
              </w:rPr>
              <w:t>47.71</w:t>
            </w:r>
          </w:p>
        </w:tc>
        <w:tc>
          <w:tcPr>
            <w:tcW w:w="1134" w:type="dxa"/>
            <w:vAlign w:val="center"/>
          </w:tcPr>
          <w:p>
            <w:pPr>
              <w:spacing w:line="560" w:lineRule="exact"/>
              <w:ind w:firstLine="0" w:firstLineChars="0"/>
              <w:jc w:val="center"/>
              <w:rPr>
                <w:rFonts w:ascii="仿宋_GB2312" w:hAnsi="仿宋_GB2312" w:cs="宋体"/>
                <w:color w:val="000000" w:themeColor="text1"/>
                <w:kern w:val="0"/>
                <w:sz w:val="24"/>
              </w:rPr>
            </w:pPr>
            <w:r>
              <w:rPr>
                <w:rFonts w:hint="eastAsia" w:ascii="仿宋_GB2312" w:hAnsi="仿宋_GB2312" w:cs="宋体"/>
                <w:color w:val="000000" w:themeColor="text1"/>
                <w:kern w:val="0"/>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14</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生态保护红线占国土面积比例（%）</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不降低</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pPr>
              <w:spacing w:line="560" w:lineRule="exact"/>
              <w:ind w:firstLine="0" w:firstLineChars="0"/>
              <w:jc w:val="center"/>
              <w:rPr>
                <w:rFonts w:ascii="仿宋_GB2312" w:hAnsi="仿宋_GB2312" w:cs="宋体"/>
                <w:kern w:val="0"/>
                <w:sz w:val="24"/>
              </w:rPr>
            </w:pP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15</w:t>
            </w:r>
          </w:p>
        </w:tc>
        <w:tc>
          <w:tcPr>
            <w:tcW w:w="3605"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国家生态文明建设示范县（区）（个）</w:t>
            </w:r>
          </w:p>
        </w:tc>
        <w:tc>
          <w:tcPr>
            <w:tcW w:w="1073"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1</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3</w:t>
            </w:r>
          </w:p>
        </w:tc>
        <w:tc>
          <w:tcPr>
            <w:tcW w:w="1134" w:type="dxa"/>
            <w:vAlign w:val="center"/>
          </w:tcPr>
          <w:p>
            <w:pPr>
              <w:spacing w:line="560" w:lineRule="exact"/>
              <w:ind w:firstLine="0" w:firstLineChars="0"/>
              <w:jc w:val="center"/>
              <w:rPr>
                <w:rFonts w:ascii="仿宋_GB2312" w:hAnsi="仿宋_GB2312" w:cs="宋体"/>
                <w:kern w:val="0"/>
                <w:sz w:val="24"/>
              </w:rPr>
            </w:pPr>
            <w:r>
              <w:rPr>
                <w:rFonts w:hint="eastAsia" w:ascii="仿宋_GB2312" w:hAnsi="仿宋_GB2312" w:cs="宋体"/>
                <w:kern w:val="0"/>
                <w:sz w:val="24"/>
              </w:rPr>
              <w:t>预期性</w:t>
            </w:r>
          </w:p>
        </w:tc>
      </w:tr>
    </w:tbl>
    <w:p>
      <w:pPr>
        <w:spacing w:line="560" w:lineRule="exact"/>
        <w:ind w:firstLine="551"/>
        <w:rPr>
          <w:rFonts w:ascii="仿宋_GB2312"/>
          <w:sz w:val="28"/>
          <w:szCs w:val="28"/>
        </w:rPr>
      </w:pPr>
      <w:r>
        <w:rPr>
          <w:rFonts w:hint="eastAsia" w:ascii="仿宋_GB2312"/>
          <w:sz w:val="28"/>
          <w:szCs w:val="28"/>
        </w:rPr>
        <w:t>注：①地下水质量Ⅴ类水比例指国家地下水监测评价点位中，水质为Ⅴ类的点位所占比例。②县级及以上城市空气质量优良天数比率和地表水达到或好于Ⅲ类水体比例指标数值与《林芝市国民经济和社会发展第十四个五年规划和二</w:t>
      </w:r>
      <w:r>
        <w:rPr>
          <w:rFonts w:hint="eastAsia" w:ascii="宋体" w:hAnsi="宋体" w:eastAsia="宋体" w:cs="宋体"/>
          <w:sz w:val="28"/>
          <w:szCs w:val="28"/>
        </w:rPr>
        <w:t>〇三五</w:t>
      </w:r>
      <w:r>
        <w:rPr>
          <w:rFonts w:hint="eastAsia" w:ascii="仿宋_GB2312"/>
          <w:sz w:val="28"/>
          <w:szCs w:val="28"/>
        </w:rPr>
        <w:t>年远景目标纲要》保持一致。</w:t>
      </w:r>
    </w:p>
    <w:p>
      <w:pPr>
        <w:spacing w:line="560" w:lineRule="exact"/>
        <w:ind w:firstLine="551"/>
        <w:rPr>
          <w:rFonts w:ascii="仿宋_GB2312"/>
          <w:sz w:val="28"/>
          <w:szCs w:val="28"/>
        </w:rPr>
      </w:pPr>
    </w:p>
    <w:p>
      <w:pPr>
        <w:spacing w:line="560" w:lineRule="exact"/>
        <w:ind w:firstLine="0" w:firstLineChars="0"/>
        <w:rPr>
          <w:rFonts w:ascii="仿宋_GB2312"/>
          <w:sz w:val="28"/>
          <w:szCs w:val="28"/>
        </w:rPr>
      </w:pPr>
    </w:p>
    <w:p>
      <w:pPr>
        <w:pStyle w:val="3"/>
        <w:spacing w:before="289" w:after="289" w:line="560" w:lineRule="exact"/>
      </w:pPr>
      <w:bookmarkStart w:id="29" w:name="_Toc82189338"/>
      <w:r>
        <w:rPr>
          <w:rFonts w:hint="eastAsia"/>
        </w:rPr>
        <w:t>第三章  重点任务</w:t>
      </w:r>
      <w:bookmarkEnd w:id="29"/>
    </w:p>
    <w:bookmarkEnd w:id="28"/>
    <w:p>
      <w:pPr>
        <w:pStyle w:val="4"/>
        <w:spacing w:before="289" w:after="289" w:line="560" w:lineRule="exact"/>
      </w:pPr>
      <w:bookmarkStart w:id="30" w:name="_Toc82189339"/>
      <w:bookmarkStart w:id="31" w:name="_Toc82188412"/>
      <w:bookmarkStart w:id="32" w:name="_Toc75016655"/>
      <w:r>
        <w:rPr>
          <w:rFonts w:hint="eastAsia"/>
        </w:rPr>
        <w:t>第一节  坚持生态保护优先，推动绿色发展</w:t>
      </w:r>
      <w:bookmarkEnd w:id="30"/>
      <w:bookmarkEnd w:id="31"/>
    </w:p>
    <w:p>
      <w:pPr>
        <w:widowControl/>
        <w:spacing w:after="156" w:line="560" w:lineRule="exact"/>
        <w:ind w:firstLine="631"/>
        <w:rPr>
          <w:rFonts w:ascii="仿宋_GB2312"/>
        </w:rPr>
      </w:pPr>
      <w:bookmarkStart w:id="33" w:name="_Toc75016667"/>
      <w:r>
        <w:rPr>
          <w:rFonts w:hint="eastAsia" w:ascii="仿宋_GB2312"/>
        </w:rPr>
        <w:t>坚持生态保护优先，深入贯彻落实《林芝市“三线一单”生态环境分区管控实施意见》，牢牢守住生态环境安全红线，保障生态环境质量底线，严控资源开发利用上线，严守生态环境准入清单，积极发展清洁能源、绿色工业、现代服务业，推动绿色发展。</w:t>
      </w:r>
    </w:p>
    <w:p>
      <w:pPr>
        <w:widowControl/>
        <w:spacing w:after="156" w:line="560" w:lineRule="exact"/>
        <w:ind w:firstLine="634"/>
        <w:rPr>
          <w:rFonts w:ascii="仿宋_GB2312"/>
        </w:rPr>
      </w:pPr>
      <w:r>
        <w:rPr>
          <w:rFonts w:hint="eastAsia" w:ascii="仿宋_GB2312"/>
          <w:b/>
          <w:bCs/>
        </w:rPr>
        <w:t>优化产业发展布局</w:t>
      </w:r>
      <w:r>
        <w:rPr>
          <w:rFonts w:hint="eastAsia" w:ascii="仿宋_GB2312"/>
        </w:rPr>
        <w:t>。立足资源环境承载能力，严格落实</w:t>
      </w:r>
      <w:r>
        <w:rPr>
          <w:rFonts w:hint="eastAsia" w:ascii="仿宋_GB2312" w:cs="Times New Roman"/>
        </w:rPr>
        <w:t>“</w:t>
      </w:r>
      <w:r>
        <w:rPr>
          <w:rFonts w:hint="eastAsia" w:ascii="仿宋_GB2312"/>
        </w:rPr>
        <w:t>三线一单</w:t>
      </w:r>
      <w:r>
        <w:rPr>
          <w:rFonts w:hint="eastAsia" w:ascii="仿宋_GB2312" w:cs="Times New Roman"/>
        </w:rPr>
        <w:t>”</w:t>
      </w:r>
      <w:r>
        <w:rPr>
          <w:rFonts w:hint="eastAsia" w:ascii="仿宋_GB2312"/>
        </w:rPr>
        <w:t>空间管控。加强</w:t>
      </w:r>
      <w:r>
        <w:rPr>
          <w:rFonts w:hint="eastAsia" w:ascii="仿宋_GB2312" w:cs="Times New Roman"/>
        </w:rPr>
        <w:t>“</w:t>
      </w:r>
      <w:r>
        <w:rPr>
          <w:rFonts w:hint="eastAsia" w:ascii="仿宋_GB2312"/>
        </w:rPr>
        <w:t>三线一单</w:t>
      </w:r>
      <w:r>
        <w:rPr>
          <w:rFonts w:hint="eastAsia" w:ascii="仿宋_GB2312" w:cs="Times New Roman"/>
        </w:rPr>
        <w:t>”</w:t>
      </w:r>
      <w:r>
        <w:rPr>
          <w:rFonts w:hint="eastAsia" w:ascii="仿宋_GB2312"/>
        </w:rPr>
        <w:t>成果共享应用，支撑生态环境管理。将</w:t>
      </w:r>
      <w:r>
        <w:rPr>
          <w:rFonts w:hint="eastAsia" w:ascii="仿宋_GB2312" w:cs="Times New Roman"/>
        </w:rPr>
        <w:t>“</w:t>
      </w:r>
      <w:r>
        <w:rPr>
          <w:rFonts w:hint="eastAsia" w:ascii="仿宋_GB2312"/>
        </w:rPr>
        <w:t>三线一单</w:t>
      </w:r>
      <w:r>
        <w:rPr>
          <w:rFonts w:hint="eastAsia" w:ascii="仿宋_GB2312" w:cs="Times New Roman"/>
        </w:rPr>
        <w:t>”</w:t>
      </w:r>
      <w:r>
        <w:rPr>
          <w:rFonts w:hint="eastAsia" w:ascii="仿宋_GB2312"/>
        </w:rPr>
        <w:t>成果纳入国土空间规划，推进成果数据共享共用，强化生态环境管理支撑。运用</w:t>
      </w:r>
      <w:r>
        <w:rPr>
          <w:rFonts w:hint="eastAsia" w:ascii="仿宋_GB2312" w:cs="Times New Roman"/>
        </w:rPr>
        <w:t>“</w:t>
      </w:r>
      <w:r>
        <w:rPr>
          <w:rFonts w:hint="eastAsia" w:ascii="仿宋_GB2312"/>
        </w:rPr>
        <w:t>三线一单</w:t>
      </w:r>
      <w:r>
        <w:rPr>
          <w:rFonts w:hint="eastAsia" w:ascii="仿宋_GB2312" w:cs="Times New Roman"/>
        </w:rPr>
        <w:t>”</w:t>
      </w:r>
      <w:r>
        <w:rPr>
          <w:rFonts w:hint="eastAsia" w:ascii="仿宋_GB2312"/>
        </w:rPr>
        <w:t>自动过滤触碰红线、底线、上线以及准入门槛的项目，辅助项目审批、支撑审批监管、提升区域环评和规划评估能力，提供项目选址、产业准入等智能分析服务，节约建设单位财力物力成本，提升管理服务效能。</w:t>
      </w:r>
      <w:r>
        <w:rPr>
          <w:rFonts w:hint="eastAsia" w:ascii="仿宋_GB2312" w:hAnsi="仿宋_GB2312" w:cs="宋体"/>
          <w:color w:val="000000"/>
          <w:kern w:val="0"/>
          <w:szCs w:val="32"/>
        </w:rPr>
        <w:t>完善生态保护红线管控制度，逐步建立生态保护红线监管平台，为产业发展布局提供技术支撑。</w:t>
      </w:r>
    </w:p>
    <w:p>
      <w:pPr>
        <w:spacing w:line="560" w:lineRule="exact"/>
        <w:ind w:firstLine="634"/>
        <w:rPr>
          <w:rFonts w:ascii="仿宋_GB2312"/>
        </w:rPr>
      </w:pPr>
      <w:r>
        <w:rPr>
          <w:rFonts w:hint="eastAsia" w:ascii="仿宋_GB2312"/>
          <w:b/>
          <w:bCs/>
        </w:rPr>
        <w:t>提升产业绿色发展水平</w:t>
      </w:r>
      <w:r>
        <w:rPr>
          <w:rFonts w:hint="eastAsia" w:ascii="仿宋_GB2312"/>
        </w:rPr>
        <w:t>。牢固树立低碳发展理念，严格执行绿色清洁生产，提升绿色发展质量。</w:t>
      </w:r>
      <w:r>
        <w:rPr>
          <w:rFonts w:hint="eastAsia"/>
        </w:rPr>
        <w:t>坚持生态保护优先，正确处理好保护生态与富民利民的关系，大力发展绿色农牧业、绿色工业、生态旅游业等，增加经济发展的“绿色含量”。推进农业绿色发展先行试点县建设，建立健全原产地认证、“三品”认证和产品质量追溯体系，增加绿色农产品附加值。充分发挥林芝经开区聚集效应，大力发展生态旅游、清洁能源、现代服务、生物科技、高原特色农牧产品生产加工等产业，推广科技含量较高的生态产业项目和有利于改善生态环境的适用技术，鼓励引进和发展资源综合利用企业，推动企业之间、区域之内形成共生互动的循环利用，以环境友好的方式利用自然资源，实现资源开发利用的生态化。</w:t>
      </w:r>
      <w:r>
        <w:rPr>
          <w:rFonts w:hint="eastAsia" w:ascii="仿宋_GB2312" w:hAnsi="仿宋_GB2312" w:cs="宋体"/>
          <w:color w:val="000000"/>
          <w:kern w:val="0"/>
          <w:szCs w:val="32"/>
        </w:rPr>
        <w:t>落实《林芝市全域旅游发展规划》，推进国家全域旅游示范区创建，推进旅游产业“规范化”“标准化”“品牌化”建设，提高产业附加值。</w:t>
      </w:r>
    </w:p>
    <w:p>
      <w:pPr>
        <w:widowControl/>
        <w:spacing w:line="560" w:lineRule="exact"/>
        <w:ind w:firstLine="634"/>
        <w:rPr>
          <w:rFonts w:ascii="仿宋_GB2312" w:hAnsi="仿宋_GB2312" w:cs="宋体"/>
          <w:color w:val="000000"/>
          <w:kern w:val="0"/>
        </w:rPr>
      </w:pPr>
      <w:r>
        <w:rPr>
          <w:rFonts w:hint="eastAsia" w:ascii="仿宋_GB2312"/>
          <w:b/>
          <w:bCs/>
        </w:rPr>
        <w:t>调整优化能源结构</w:t>
      </w:r>
      <w:bookmarkEnd w:id="33"/>
      <w:r>
        <w:rPr>
          <w:rFonts w:hint="eastAsia" w:ascii="仿宋_GB2312"/>
          <w:b/>
          <w:bCs/>
        </w:rPr>
        <w:t>和运输结构</w:t>
      </w:r>
      <w:r>
        <w:rPr>
          <w:rFonts w:hint="eastAsia" w:ascii="仿宋_GB2312"/>
        </w:rPr>
        <w:t>。大力推广清洁能源，</w:t>
      </w:r>
      <w:r>
        <w:rPr>
          <w:rFonts w:hint="eastAsia"/>
        </w:rPr>
        <w:t>积极开发利用水能、光伏、生物质等新能源，推进以电代薪，加大电力外送。</w:t>
      </w:r>
      <w:r>
        <w:rPr>
          <w:rFonts w:hint="eastAsia" w:ascii="仿宋_GB2312" w:hAnsi="仿宋_GB2312" w:cs="宋体"/>
          <w:color w:val="000000"/>
          <w:kern w:val="0"/>
        </w:rPr>
        <w:t>充分利用电、太阳能等清洁能源，推进城镇集中供暖。加强货物运输调整力度，有效降低公路货运比例。优先发展城镇公交，适度投放共享电动车、自行车，引导公众选择低碳交通方式，增强公共交通吸引力。加快新能源汽车充电设施建设，鼓励混合动力、纯电动和天然气动力等节能与新能源车推广应用。</w:t>
      </w:r>
    </w:p>
    <w:p>
      <w:pPr>
        <w:spacing w:line="560" w:lineRule="exact"/>
        <w:ind w:firstLine="634"/>
        <w:rPr>
          <w:rFonts w:ascii="仿宋_GB2312"/>
        </w:rPr>
      </w:pPr>
      <w:r>
        <w:rPr>
          <w:rFonts w:hint="eastAsia" w:ascii="仿宋_GB2312"/>
          <w:b/>
          <w:bCs/>
        </w:rPr>
        <w:t>完善生态补偿机制。</w:t>
      </w:r>
      <w:r>
        <w:rPr>
          <w:rFonts w:hint="eastAsia" w:ascii="仿宋_GB2312"/>
        </w:rPr>
        <w:t>认真落实国家生态综合补偿机制和《</w:t>
      </w:r>
      <w:r>
        <w:rPr>
          <w:rFonts w:hint="eastAsia" w:ascii="仿宋_GB2312"/>
          <w:szCs w:val="32"/>
        </w:rPr>
        <w:t>林芝市生态环境损害赔偿制度改革实施方案</w:t>
      </w:r>
      <w:r>
        <w:rPr>
          <w:rFonts w:hint="eastAsia" w:ascii="仿宋_GB2312"/>
        </w:rPr>
        <w:t>》，完善森林、草原生态效益补偿机制，建立水生态保护补助机制。建立健全尼洋河流域、雅江流域上下游纵横双向生态保护补偿机制，做好跨区域流域上下游生态补偿工作。积极争取中央支持，落实自治区重点生态功能区转移支付办法。精准落实生态保护专职岗位，加大生态补偿力度、扩大生态补偿范围，提高生态就业岗位补贴。</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0" w:firstLineChars="0"/>
              <w:jc w:val="center"/>
              <w:rPr>
                <w:rFonts w:ascii="仿宋_GB2312"/>
                <w:b/>
                <w:bCs/>
              </w:rPr>
            </w:pPr>
            <w:r>
              <w:rPr>
                <w:rFonts w:ascii="仿宋_GB2312"/>
                <w:b/>
                <w:bCs/>
              </w:rPr>
              <w:t>专栏</w:t>
            </w:r>
            <w:r>
              <w:rPr>
                <w:rFonts w:hint="eastAsia" w:ascii="仿宋_GB2312"/>
                <w:b/>
                <w:bCs/>
              </w:rPr>
              <w:t>1  推动绿色低碳发展重点举措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631"/>
              <w:rPr>
                <w:rFonts w:ascii="仿宋_GB2312"/>
              </w:rPr>
            </w:pPr>
            <w:r>
              <w:rPr>
                <w:rFonts w:ascii="仿宋_GB2312"/>
              </w:rPr>
              <w:t>全面落实生态保护红线</w:t>
            </w:r>
            <w:r>
              <w:rPr>
                <w:rFonts w:hint="eastAsia" w:ascii="仿宋_GB2312"/>
              </w:rPr>
              <w:t>、</w:t>
            </w:r>
            <w:r>
              <w:rPr>
                <w:rFonts w:ascii="仿宋_GB2312"/>
              </w:rPr>
              <w:t>环境质量底线</w:t>
            </w:r>
            <w:r>
              <w:rPr>
                <w:rFonts w:hint="eastAsia" w:ascii="仿宋_GB2312"/>
              </w:rPr>
              <w:t>、</w:t>
            </w:r>
            <w:r>
              <w:rPr>
                <w:rFonts w:ascii="仿宋_GB2312"/>
              </w:rPr>
              <w:t>资源利用上线和生态环境准入清单</w:t>
            </w:r>
            <w:r>
              <w:rPr>
                <w:rFonts w:hint="eastAsia" w:ascii="仿宋_GB2312"/>
              </w:rPr>
              <w:t>，</w:t>
            </w:r>
            <w:r>
              <w:rPr>
                <w:rFonts w:ascii="仿宋_GB2312"/>
              </w:rPr>
              <w:t>完善</w:t>
            </w:r>
            <w:r>
              <w:rPr>
                <w:rFonts w:hint="eastAsia" w:ascii="仿宋_GB2312"/>
              </w:rPr>
              <w:t>“三线一单”生态环境分区管控体系。</w:t>
            </w:r>
          </w:p>
          <w:p>
            <w:pPr>
              <w:spacing w:line="560" w:lineRule="exact"/>
              <w:ind w:firstLine="631"/>
            </w:pPr>
            <w:r>
              <w:rPr>
                <w:rFonts w:hint="eastAsia"/>
              </w:rPr>
              <w:t>大力发展绿色农牧业、绿色工业、生态旅游业，实现经济“绿色”发展。充分发挥林芝经开区聚集效应，统筹推进生态旅游、清洁能源、现代服务、生物科技、高原特色农牧产品生产加工等产业生态化、规范化、标准化。</w:t>
            </w:r>
          </w:p>
          <w:p>
            <w:pPr>
              <w:spacing w:line="560" w:lineRule="exact"/>
              <w:ind w:firstLine="631"/>
            </w:pPr>
            <w:r>
              <w:rPr>
                <w:rFonts w:hint="eastAsia"/>
              </w:rPr>
              <w:t>推广使用清洁能源，鼓励绿色出行方式。</w:t>
            </w:r>
          </w:p>
          <w:p>
            <w:pPr>
              <w:spacing w:line="560" w:lineRule="exact"/>
              <w:ind w:firstLine="631"/>
              <w:rPr>
                <w:rFonts w:ascii="仿宋_GB2312"/>
              </w:rPr>
            </w:pPr>
            <w:r>
              <w:rPr>
                <w:rFonts w:hint="eastAsia" w:ascii="仿宋_GB2312"/>
              </w:rPr>
              <w:t>落实生态综合补偿机制，使群众在保护生态中得到切实的利益。</w:t>
            </w:r>
          </w:p>
        </w:tc>
      </w:tr>
    </w:tbl>
    <w:p>
      <w:pPr>
        <w:pStyle w:val="4"/>
        <w:spacing w:before="289" w:after="289" w:line="560" w:lineRule="exact"/>
      </w:pPr>
      <w:bookmarkStart w:id="34" w:name="_Toc82189340"/>
      <w:bookmarkStart w:id="35" w:name="_Toc82188413"/>
      <w:r>
        <w:rPr>
          <w:rFonts w:hint="eastAsia"/>
          <w:color w:val="000000"/>
        </w:rPr>
        <w:t xml:space="preserve">第二节  </w:t>
      </w:r>
      <w:bookmarkEnd w:id="34"/>
      <w:bookmarkEnd w:id="35"/>
      <w:r>
        <w:rPr>
          <w:rFonts w:hint="eastAsia"/>
        </w:rPr>
        <w:t>坚定不移加强生态建设，大力创建国家生态文明高地</w:t>
      </w:r>
    </w:p>
    <w:p>
      <w:pPr>
        <w:spacing w:line="560" w:lineRule="exact"/>
        <w:ind w:firstLine="631"/>
      </w:pPr>
      <w:r>
        <w:rPr>
          <w:rFonts w:hint="eastAsia"/>
        </w:rPr>
        <w:t>深入贯彻习近平生态文明思想，坚持对历史负责、对人民负责、对世界负责的态度，把生态文明建设摆在更加突出的位置，以创建国家生态文明建设示范区为抓手，以创建生态文明高地走在全区前列为目标，立足林芝优势，结合乡村振兴、强边固边，探索走出一条具有西藏特点，符合林芝实际的生态文明建设之路。</w:t>
      </w:r>
    </w:p>
    <w:p>
      <w:pPr>
        <w:spacing w:line="560" w:lineRule="exact"/>
        <w:ind w:firstLine="634"/>
      </w:pPr>
      <w:r>
        <w:rPr>
          <w:rFonts w:hint="eastAsia"/>
          <w:b/>
          <w:bCs/>
        </w:rPr>
        <w:t>落实生态文明高地建设规划</w:t>
      </w:r>
      <w:r>
        <w:rPr>
          <w:rFonts w:hint="eastAsia"/>
        </w:rPr>
        <w:t>。贯彻落实《西藏自治区国家生态文明高地建设规划（2021-2035年）》，结合林芝实际，围绕建设生态文明高地任务，编制林芝市创建生态文明高地规划（方案），明确林芝建设生态安全屏障地、人与自然和谐共生示范地、绿色发展试验地、自然保护样板地、生态富民先行地的具体举措，明确生态文明高地建设的时间表、路线图。将创建生态文明高地工作纳入</w:t>
      </w:r>
      <w:r>
        <w:rPr>
          <w:rFonts w:ascii="Arial" w:hAnsi="Arial" w:cs="Arial"/>
          <w:shd w:val="clear" w:color="auto" w:fill="FFFFFF"/>
        </w:rPr>
        <w:t>国民经济和社会发展规划</w:t>
      </w:r>
      <w:r>
        <w:rPr>
          <w:rFonts w:hint="eastAsia"/>
        </w:rPr>
        <w:t>，做到生态文明建设与经济建设、政治建设、文化建设、社会建设统一部署、统筹实施。坚持国家森林城市建设、国家卫生城市建设、全域旅游示范区建设及生态文明体制改革同创建生态文明高地一体谋划，一体推进，形成创建生态文明高地的最大合力。力争到2025年，生态环境系统保持稳定，生态安全屏障持续稳固，生态环境质量稳居全国前列，创建生态文明高地走在全区前列，逐步构建起以生态文化、生态经济、目标责任、生态文明制度、生态安全为核心的林芝生态文明建设体系，推动林芝生态环境高水平保护和经济高质量发展，努力建设人与自然和谐共生的现代化。</w:t>
      </w:r>
    </w:p>
    <w:p>
      <w:pPr>
        <w:spacing w:line="560" w:lineRule="exact"/>
        <w:ind w:firstLine="634"/>
      </w:pPr>
      <w:r>
        <w:rPr>
          <w:rFonts w:hint="eastAsia"/>
          <w:b/>
          <w:bCs/>
        </w:rPr>
        <w:t>创建巩固国家生态文明建设示范市</w:t>
      </w:r>
      <w:r>
        <w:rPr>
          <w:rFonts w:hint="eastAsia"/>
        </w:rPr>
        <w:t>。贯彻自治区《关于创建国家生态文明建设示范区 加快建设美丽西藏的决定》《关于创建国家生态文明建设示范区 加快建设美丽西藏的实施意见》，积极推进林芝市实施方案落地落实，对照实施方案明确的“九大任务”，“十八项举措”，制定年度计划，落实建设资金，加强考核评估，推动工作落实。落实《西藏自治区生态文明建设示范创建管理办法》，按照示范带动、全面创建、巩固提升三个阶段，有序推进市、县（区）、乡（镇）、村（居）四级示范创建。坚持国家级生态文明建设示范市县创建为重点，巩固提升林芝市、巴宜区国家生态文明建设示范市县创建成果，按时完成国家复核，继续引领示范创建。到2025年，工布江达县达到国家级生态文明建设示范县标准，30%的县（区）、40%的乡（镇）、60%的村（居）完成自治区级生态文明建设示范创建。加强“两山”理论转化路径探索，积极挖掘高原生态文化价值，鼓励县级人民政府及其他建设主体开展“两山”基地建设，形成具有林芝特色的“两山”理论转化模式。</w:t>
      </w:r>
    </w:p>
    <w:p>
      <w:pPr>
        <w:spacing w:line="560" w:lineRule="exact"/>
        <w:ind w:firstLine="634"/>
      </w:pPr>
      <w:r>
        <w:rPr>
          <w:rFonts w:hint="eastAsia"/>
          <w:b/>
          <w:bCs/>
        </w:rPr>
        <w:t>提升全社会生态文明意识</w:t>
      </w:r>
      <w:r>
        <w:rPr>
          <w:rFonts w:hint="eastAsia"/>
        </w:rPr>
        <w:t>。学习执行《西藏自治区国家生态文明高地建设条例》，总结《林芝市生态公益林管护条例》《林芝市森林草原防火条例》《林芝市城市市容和环境卫生管理条例》立法经验，围绕建设生态文明高地，加强调查研究，稳步推进地方立法，逐步建立健全林芝市生态文明建设法规制度体系。</w:t>
      </w:r>
      <w:r>
        <w:rPr>
          <w:rFonts w:hint="eastAsia" w:ascii="仿宋_GB2312"/>
          <w:szCs w:val="32"/>
        </w:rPr>
        <w:t>加强生态文明宣传教育，组织好年度生态文明宣传月活动，</w:t>
      </w:r>
      <w:r>
        <w:rPr>
          <w:rFonts w:hint="eastAsia"/>
        </w:rPr>
        <w:t>把生态文明教育纳入国民教育体系和干部教育培训体系，</w:t>
      </w:r>
      <w:r>
        <w:rPr>
          <w:rFonts w:hint="eastAsia" w:ascii="仿宋_GB2312"/>
          <w:szCs w:val="32"/>
        </w:rPr>
        <w:t>广泛开展生态文明园区、生态文明社区、生态文明机关、生态文明企业、生态文明学校等绿色行动，全面推进“禁白”“限塑”，倡导绿色出行。继续推动环保设施向社会公众开放，</w:t>
      </w:r>
      <w:r>
        <w:rPr>
          <w:rFonts w:hint="eastAsia" w:ascii="仿宋_GB2312" w:hAnsi="仿宋_GB2312" w:cs="宋体"/>
          <w:color w:val="000000"/>
          <w:kern w:val="0"/>
          <w:szCs w:val="32"/>
        </w:rPr>
        <w:t>开展环境科普知识进农牧区、进社区、进学校、进企业活动，提高全民环境保护意识</w:t>
      </w:r>
      <w:r>
        <w:rPr>
          <w:rFonts w:hint="eastAsia"/>
        </w:rPr>
        <w:t>。</w:t>
      </w:r>
      <w:r>
        <w:rPr>
          <w:rFonts w:hint="eastAsia" w:ascii="仿宋_GB2312" w:hAnsi="仿宋_GB2312" w:cs="宋体"/>
          <w:color w:val="000000"/>
          <w:kern w:val="0"/>
          <w:szCs w:val="32"/>
        </w:rPr>
        <w:t>鼓励支持开展民间公益环保活动，在全社会树立和弘扬尊重自然、顺应自然、保护自然的生态文明理念，营造共创美丽林芝的文化氛围。推进政府采购、公众消费环境标志产品、环境认证产品等绿色产品，形成绿色消费社会风尚，</w:t>
      </w:r>
      <w:r>
        <w:rPr>
          <w:rFonts w:hint="eastAsia"/>
        </w:rPr>
        <w:t>引导全社会树立生态文明意识，推进林芝生态文明进程，促进社会全面进步。</w:t>
      </w:r>
    </w:p>
    <w:p>
      <w:pPr>
        <w:spacing w:line="560" w:lineRule="exact"/>
        <w:ind w:firstLine="631"/>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0" w:firstLineChars="0"/>
              <w:jc w:val="center"/>
              <w:rPr>
                <w:rFonts w:ascii="仿宋_GB2312"/>
                <w:b/>
              </w:rPr>
            </w:pPr>
            <w:r>
              <w:rPr>
                <w:rFonts w:hint="eastAsia" w:ascii="仿宋_GB2312"/>
                <w:b/>
              </w:rPr>
              <w:t>专栏2  打造创建国家生态文明高地重点举措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631"/>
            </w:pPr>
            <w:r>
              <w:rPr>
                <w:rFonts w:hint="eastAsia"/>
              </w:rPr>
              <w:t>贯彻落实《西藏自治区国家生态文明高地建设规划（2021-2035年）》，编制林芝市创建国家生态文明高地规划（方案）。</w:t>
            </w:r>
          </w:p>
          <w:p>
            <w:pPr>
              <w:spacing w:line="560" w:lineRule="exact"/>
              <w:ind w:firstLine="631"/>
            </w:pPr>
            <w:r>
              <w:rPr>
                <w:rFonts w:hint="eastAsia"/>
              </w:rPr>
              <w:t>推动生态文明示范创建，到2025年，工布江达县达到国家级生态文明建设示范县标准，30%的县（区）、40%的乡（镇）、60%的村（居）完成自治区级生态文明建设示范创建。</w:t>
            </w:r>
          </w:p>
          <w:p>
            <w:pPr>
              <w:spacing w:line="560" w:lineRule="exact"/>
              <w:ind w:firstLine="631"/>
            </w:pPr>
            <w:r>
              <w:rPr>
                <w:rFonts w:hint="eastAsia"/>
              </w:rPr>
              <w:t>建成波密县生态文明建设宣教中心、波密县生态文明建设示范村创建项目。鼓励县级人民政府及其他建设主体开展“两山”基地创建，形成具有林芝特色的“两山”理论转化模式。</w:t>
            </w:r>
          </w:p>
        </w:tc>
      </w:tr>
    </w:tbl>
    <w:p>
      <w:pPr>
        <w:pStyle w:val="4"/>
        <w:spacing w:before="289" w:after="289" w:line="560" w:lineRule="exact"/>
      </w:pPr>
      <w:bookmarkStart w:id="36" w:name="_Toc75016670"/>
      <w:bookmarkStart w:id="37" w:name="_Toc82189341"/>
      <w:r>
        <w:rPr>
          <w:rFonts w:hint="eastAsia"/>
        </w:rPr>
        <w:t>第三节  维护生态安全格局，</w:t>
      </w:r>
      <w:bookmarkEnd w:id="36"/>
      <w:r>
        <w:rPr>
          <w:rFonts w:hint="eastAsia"/>
        </w:rPr>
        <w:t>筑牢生态安全屏障</w:t>
      </w:r>
      <w:bookmarkEnd w:id="37"/>
      <w:bookmarkStart w:id="38" w:name="_Toc75016671"/>
    </w:p>
    <w:p>
      <w:pPr>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大力实施生态安全战略，坚持整体施策、系统治理，突出屏障体系优化、生态修复，落实GLGS（BSLL）生物生态安全风险防范和保护工作部署，形成多层次、有序化的自然地域系统和协调联动的“山水林田湖草沙冰”生命共同体，筑牢重要的国家生态安全屏障。</w:t>
      </w:r>
    </w:p>
    <w:p>
      <w:pPr>
        <w:spacing w:line="560" w:lineRule="exact"/>
        <w:ind w:firstLine="634"/>
        <w:rPr>
          <w:rFonts w:ascii="仿宋_GB2312" w:hAnsi="仿宋_GB2312" w:cs="宋体"/>
          <w:color w:val="000000"/>
          <w:kern w:val="0"/>
          <w:szCs w:val="32"/>
        </w:rPr>
      </w:pPr>
      <w:r>
        <w:rPr>
          <w:rFonts w:hint="eastAsia" w:ascii="仿宋_GB2312" w:cs="Times New Roman"/>
          <w:b/>
          <w:bCs/>
        </w:rPr>
        <w:t>加强生态修复保护</w:t>
      </w:r>
      <w:bookmarkEnd w:id="38"/>
      <w:r>
        <w:rPr>
          <w:rFonts w:hint="eastAsia" w:ascii="仿宋_GB2312" w:cs="Times New Roman"/>
          <w:b/>
          <w:bCs/>
        </w:rPr>
        <w:t>，提升生态系统质量和稳定性</w:t>
      </w:r>
      <w:r>
        <w:rPr>
          <w:rFonts w:hint="eastAsia" w:ascii="仿宋_GB2312" w:cs="Times New Roman"/>
        </w:rPr>
        <w:t>。</w:t>
      </w:r>
      <w:r>
        <w:rPr>
          <w:rFonts w:hint="eastAsia" w:ascii="仿宋_GB2312" w:hAnsi="仿宋_GB2312" w:cs="宋体"/>
          <w:color w:val="000000"/>
          <w:kern w:val="0"/>
          <w:szCs w:val="32"/>
        </w:rPr>
        <w:t>坚持规划先行，充分发挥规划的先导和引领作用，积极配合自治区修编《西藏生态安全屏障保护与建设规划》，结合林芝实际，重点建设以森林为主体的生态屏障，积极争取将川藏铁路、雅江下游水电建设等重大工程生态环境监测监管、生态搬迁迁出区生态恢复和迁入地环境综合整治等项目纳入规划。实施国土空间生态修复和国土综合整治规划，实施重点生态功能区生态修复规划，统筹重点区域山水林田湖草沙冰整体保护、系统修复、综合治理。实施水土流失重点区域治理和预防区域防治、草原生态修复治理和有害生物防治工程。加强自然保护地建设，推进自然保护地整合优化，探索推进天然林保护与公益林管理并轨工作，推进野生动植物和重要湿地保护与修复。</w:t>
      </w:r>
    </w:p>
    <w:p>
      <w:pPr>
        <w:spacing w:line="560" w:lineRule="exact"/>
        <w:ind w:firstLine="634"/>
        <w:rPr>
          <w:rFonts w:ascii="仿宋_GB2312" w:hAnsi="仿宋_GB2312" w:cs="宋体"/>
          <w:color w:val="000000"/>
          <w:kern w:val="0"/>
          <w:szCs w:val="32"/>
        </w:rPr>
      </w:pPr>
      <w:r>
        <w:rPr>
          <w:rFonts w:hint="eastAsia" w:ascii="仿宋_GB2312" w:hAnsi="仿宋_GB2312" w:cs="宋体"/>
          <w:b/>
          <w:bCs/>
          <w:color w:val="000000"/>
          <w:kern w:val="0"/>
          <w:szCs w:val="32"/>
        </w:rPr>
        <w:t>加强生物多样性保护，助力生物生态安全</w:t>
      </w:r>
      <w:r>
        <w:rPr>
          <w:rFonts w:hint="eastAsia" w:ascii="仿宋_GB2312" w:hAnsi="仿宋_GB2312" w:cs="宋体"/>
          <w:color w:val="000000"/>
          <w:kern w:val="0"/>
          <w:szCs w:val="32"/>
        </w:rPr>
        <w:t>。划定并严守生态保护红线，加快推进生态保护红线勘界定标，建立健全生态保护红线监管制度，推动生态保护红线落地落实。持续推进国土绿化和生态修复，落实《林芝市森林草原防火条例》，深化森林虫害防治。加强野生动物保护，完善野生动物肇事保险机制，健全野生动物收容救护体系。加强水电站生态流量管控、持续开展鱼类增殖放流，落实十年禁渔政策，推进水生生物资源保护。完善外来生物入侵防控，加强监测预警，做好防治物资储备。积极推进GLGS（林芝段）生态保护和生物安全工作。落实《中华人民共和国环境保护法》《中华人民共和国自然保护区管理条例》和《林芝市生态公益林管护条例》《林芝市森林草原防火条例》等法律法规，深入开展“绿盾”专项行动、野生动植物专项执法，</w:t>
      </w:r>
      <w:r>
        <w:rPr>
          <w:rFonts w:hint="eastAsia"/>
        </w:rPr>
        <w:t>加大珍稀濒危野生动植物资源保护力度，严厉打击非法猎捕、交易和滥食野生动物的违法行为及涉及自然保护地环境违法行为。加强生物多样性与生物生态安全</w:t>
      </w:r>
      <w:r>
        <w:rPr>
          <w:rFonts w:hint="eastAsia" w:ascii="仿宋_GB2312" w:hAnsi="仿宋_GB2312" w:cs="宋体"/>
          <w:color w:val="000000"/>
          <w:kern w:val="0"/>
          <w:szCs w:val="32"/>
        </w:rPr>
        <w:t>宣传教育，建立健全长效宣传机制，将生物多样性宣传教育纳入年度生态文明宣传月，做到同安排同部署。坚持国际生物多样性日宣传同世界环境日、世界湿地日、世界地球日等宣传相结合，发挥协同效应，提高宣传成效。发挥示范带动作用，深入推进生物多样性宣传进学校、进机关。</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0" w:firstLineChars="0"/>
              <w:jc w:val="center"/>
              <w:rPr>
                <w:rFonts w:ascii="仿宋_GB2312" w:hAnsi="仿宋_GB2312" w:cs="宋体"/>
                <w:b/>
                <w:color w:val="000000"/>
                <w:kern w:val="0"/>
                <w:szCs w:val="32"/>
              </w:rPr>
            </w:pPr>
            <w:r>
              <w:rPr>
                <w:rFonts w:ascii="仿宋_GB2312" w:hAnsi="仿宋_GB2312" w:cs="宋体"/>
                <w:b/>
                <w:color w:val="000000"/>
                <w:kern w:val="0"/>
                <w:szCs w:val="32"/>
              </w:rPr>
              <w:t>专栏</w:t>
            </w:r>
            <w:r>
              <w:rPr>
                <w:rFonts w:hint="eastAsia" w:ascii="仿宋_GB2312" w:hAnsi="仿宋_GB2312" w:cs="宋体"/>
                <w:b/>
                <w:color w:val="000000"/>
                <w:kern w:val="0"/>
                <w:szCs w:val="32"/>
              </w:rPr>
              <w:t>3 筑牢生态安全屏障重点举措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建设以森林为主体的生态屏障，实施水土流失重点区域治理和预防区域防治、天然草原退牧还草和有害生物防治工程。</w:t>
            </w:r>
          </w:p>
          <w:p>
            <w:pPr>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实施林芝市察隅县（BSLL）生态修复、朗县雅江支流（县城—拉多乡）流域污染水体治理、朗县雅江支流登木河流域治理、察隅县察隅河水污染防治建设（第一期）、察隅县察隅河水污染防治建设（第二期）等5个项目，波密县雅江支流波堆藏布重点河段治理、怒江支流德曲重点河段治理、波密县重点生态功能区生态修复等3个项目，朗县雅江朗县段生态治理、察隅县怒江支流康然沟水生态修复、工布江达县朱拉乡水污染防治等3个项目，改善生态环境质量，进一步筑牢生态安全屏障。</w:t>
            </w:r>
          </w:p>
          <w:p>
            <w:pPr>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推进自然保护地整合优化、勘界定标，建立以国家公园为主体的自然保护地体系。</w:t>
            </w:r>
          </w:p>
          <w:p>
            <w:pPr>
              <w:spacing w:line="560" w:lineRule="exact"/>
              <w:ind w:firstLine="645" w:firstLineChars="0"/>
              <w:rPr>
                <w:rFonts w:ascii="仿宋_GB2312" w:hAnsi="仿宋_GB2312" w:cs="宋体"/>
                <w:color w:val="000000"/>
                <w:kern w:val="0"/>
                <w:szCs w:val="32"/>
              </w:rPr>
            </w:pPr>
            <w:r>
              <w:rPr>
                <w:rFonts w:hint="eastAsia" w:ascii="仿宋_GB2312" w:hAnsi="仿宋_GB2312" w:cs="宋体"/>
                <w:color w:val="000000"/>
                <w:kern w:val="0"/>
                <w:szCs w:val="32"/>
              </w:rPr>
              <w:t>落实“三线一单”生态环境分区管控方案。实施生物多样性保护工程，做好外来生物入侵防控、监测预警和防治物资储备等工作，积极推进GLGS（林芝段）生态保护和生物安全工作。</w:t>
            </w:r>
          </w:p>
        </w:tc>
      </w:tr>
    </w:tbl>
    <w:p>
      <w:pPr>
        <w:pStyle w:val="4"/>
        <w:spacing w:before="289" w:after="289" w:line="560" w:lineRule="exact"/>
        <w:rPr>
          <w:rFonts w:ascii="仿宋_GB2312"/>
        </w:rPr>
      </w:pPr>
      <w:bookmarkStart w:id="39" w:name="_Toc82188414"/>
      <w:bookmarkStart w:id="40" w:name="_Toc82189342"/>
      <w:r>
        <w:rPr>
          <w:rFonts w:hint="eastAsia"/>
        </w:rPr>
        <w:t>第四节  持续改善生态环境质量，</w:t>
      </w:r>
      <w:bookmarkEnd w:id="32"/>
      <w:r>
        <w:rPr>
          <w:rFonts w:hint="eastAsia"/>
        </w:rPr>
        <w:t>满足群众优美生态环境需要</w:t>
      </w:r>
      <w:bookmarkEnd w:id="39"/>
      <w:bookmarkEnd w:id="40"/>
    </w:p>
    <w:p>
      <w:pPr>
        <w:spacing w:line="560" w:lineRule="exact"/>
        <w:ind w:firstLine="631"/>
        <w:rPr>
          <w:b/>
          <w:bCs/>
        </w:rPr>
      </w:pPr>
      <w:bookmarkStart w:id="41" w:name="_Toc82188415"/>
      <w:r>
        <w:rPr>
          <w:rFonts w:hint="eastAsia"/>
        </w:rPr>
        <w:t>深入贯彻落实中共中央、国务院关于深入打好污染防治攻坚战的意见，持续巩固污染防治攻坚战阶段性成果，立足林芝实际，结合“11364”发展战略和乡村生态振兴、产业发展、边境建设，加快推动绿色低碳发展，深入打好蓝天、碧水、净土保卫战，不断满足群众对优美生态环境的需要。</w:t>
      </w:r>
      <w:bookmarkEnd w:id="41"/>
    </w:p>
    <w:p>
      <w:pPr>
        <w:spacing w:line="560" w:lineRule="exact"/>
        <w:ind w:firstLine="634"/>
      </w:pPr>
      <w:bookmarkStart w:id="42" w:name="_Toc82188416"/>
      <w:r>
        <w:rPr>
          <w:rFonts w:hint="eastAsia"/>
          <w:b/>
        </w:rPr>
        <w:t>加强大气环境保护。</w:t>
      </w:r>
      <w:r>
        <w:rPr>
          <w:rFonts w:hint="eastAsia"/>
        </w:rPr>
        <w:t>实行最严格的生态保护政策，坚持“三高”企业和项目零审批、零引进。严格实施污染物排放总量控制，落实重点污染源在线监控，将VOC</w:t>
      </w:r>
      <w:r>
        <w:rPr>
          <w:rFonts w:hint="eastAsia"/>
          <w:sz w:val="24"/>
          <w:vertAlign w:val="subscript"/>
        </w:rPr>
        <w:t>S</w:t>
      </w:r>
      <w:r>
        <w:rPr>
          <w:rFonts w:hint="eastAsia"/>
        </w:rPr>
        <w:t>纳入总量控制体系，有效减少重点污染源和全市VOC</w:t>
      </w:r>
      <w:r>
        <w:rPr>
          <w:rFonts w:hint="eastAsia"/>
          <w:sz w:val="28"/>
          <w:szCs w:val="28"/>
          <w:vertAlign w:val="subscript"/>
        </w:rPr>
        <w:t>S</w:t>
      </w:r>
      <w:r>
        <w:rPr>
          <w:rFonts w:hint="eastAsia"/>
        </w:rPr>
        <w:t>和NO</w:t>
      </w:r>
      <w:r>
        <w:rPr>
          <w:rFonts w:hint="eastAsia"/>
          <w:sz w:val="24"/>
          <w:vertAlign w:val="subscript"/>
        </w:rPr>
        <w:t>X</w:t>
      </w:r>
      <w:r>
        <w:rPr>
          <w:rFonts w:hint="eastAsia"/>
        </w:rPr>
        <w:t>排放总量。以城市机动车等移动源、建筑工地扬尘污染防治为重点，建立健全城市扬尘污染防治机制。开展柴油车超标排放专项整治，统筹推进油、路、车治理和机动车污染防治，实施清洁柴油车（机）、清洁运输和清洁油品行动。大力推进城镇周边、主要河湖滩、交通道路沿线等重点区域生态环境修复与治理，减少扬沙扬尘污染。以经开区、构建园等园区为重点，强化工业企业综合治理，全面整治“散乱污”企业，规范报废汽车回收拆解。加强空气质量预测预报能力建设，提升空气质量预报能力。积极应对气候变化，立足生态优势，积极争取适应气候变化重大工程。</w:t>
      </w:r>
      <w:bookmarkEnd w:id="42"/>
    </w:p>
    <w:p>
      <w:pPr>
        <w:widowControl/>
        <w:spacing w:line="560" w:lineRule="exact"/>
        <w:ind w:firstLine="634"/>
        <w:rPr>
          <w:rFonts w:ascii="仿宋_GB2312"/>
          <w:u w:val="single"/>
        </w:rPr>
      </w:pPr>
      <w:bookmarkStart w:id="43" w:name="_Toc75016656"/>
      <w:r>
        <w:rPr>
          <w:rFonts w:hint="eastAsia" w:ascii="仿宋_GB2312"/>
          <w:b/>
          <w:bCs/>
        </w:rPr>
        <w:t>加强水生态环境保护</w:t>
      </w:r>
      <w:bookmarkEnd w:id="43"/>
      <w:r>
        <w:rPr>
          <w:rFonts w:hint="eastAsia" w:ascii="仿宋_GB2312"/>
        </w:rPr>
        <w:t>。落实河长制、湖长制，坚持预防与治理相结合，全面加强江河源头区、水源涵养区等河湖水源地生态保护。加强重点排污单位环境管理，建立健全固定污染源排污许可、入河排污口管理等水生态环境管理制度。</w:t>
      </w:r>
      <w:r>
        <w:rPr>
          <w:rFonts w:hint="eastAsia" w:ascii="仿宋_GB2312" w:hAnsi="仿宋_GB2312" w:cs="宋体"/>
          <w:color w:val="000000"/>
          <w:kern w:val="0"/>
          <w:szCs w:val="32"/>
        </w:rPr>
        <w:t>落实主要污染物排放总量控制目标，</w:t>
      </w:r>
      <w:r>
        <w:rPr>
          <w:rFonts w:hint="eastAsia" w:ascii="仿宋_GB2312"/>
        </w:rPr>
        <w:t>深化污染减排。实施工业污染源全面达标排放计划，加强生活污染源和农业污染源治理。加快建设污水处理设施，实现工业园区、城镇污水处理设施安全规范运行，全面稳定达标排放。保障饮用水水源地和地下水环境安全。完成建制村以上所有饮用水水源地规范化建设与保护，加强水源水到末梢水的全过程管理。逐步开展重点区域地下水水质监测，深化地下水污染防治。</w:t>
      </w:r>
      <w:r>
        <w:rPr>
          <w:rFonts w:hint="eastAsia"/>
        </w:rPr>
        <w:t>提升饮用水水源地环境风险防控能力，推进城市应急水源建设，开展饮用水水源保护区周边区域环境状况和污染风险调查评估，加强应急物资储备，健全水源环境管理档案，定期公开饮用水环境信息</w:t>
      </w:r>
      <w:r>
        <w:rPr>
          <w:rFonts w:hint="eastAsia" w:ascii="仿宋_GB2312"/>
        </w:rPr>
        <w:t>。因地制宜科学选择乡村污水治理技术路线，开展集中或分散的生活污水处理设施试点，整治房前屋后河塘沟渠环境。贯彻落实《西藏自治区江河源保护行动方案》，编制实施水生态环境保护“十四五”要点和江河源保护行动方案，推进水环境调查与质量评估。</w:t>
      </w:r>
      <w:r>
        <w:rPr>
          <w:rFonts w:hint="eastAsia" w:ascii="仿宋_GB2312" w:hAnsi="仿宋_GB2312" w:cs="宋体"/>
          <w:color w:val="000000"/>
          <w:kern w:val="0"/>
          <w:szCs w:val="32"/>
        </w:rPr>
        <w:t>统一规划设置市级水环境监测断面（点位），按规定开展监测</w:t>
      </w:r>
      <w:r>
        <w:rPr>
          <w:rFonts w:hint="eastAsia" w:ascii="仿宋_GB2312"/>
        </w:rPr>
        <w:t>。</w:t>
      </w:r>
      <w:bookmarkStart w:id="44" w:name="_Toc75016659"/>
    </w:p>
    <w:p>
      <w:pPr>
        <w:widowControl/>
        <w:spacing w:line="560" w:lineRule="exact"/>
        <w:ind w:firstLine="634"/>
        <w:rPr>
          <w:rFonts w:ascii="仿宋_GB2312"/>
        </w:rPr>
      </w:pPr>
      <w:r>
        <w:rPr>
          <w:rFonts w:hint="eastAsia" w:ascii="仿宋_GB2312"/>
          <w:b/>
          <w:bCs/>
        </w:rPr>
        <w:t>加强土壤生态环境保护</w:t>
      </w:r>
      <w:bookmarkEnd w:id="44"/>
      <w:r>
        <w:rPr>
          <w:rFonts w:hint="eastAsia" w:ascii="仿宋_GB2312"/>
          <w:b/>
          <w:bCs/>
        </w:rPr>
        <w:t>。</w:t>
      </w:r>
      <w:r>
        <w:rPr>
          <w:rFonts w:hint="eastAsia" w:ascii="仿宋_GB2312"/>
        </w:rPr>
        <w:t>继续实施土壤污染防治行动计划，突出重点区域、行业和污染物，加强土壤污染重点监管单位排污许可管理，推进</w:t>
      </w:r>
      <w:r>
        <w:rPr>
          <w:rFonts w:hint="eastAsia" w:ascii="仿宋_GB2312" w:hAnsi="仿宋_GB2312" w:cs="宋体"/>
          <w:color w:val="000000"/>
          <w:kern w:val="0"/>
          <w:szCs w:val="32"/>
        </w:rPr>
        <w:t>受污染耕地分类管理，落实污染地块准入要求，</w:t>
      </w:r>
      <w:r>
        <w:rPr>
          <w:rFonts w:hint="eastAsia" w:ascii="仿宋_GB2312"/>
        </w:rPr>
        <w:t>完善建设用地土壤污染风险管控和修复名录制度，有效管控农用地和城市建设用地土壤环境风险。以固体废弃物“减量化、无害化、资源化”为原则，加快推进城乡生活垃圾分类，加强塑料污染治理，采用适合高原环境生活垃圾焚烧、餐厨垃圾、建筑垃圾处理工艺，推进可再生资源、废旧物资循环利用。继续推进乡村清洁工程，建立完善乡村生活垃圾收运处置体系。大力推广测土配方施肥，深入实施化肥、农药零增长行动，大力开展有机肥替代化肥试点，推广有机肥大面使用。积极推进农膜有偿回收、农药化肥等包装废弃物安全收集处置设施建设。加强畜禽养殖污染防治，科学划定禁止建设畜禽规模养殖区域，推进养殖废弃物综合利用。深入实施“人畜分离”工程，推进乡村畜牧养殖集中点建设，实现生活区与养殖区相对分离。</w:t>
      </w:r>
    </w:p>
    <w:p>
      <w:pPr>
        <w:widowControl/>
        <w:spacing w:line="560" w:lineRule="exact"/>
        <w:ind w:firstLine="634"/>
        <w:rPr>
          <w:rFonts w:ascii="仿宋_GB2312"/>
        </w:rPr>
      </w:pPr>
      <w:r>
        <w:rPr>
          <w:rFonts w:hint="eastAsia" w:ascii="仿宋_GB2312"/>
          <w:b/>
          <w:bCs/>
        </w:rPr>
        <w:t>落实碳达峰、碳中和工作要求。</w:t>
      </w:r>
      <w:r>
        <w:rPr>
          <w:rFonts w:hint="eastAsia" w:ascii="仿宋_GB2312"/>
        </w:rPr>
        <w:t>严格贯彻落实西藏自治区2030年前碳排放达峰行动方案，实现高质量发展与碳排放达峰协同推进。构建清洁能源低碳安全高效的能源体系，大力推进非化石能源开发利用，加快实施重点水能、太阳能利用工程，建设国家清洁可再生能源利用示范区。实施重点行业领域减污降碳行动，工业领域推进绿色制造，建筑领域提升节能标准，交通领域加快形成绿色低碳运输方式，引进推广应用减污降碳技术。提升生态系统碳汇增量，强化国土空间用途管控和自然生态保护，加强人工造林等工程建设，有效发挥森林、草原、湿地、土壤、冻土的固碳作用。将林芝建成全国首批碳达峰、碳中和城市。</w:t>
      </w:r>
    </w:p>
    <w:p>
      <w:pPr>
        <w:widowControl/>
        <w:spacing w:line="560" w:lineRule="exact"/>
        <w:ind w:firstLine="631"/>
        <w:rPr>
          <w:rFonts w:ascii="仿宋_GB2312"/>
        </w:rPr>
      </w:pPr>
    </w:p>
    <w:p>
      <w:pPr>
        <w:widowControl/>
        <w:spacing w:line="560" w:lineRule="exact"/>
        <w:ind w:firstLine="631"/>
        <w:rPr>
          <w:rFonts w:ascii="仿宋_GB2312"/>
        </w:rPr>
      </w:pPr>
    </w:p>
    <w:p>
      <w:pPr>
        <w:widowControl/>
        <w:spacing w:line="560" w:lineRule="exact"/>
        <w:ind w:firstLine="631"/>
        <w:rPr>
          <w:rFonts w:ascii="仿宋_GB2312"/>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widowControl/>
              <w:spacing w:line="560" w:lineRule="exact"/>
              <w:ind w:firstLine="0" w:firstLineChars="0"/>
              <w:jc w:val="center"/>
              <w:rPr>
                <w:rFonts w:ascii="仿宋_GB2312"/>
                <w:b/>
                <w:szCs w:val="32"/>
              </w:rPr>
            </w:pPr>
            <w:r>
              <w:rPr>
                <w:rFonts w:ascii="仿宋_GB2312"/>
                <w:b/>
                <w:szCs w:val="32"/>
              </w:rPr>
              <w:t>专栏</w:t>
            </w:r>
            <w:r>
              <w:rPr>
                <w:rFonts w:hint="eastAsia" w:ascii="仿宋_GB2312"/>
                <w:b/>
                <w:szCs w:val="32"/>
              </w:rPr>
              <w:t>4  改善生态环境质量重点举措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widowControl/>
              <w:spacing w:line="560" w:lineRule="exact"/>
              <w:ind w:firstLine="631"/>
              <w:rPr>
                <w:rFonts w:ascii="仿宋_GB2312" w:hAnsi="仿宋_GB2312"/>
                <w:color w:val="000000"/>
                <w:szCs w:val="32"/>
              </w:rPr>
            </w:pPr>
            <w:r>
              <w:rPr>
                <w:rFonts w:hint="eastAsia" w:ascii="仿宋_GB2312" w:hAnsi="仿宋_GB2312"/>
                <w:color w:val="000000"/>
                <w:szCs w:val="32"/>
              </w:rPr>
              <w:t>开展重要城镇周边、主要河湖滩、交通道路沿线等重点区域生态环境修复与治理。以重点污染源、城市机动车为重点，推进VOC</w:t>
            </w:r>
            <w:r>
              <w:rPr>
                <w:rFonts w:hint="eastAsia" w:ascii="仿宋_GB2312" w:hAnsi="仿宋_GB2312"/>
                <w:color w:val="000000"/>
                <w:szCs w:val="32"/>
                <w:vertAlign w:val="subscript"/>
              </w:rPr>
              <w:t>S</w:t>
            </w:r>
            <w:r>
              <w:rPr>
                <w:rFonts w:hint="eastAsia" w:ascii="仿宋_GB2312" w:hAnsi="仿宋_GB2312"/>
                <w:color w:val="000000"/>
                <w:szCs w:val="32"/>
              </w:rPr>
              <w:t>治理。</w:t>
            </w:r>
            <w:r>
              <w:rPr>
                <w:rFonts w:hint="eastAsia"/>
              </w:rPr>
              <w:t>落实国家碳排放达峰行动方案，推动落实减污降碳协同增效政策。</w:t>
            </w:r>
          </w:p>
          <w:p>
            <w:pPr>
              <w:widowControl/>
              <w:spacing w:line="560" w:lineRule="exact"/>
              <w:ind w:firstLine="631"/>
              <w:rPr>
                <w:rFonts w:ascii="仿宋_GB2312" w:hAnsi="仿宋_GB2312"/>
                <w:color w:val="000000"/>
                <w:szCs w:val="32"/>
              </w:rPr>
            </w:pPr>
            <w:r>
              <w:rPr>
                <w:rFonts w:hint="eastAsia" w:ascii="仿宋_GB2312" w:hAnsi="仿宋_GB2312"/>
                <w:color w:val="000000"/>
                <w:szCs w:val="32"/>
              </w:rPr>
              <w:t>实施12个（</w:t>
            </w:r>
            <w:r>
              <w:rPr>
                <w:rFonts w:hint="eastAsia" w:ascii="仿宋_GB2312" w:hAnsi="仿宋_GB2312"/>
                <w:b/>
                <w:color w:val="000000"/>
                <w:szCs w:val="32"/>
              </w:rPr>
              <w:t>乡（镇）、农村</w:t>
            </w:r>
            <w:r>
              <w:rPr>
                <w:rFonts w:hint="eastAsia" w:ascii="仿宋_GB2312" w:hAnsi="仿宋_GB2312"/>
                <w:color w:val="000000"/>
                <w:szCs w:val="32"/>
              </w:rPr>
              <w:t>）饮用水水源地保护项目，5县（区）23个村庄农村污水处理项目、7县（区）411个村庄第二批农村污水处理项目，2个农村环境综合整治项目、1个耕地土壤污染防治项目，切实改善生态环境质量。</w:t>
            </w:r>
          </w:p>
          <w:p>
            <w:pPr>
              <w:widowControl/>
              <w:spacing w:line="560" w:lineRule="exact"/>
              <w:ind w:firstLine="0" w:firstLineChars="0"/>
              <w:rPr>
                <w:rFonts w:ascii="仿宋_GB2312"/>
                <w:szCs w:val="32"/>
              </w:rPr>
            </w:pPr>
            <w:r>
              <w:rPr>
                <w:rFonts w:hint="eastAsia" w:ascii="仿宋_GB2312"/>
                <w:szCs w:val="32"/>
              </w:rPr>
              <w:t xml:space="preserve">   建立建设用地土壤污染风险管控和修复名录，有效管控农用地和城市建设用地土壤环境风险。推进城乡生活垃圾分类、乡村清洁工程和“白色污染”“塑料污染”治理。</w:t>
            </w:r>
          </w:p>
          <w:p>
            <w:pPr>
              <w:widowControl/>
              <w:spacing w:line="560" w:lineRule="exact"/>
              <w:ind w:firstLine="629" w:firstLineChars="199"/>
              <w:rPr>
                <w:rFonts w:ascii="仿宋_GB2312"/>
                <w:color w:val="FF0000"/>
                <w:szCs w:val="32"/>
                <w:u w:val="single"/>
              </w:rPr>
            </w:pPr>
            <w:r>
              <w:rPr>
                <w:rFonts w:hint="eastAsia" w:ascii="仿宋_GB2312" w:hAnsi="仿宋_GB2312"/>
                <w:color w:val="000000"/>
                <w:szCs w:val="32"/>
              </w:rPr>
              <w:t>落实自治区2030年前碳排放达峰行动方案，大力推进非化石能源开发利用，加快实施重点水能、太阳能利用工程，建设国家清洁可再生能源利用示范区。</w:t>
            </w:r>
          </w:p>
        </w:tc>
      </w:tr>
    </w:tbl>
    <w:p>
      <w:pPr>
        <w:pStyle w:val="4"/>
        <w:spacing w:before="289" w:after="289" w:line="560" w:lineRule="exact"/>
        <w:rPr>
          <w:sz w:val="48"/>
          <w:szCs w:val="48"/>
        </w:rPr>
      </w:pPr>
      <w:bookmarkStart w:id="45" w:name="_Toc75016661"/>
      <w:bookmarkStart w:id="46" w:name="_Toc82189343"/>
      <w:bookmarkStart w:id="47" w:name="_Toc82188417"/>
      <w:r>
        <w:rPr>
          <w:rFonts w:hint="eastAsia"/>
        </w:rPr>
        <w:t>第五节  加强生态环境风险防控，</w:t>
      </w:r>
      <w:bookmarkEnd w:id="45"/>
      <w:r>
        <w:rPr>
          <w:rFonts w:hint="eastAsia"/>
        </w:rPr>
        <w:t>助力社会大局稳定</w:t>
      </w:r>
      <w:bookmarkEnd w:id="46"/>
      <w:bookmarkEnd w:id="47"/>
    </w:p>
    <w:p>
      <w:pPr>
        <w:widowControl/>
        <w:spacing w:line="560" w:lineRule="exact"/>
        <w:ind w:firstLine="631"/>
        <w:rPr>
          <w:rFonts w:ascii="仿宋_GB2312"/>
        </w:rPr>
      </w:pPr>
      <w:bookmarkStart w:id="48" w:name="_Toc75016662"/>
      <w:r>
        <w:rPr>
          <w:rFonts w:hint="eastAsia" w:ascii="仿宋_GB2312"/>
        </w:rPr>
        <w:t>着力推动危险废物处置能力与产废情况总体匹配，加快完善医疗废物收集转运处置体系，加强环境风险预警防控和环境应急能力建设，切实防范环境风险。</w:t>
      </w:r>
    </w:p>
    <w:p>
      <w:pPr>
        <w:widowControl/>
        <w:spacing w:line="560" w:lineRule="exact"/>
        <w:ind w:firstLine="634"/>
        <w:rPr>
          <w:rFonts w:ascii="仿宋_GB2312"/>
        </w:rPr>
      </w:pPr>
      <w:r>
        <w:rPr>
          <w:rFonts w:hint="eastAsia" w:ascii="仿宋_GB2312"/>
          <w:b/>
          <w:bCs/>
        </w:rPr>
        <w:t>提升危险废物收集处置利用能力</w:t>
      </w:r>
      <w:r>
        <w:rPr>
          <w:rFonts w:hint="eastAsia" w:ascii="仿宋_GB2312"/>
        </w:rPr>
        <w:t>。推进危险废物集中处置设施建设，</w:t>
      </w:r>
      <w:r>
        <w:rPr>
          <w:rFonts w:hint="eastAsia" w:ascii="仿宋_GB2312" w:hAnsi="仿宋_GB2312" w:cs="宋体"/>
          <w:color w:val="000000"/>
          <w:kern w:val="0"/>
          <w:szCs w:val="32"/>
        </w:rPr>
        <w:t>提升危险废物综合利用率和无害化处置能力。</w:t>
      </w:r>
      <w:r>
        <w:rPr>
          <w:rFonts w:hint="eastAsia" w:ascii="仿宋_GB2312"/>
        </w:rPr>
        <w:t>开展重点行业危险废物产生、贮存、利用、处置情况调查，</w:t>
      </w:r>
      <w:r>
        <w:rPr>
          <w:rFonts w:hint="eastAsia" w:ascii="仿宋_GB2312" w:hAnsi="仿宋_GB2312" w:cs="宋体"/>
          <w:color w:val="000000"/>
          <w:kern w:val="0"/>
          <w:szCs w:val="32"/>
        </w:rPr>
        <w:t>全面开展危险废物申报登记工作，建立健全全市危险废物产排情况及处置情况登记和跟踪机制</w:t>
      </w:r>
      <w:r>
        <w:rPr>
          <w:rFonts w:hint="eastAsia" w:ascii="仿宋_GB2312"/>
        </w:rPr>
        <w:t>。完善危险废物经营许可、转移等管理制度，加强固体废物信息化监管体系能力建设，</w:t>
      </w:r>
      <w:r>
        <w:rPr>
          <w:rFonts w:hint="eastAsia" w:ascii="仿宋_GB2312" w:hAnsi="仿宋_GB2312" w:cs="宋体"/>
          <w:color w:val="000000"/>
          <w:kern w:val="0"/>
          <w:szCs w:val="32"/>
        </w:rPr>
        <w:t>建立工作协调联动机制，</w:t>
      </w:r>
      <w:r>
        <w:rPr>
          <w:rFonts w:hint="eastAsia" w:ascii="仿宋_GB2312"/>
        </w:rPr>
        <w:t>实施全过程监管。</w:t>
      </w:r>
      <w:r>
        <w:rPr>
          <w:rFonts w:hint="eastAsia" w:ascii="仿宋_GB2312" w:hAnsi="仿宋_GB2312" w:cs="宋体"/>
          <w:color w:val="000000"/>
          <w:kern w:val="0"/>
          <w:szCs w:val="32"/>
        </w:rPr>
        <w:t>严厉惩处非法排放、转移、倾倒、处置危险废物等环境违法犯罪行为。加强医疗废物监管，提升医疗废物应急处理能力。优化现有医疗废物收集转运体系，加强医疗废物收集管理，规范医疗废物转运，实现市、县两级医疗废物统一收集、统一处置、统一监管。加快市医疗废物处置中心升级改造项目建设，全面提升医疗废物处置水平和应对疫情的能力。围绕</w:t>
      </w:r>
      <w:r>
        <w:rPr>
          <w:rFonts w:hint="eastAsia" w:ascii="仿宋_GB2312"/>
        </w:rPr>
        <w:t>汽车修理、水电站等重点行业，</w:t>
      </w:r>
      <w:r>
        <w:rPr>
          <w:rFonts w:hint="eastAsia" w:ascii="仿宋_GB2312" w:hAnsi="仿宋_GB2312" w:cs="宋体"/>
          <w:color w:val="000000"/>
          <w:kern w:val="0"/>
          <w:szCs w:val="32"/>
        </w:rPr>
        <w:t>深入开展危险废物专项整治，</w:t>
      </w:r>
      <w:r>
        <w:rPr>
          <w:rFonts w:hint="eastAsia" w:ascii="仿宋_GB2312"/>
        </w:rPr>
        <w:t>严厉打击涉危险废物环境违法行为。依托危废收贮单位，建立危险废物培训观摩基地。</w:t>
      </w:r>
    </w:p>
    <w:p>
      <w:pPr>
        <w:widowControl/>
        <w:spacing w:line="560" w:lineRule="exact"/>
        <w:ind w:firstLine="634"/>
        <w:rPr>
          <w:rFonts w:ascii="仿宋_GB2312" w:hAnsi="宋体" w:cs="宋体"/>
          <w:kern w:val="0"/>
          <w:sz w:val="24"/>
        </w:rPr>
      </w:pPr>
      <w:r>
        <w:rPr>
          <w:rFonts w:hint="eastAsia" w:ascii="仿宋_GB2312"/>
          <w:b/>
          <w:bCs/>
        </w:rPr>
        <w:t>加强环境风险预警防控。</w:t>
      </w:r>
      <w:r>
        <w:rPr>
          <w:rFonts w:hint="eastAsia" w:ascii="仿宋_GB2312"/>
        </w:rPr>
        <w:t>加强环境风险评估与源头防控，加强涉危涉重企业、工业园区、集中式饮用水水源地及重点流域环境风险调查评估，实施分类分级风险管控。</w:t>
      </w:r>
      <w:bookmarkStart w:id="49" w:name="_Toc75016664"/>
      <w:r>
        <w:rPr>
          <w:rFonts w:hint="eastAsia" w:ascii="仿宋_GB2312"/>
        </w:rPr>
        <w:t>建立环评审批</w:t>
      </w:r>
      <w:bookmarkEnd w:id="49"/>
      <w:r>
        <w:rPr>
          <w:rFonts w:hint="eastAsia" w:ascii="仿宋_GB2312"/>
        </w:rPr>
        <w:t>与环境风险防范联动制度，从源头落实环境风险防范措施</w:t>
      </w:r>
      <w:r>
        <w:rPr>
          <w:rFonts w:hint="eastAsia" w:ascii="仿宋_GB2312" w:hAnsi="仿宋_GB2312" w:cs="宋体"/>
          <w:color w:val="000000"/>
          <w:kern w:val="0"/>
          <w:szCs w:val="32"/>
        </w:rPr>
        <w:t>。加</w:t>
      </w:r>
      <w:r>
        <w:rPr>
          <w:rFonts w:hint="eastAsia" w:ascii="仿宋_GB2312"/>
        </w:rPr>
        <w:t>强生态环境应急管理，建立健全环境风险防控责任制和企业环境风险防控体系。落实企业环境应急预案备案制度，</w:t>
      </w:r>
      <w:r>
        <w:rPr>
          <w:rFonts w:hint="eastAsia" w:ascii="仿宋_GB2312" w:hAnsi="仿宋_GB2312" w:cs="宋体"/>
          <w:color w:val="000000"/>
          <w:kern w:val="0"/>
          <w:szCs w:val="32"/>
        </w:rPr>
        <w:t>强化风险源排查，建立环境风险源数据库，</w:t>
      </w:r>
      <w:r>
        <w:rPr>
          <w:rFonts w:hint="eastAsia" w:ascii="仿宋_GB2312"/>
        </w:rPr>
        <w:t>对环境风险企业和污染物排放实施清单管理，划定高风险区域，</w:t>
      </w:r>
      <w:r>
        <w:rPr>
          <w:rFonts w:hint="eastAsia" w:ascii="仿宋_GB2312" w:hAnsi="仿宋_GB2312" w:cs="宋体"/>
          <w:color w:val="000000"/>
          <w:kern w:val="0"/>
          <w:szCs w:val="32"/>
        </w:rPr>
        <w:t>提升风险管理水平，最大限度降低事故风险。</w:t>
      </w:r>
    </w:p>
    <w:p>
      <w:pPr>
        <w:widowControl/>
        <w:spacing w:line="560" w:lineRule="exact"/>
        <w:ind w:firstLine="634"/>
        <w:rPr>
          <w:rFonts w:ascii="仿宋_GB2312" w:hAnsi="仿宋_GB2312" w:cs="宋体"/>
          <w:color w:val="000000"/>
          <w:kern w:val="0"/>
          <w:szCs w:val="32"/>
        </w:rPr>
      </w:pPr>
      <w:r>
        <w:rPr>
          <w:rFonts w:hint="eastAsia" w:ascii="仿宋_GB2312"/>
          <w:b/>
          <w:bCs/>
        </w:rPr>
        <w:t>加强环境应急能力建设。</w:t>
      </w:r>
      <w:r>
        <w:rPr>
          <w:rFonts w:hint="eastAsia" w:ascii="仿宋_GB2312"/>
        </w:rPr>
        <w:t>建立健全市、县环境应急机构，逐步落实专兼职应急人员，确保工作正常开展。加强市、县两级环境应急物资储备，落实企业环境应急装备和物资储备。加强核与辐射安全监管，配合自治区开展辐射环境应急工作。健全市、县两级环境应急管理体系，完善突发环境事件应急机制，提高突发环境事件应对能力，规范处理处置突发环境污染事件。加强地质灾害次生突发环境事件风险防范能力建设。</w:t>
      </w:r>
      <w:bookmarkEnd w:id="48"/>
      <w:r>
        <w:rPr>
          <w:rFonts w:hint="eastAsia" w:ascii="仿宋_GB2312"/>
        </w:rPr>
        <w:t>逐步开展</w:t>
      </w:r>
      <w:r>
        <w:rPr>
          <w:rFonts w:hint="eastAsia" w:ascii="仿宋_GB2312" w:hAnsi="仿宋_GB2312" w:cs="宋体"/>
          <w:color w:val="000000"/>
          <w:kern w:val="0"/>
          <w:szCs w:val="32"/>
        </w:rPr>
        <w:t>应急能力标准化建设，加强应急防护、救援、处置、调查装备配置，重点加强应急车辆配置，着力解决环境应急管理工作发展的硬约束，配备环境应急监测仪器、设备，提高环境应急监测时效性。推进重点企业环境风险防控应急体系建设、制定风险应急预案并定期开展培训指导和防控演练、落实环境风险防范工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widowControl/>
              <w:spacing w:line="560" w:lineRule="exact"/>
              <w:ind w:firstLine="0" w:firstLineChars="0"/>
              <w:jc w:val="center"/>
              <w:rPr>
                <w:rFonts w:ascii="仿宋_GB2312" w:hAnsi="仿宋_GB2312" w:cs="宋体"/>
                <w:b/>
                <w:color w:val="000000"/>
                <w:kern w:val="0"/>
                <w:szCs w:val="32"/>
              </w:rPr>
            </w:pPr>
            <w:r>
              <w:rPr>
                <w:rFonts w:ascii="仿宋_GB2312" w:hAnsi="仿宋_GB2312" w:cs="宋体"/>
                <w:b/>
                <w:color w:val="000000"/>
                <w:kern w:val="0"/>
                <w:szCs w:val="32"/>
              </w:rPr>
              <w:t>专栏</w:t>
            </w:r>
            <w:r>
              <w:rPr>
                <w:rFonts w:hint="eastAsia" w:ascii="仿宋_GB2312" w:hAnsi="仿宋_GB2312" w:cs="宋体"/>
                <w:b/>
                <w:color w:val="000000"/>
                <w:kern w:val="0"/>
                <w:szCs w:val="32"/>
              </w:rPr>
              <w:t>5  环境风险防控重点举措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widowControl/>
              <w:spacing w:line="560" w:lineRule="exact"/>
              <w:ind w:firstLine="645" w:firstLineChars="0"/>
              <w:rPr>
                <w:rFonts w:ascii="仿宋_GB2312" w:hAnsi="仿宋_GB2312" w:cs="宋体"/>
                <w:color w:val="000000"/>
                <w:kern w:val="0"/>
                <w:szCs w:val="32"/>
              </w:rPr>
            </w:pPr>
            <w:r>
              <w:rPr>
                <w:rFonts w:hint="eastAsia" w:ascii="仿宋_GB2312" w:hAnsi="仿宋_GB2312" w:cs="宋体"/>
                <w:color w:val="000000"/>
                <w:kern w:val="0"/>
                <w:szCs w:val="32"/>
              </w:rPr>
              <w:t>完成市医疗废物处置中心提标改造项目建设，新建林芝市危险废物收集贮存中心、2座小型医疗废物处置中心。以</w:t>
            </w:r>
            <w:r>
              <w:rPr>
                <w:rFonts w:hint="eastAsia" w:ascii="仿宋_GB2312"/>
              </w:rPr>
              <w:t>汽车修理、水电站等行业为重点，开展专项整治，打击环境违法行为。</w:t>
            </w:r>
          </w:p>
          <w:p>
            <w:pPr>
              <w:widowControl/>
              <w:spacing w:line="560" w:lineRule="exact"/>
              <w:ind w:firstLine="645" w:firstLineChars="0"/>
              <w:rPr>
                <w:rFonts w:ascii="仿宋_GB2312" w:hAnsi="仿宋_GB2312" w:cs="宋体"/>
                <w:color w:val="000000"/>
                <w:kern w:val="0"/>
                <w:szCs w:val="32"/>
              </w:rPr>
            </w:pPr>
            <w:r>
              <w:rPr>
                <w:rFonts w:hint="eastAsia" w:ascii="仿宋_GB2312"/>
              </w:rPr>
              <w:t>建立健全环境风险防控责任制、企业环境风险防控体系和</w:t>
            </w:r>
            <w:r>
              <w:rPr>
                <w:rFonts w:ascii="仿宋_GB2312" w:hAnsi="仿宋_GB2312" w:cs="宋体"/>
                <w:color w:val="000000"/>
                <w:kern w:val="0"/>
                <w:szCs w:val="32"/>
              </w:rPr>
              <w:t>市</w:t>
            </w:r>
            <w:r>
              <w:rPr>
                <w:rFonts w:hint="eastAsia" w:ascii="仿宋_GB2312" w:hAnsi="仿宋_GB2312" w:cs="宋体"/>
                <w:color w:val="000000"/>
                <w:kern w:val="0"/>
                <w:szCs w:val="32"/>
              </w:rPr>
              <w:t>、</w:t>
            </w:r>
            <w:r>
              <w:rPr>
                <w:rFonts w:ascii="仿宋_GB2312" w:hAnsi="仿宋_GB2312" w:cs="宋体"/>
                <w:color w:val="000000"/>
                <w:kern w:val="0"/>
                <w:szCs w:val="32"/>
              </w:rPr>
              <w:t>县</w:t>
            </w:r>
            <w:r>
              <w:rPr>
                <w:rFonts w:hint="eastAsia" w:ascii="仿宋_GB2312" w:hAnsi="仿宋_GB2312" w:cs="宋体"/>
                <w:color w:val="000000"/>
                <w:kern w:val="0"/>
                <w:szCs w:val="32"/>
              </w:rPr>
              <w:t>（区）两级环境应急管理体系，</w:t>
            </w:r>
            <w:r>
              <w:rPr>
                <w:rFonts w:ascii="仿宋_GB2312" w:hAnsi="仿宋_GB2312" w:cs="宋体"/>
                <w:color w:val="000000"/>
                <w:kern w:val="0"/>
                <w:szCs w:val="32"/>
              </w:rPr>
              <w:t>加强市</w:t>
            </w:r>
            <w:r>
              <w:rPr>
                <w:rFonts w:hint="eastAsia" w:ascii="仿宋_GB2312" w:hAnsi="仿宋_GB2312" w:cs="宋体"/>
                <w:color w:val="000000"/>
                <w:kern w:val="0"/>
                <w:szCs w:val="32"/>
              </w:rPr>
              <w:t>、</w:t>
            </w:r>
            <w:r>
              <w:rPr>
                <w:rFonts w:ascii="仿宋_GB2312" w:hAnsi="仿宋_GB2312" w:cs="宋体"/>
                <w:color w:val="000000"/>
                <w:kern w:val="0"/>
                <w:szCs w:val="32"/>
              </w:rPr>
              <w:t>县</w:t>
            </w:r>
            <w:r>
              <w:rPr>
                <w:rFonts w:hint="eastAsia" w:ascii="仿宋_GB2312" w:hAnsi="仿宋_GB2312" w:cs="宋体"/>
                <w:color w:val="000000"/>
                <w:kern w:val="0"/>
                <w:szCs w:val="32"/>
              </w:rPr>
              <w:t>（区）两级环境应急物资储备，提高环境应急能力。</w:t>
            </w:r>
          </w:p>
        </w:tc>
      </w:tr>
    </w:tbl>
    <w:p>
      <w:pPr>
        <w:pStyle w:val="4"/>
        <w:spacing w:before="289" w:after="289" w:line="560" w:lineRule="exact"/>
      </w:pPr>
      <w:bookmarkStart w:id="50" w:name="_Toc82189344"/>
      <w:r>
        <w:rPr>
          <w:rFonts w:hint="eastAsia"/>
          <w:color w:val="000000"/>
          <w:kern w:val="0"/>
        </w:rPr>
        <w:t xml:space="preserve">第六节  </w:t>
      </w:r>
      <w:r>
        <w:rPr>
          <w:rFonts w:hint="eastAsia"/>
        </w:rPr>
        <w:t>加强环保能力建设，提升监测监管能力</w:t>
      </w:r>
      <w:bookmarkEnd w:id="50"/>
    </w:p>
    <w:p>
      <w:pPr>
        <w:spacing w:line="560" w:lineRule="exact"/>
        <w:ind w:firstLine="631"/>
        <w:rPr>
          <w:rFonts w:ascii="仿宋_GB2312" w:hAnsi="仿宋_GB2312" w:cs="仿宋_GB2312"/>
          <w:color w:val="000000"/>
          <w:kern w:val="0"/>
          <w:szCs w:val="32"/>
        </w:rPr>
      </w:pPr>
      <w:r>
        <w:rPr>
          <w:rFonts w:hint="eastAsia" w:ascii="仿宋_GB2312" w:hAnsi="仿宋_GB2312" w:cs="仿宋_GB2312"/>
          <w:color w:val="000000"/>
          <w:kern w:val="0"/>
          <w:szCs w:val="32"/>
        </w:rPr>
        <w:t>强化生态环境执法、监测队伍建设，充分</w:t>
      </w:r>
      <w:r>
        <w:rPr>
          <w:rFonts w:hint="eastAsia" w:ascii="仿宋_GB2312"/>
          <w:szCs w:val="32"/>
        </w:rPr>
        <w:t>利用信息化、科技化、智能化手段，持续提升环境监测、综合执法能力，全面提升全市生态环境保护监管能力和水平。</w:t>
      </w:r>
    </w:p>
    <w:p>
      <w:pPr>
        <w:spacing w:line="560" w:lineRule="exact"/>
        <w:ind w:firstLine="634"/>
        <w:rPr>
          <w:rFonts w:ascii="仿宋_GB2312" w:hAnsi="仿宋_GB2312" w:cs="仿宋_GB2312"/>
          <w:color w:val="000000"/>
          <w:kern w:val="0"/>
          <w:szCs w:val="32"/>
        </w:rPr>
      </w:pPr>
      <w:r>
        <w:rPr>
          <w:rFonts w:hint="eastAsia" w:ascii="仿宋_GB2312" w:hAnsi="仿宋_GB2312" w:cs="仿宋_GB2312"/>
          <w:b/>
          <w:bCs/>
          <w:color w:val="000000"/>
          <w:kern w:val="0"/>
          <w:szCs w:val="32"/>
        </w:rPr>
        <w:t>加强生态环境队伍能力建设</w:t>
      </w:r>
      <w:r>
        <w:rPr>
          <w:rFonts w:hint="eastAsia" w:ascii="仿宋_GB2312" w:hAnsi="仿宋_GB2312" w:cs="仿宋_GB2312"/>
          <w:color w:val="000000"/>
          <w:kern w:val="0"/>
          <w:szCs w:val="32"/>
        </w:rPr>
        <w:t>。深入推进生态环境部门机构改革，顺应生态环境部门人员队伍管理新体制新要求，坚持党管人才原则，加强对全市生态环境人才队伍建设的组织领导，积极协调同级机构编制和组织人事部门，加强基层生态环境人才队伍建设。注重培训管理，落实年度培训计划，坚持培训问题导向，围绕重点难点工作和急需紧缺业务领域，依托内地省市对口援藏优势，实施“培训行动计划”，加大干部人才双向交流培养，每年选派干部到内地省市学习深造，同时邀请内地省市生态环境系统业务干部赴林芝“传帮带”。强化干部实践锻炼，提高综合素质和能力。探索各县（区）分局干部骨干到市局挂职和学习锻炼。注重选派市局干部到基层锻炼。强化职业道德教育，弘扬中国环保铁军精神。</w:t>
      </w:r>
    </w:p>
    <w:p>
      <w:pPr>
        <w:spacing w:line="560" w:lineRule="exact"/>
        <w:ind w:firstLine="634"/>
        <w:rPr>
          <w:rFonts w:ascii="仿宋_GB2312" w:hAnsi="仿宋_GB2312" w:cs="宋体"/>
          <w:color w:val="000000"/>
          <w:kern w:val="0"/>
          <w:szCs w:val="32"/>
        </w:rPr>
      </w:pPr>
      <w:r>
        <w:rPr>
          <w:rFonts w:hint="eastAsia" w:ascii="仿宋_GB2312" w:hAnsi="仿宋_GB2312" w:cs="宋体"/>
          <w:b/>
          <w:bCs/>
          <w:color w:val="000000"/>
          <w:kern w:val="0"/>
          <w:szCs w:val="32"/>
        </w:rPr>
        <w:t>加强环境监测执法能力建设</w:t>
      </w:r>
      <w:r>
        <w:rPr>
          <w:rFonts w:hint="eastAsia" w:ascii="仿宋_GB2312" w:hAnsi="仿宋_GB2312" w:cs="宋体"/>
          <w:color w:val="000000"/>
          <w:kern w:val="0"/>
          <w:szCs w:val="32"/>
        </w:rPr>
        <w:t>。深入推进环境监测管理体制改革和机构标准化建设，建立健全环境监测机构队伍。加快推进巴宜、波密两个片区环境监测站建设，尽快形成市级监测能力。加快国家重点生态功能区考核县环境空气质量自动监测网络建设。支持参与林芝生态监测站工作，加强数据整理分析，提高生态环境保护工作效率。完善重点监控企业污染物排放在线监控系统，构建全市重点排污单位监测数据传输网络和预警系统，实现重点排污单位监测信息全市联网。落实企业自行监测和生态环境部门执法监测，及时评价污染源排放情况并发布监测结果。深化生态环境保护综合行政执法改革，依法统一行使生态环境保护执法职能。加强执法队伍建设，强化属地生态环境执法，配备调查取证、移动执法、数据分析等装备，确保仪器装备、人员等满足监管需要，保障一线生态环境执法用车。强化行政执法职能，建立执法人员资格管理制度，统一着装、证件、车辆及执法装备，将执法监测费用纳入执法经费予以保障。落实乡（镇）生态环境保护责任制度，逐步建立乡（镇）网格化生态环境监测体系。配合自治区加快建立生态保护红线监测平台，以自然保护地、生态保护红线为重点，完善执法信息移交、反馈机制。建立全市区域协作机制，推进环境污染联防联控，加强联合执法、交叉执法，推进与自然资源、水利、林草等部门协同执法。完善行政执法与刑事司法衔接机制。</w:t>
      </w:r>
      <w:r>
        <w:rPr>
          <w:rFonts w:hint="eastAsia" w:ascii="仿宋_GB2312" w:hAnsi="仿宋_GB2312" w:cs="仿宋_GB2312"/>
          <w:color w:val="000000"/>
          <w:kern w:val="0"/>
          <w:szCs w:val="32"/>
        </w:rPr>
        <w:t>探索建立环境监测、环境执法、环境应急等业务领域的实训基地和现场教学点，加强实践培训，提升环境监测执法人员实际操作和解决问题能力。</w:t>
      </w:r>
      <w:r>
        <w:rPr>
          <w:rFonts w:hint="eastAsia" w:ascii="仿宋_GB2312" w:hAnsi="仿宋_GB2312" w:cs="宋体"/>
          <w:color w:val="000000"/>
          <w:kern w:val="0"/>
          <w:szCs w:val="32"/>
        </w:rPr>
        <w:t>推进“互联网+监管”应用。</w:t>
      </w: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p>
      <w:pPr>
        <w:spacing w:line="560" w:lineRule="exact"/>
        <w:ind w:firstLine="631"/>
        <w:rPr>
          <w:rFonts w:ascii="仿宋_GB2312" w:hAnsi="仿宋_GB2312" w:cs="宋体"/>
          <w:color w:val="000000"/>
          <w:kern w:val="0"/>
          <w:szCs w:val="32"/>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0" w:firstLineChars="0"/>
              <w:jc w:val="center"/>
              <w:rPr>
                <w:rFonts w:ascii="仿宋_GB2312" w:hAnsi="仿宋_GB2312" w:cs="仿宋_GB2312"/>
                <w:b/>
                <w:color w:val="000000"/>
                <w:kern w:val="0"/>
                <w:szCs w:val="32"/>
              </w:rPr>
            </w:pPr>
            <w:r>
              <w:rPr>
                <w:rFonts w:ascii="仿宋_GB2312" w:hAnsi="仿宋_GB2312" w:cs="仿宋_GB2312"/>
                <w:b/>
                <w:color w:val="000000"/>
                <w:kern w:val="0"/>
                <w:szCs w:val="32"/>
              </w:rPr>
              <w:t>专栏</w:t>
            </w:r>
            <w:r>
              <w:rPr>
                <w:rFonts w:hint="eastAsia" w:ascii="仿宋_GB2312" w:hAnsi="仿宋_GB2312" w:cs="仿宋_GB2312"/>
                <w:b/>
                <w:color w:val="000000"/>
                <w:kern w:val="0"/>
                <w:szCs w:val="32"/>
              </w:rPr>
              <w:t>6  加强环保能力建设重点举措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tcPr>
          <w:p>
            <w:pPr>
              <w:spacing w:line="560" w:lineRule="exact"/>
              <w:ind w:firstLine="0" w:firstLineChars="0"/>
              <w:rPr>
                <w:rFonts w:ascii="仿宋_GB2312" w:hAnsi="仿宋_GB2312" w:cs="仿宋_GB2312"/>
                <w:kern w:val="0"/>
                <w:szCs w:val="32"/>
              </w:rPr>
            </w:pPr>
            <w:r>
              <w:rPr>
                <w:rFonts w:hint="eastAsia" w:ascii="仿宋_GB2312" w:hAnsi="仿宋_GB2312" w:cs="仿宋_GB2312"/>
                <w:color w:val="000000"/>
                <w:kern w:val="0"/>
                <w:szCs w:val="32"/>
              </w:rPr>
              <w:t xml:space="preserve">    利用内地省市对口援藏平台，加大本地干部赴内地挂职、学习力度。探索市、县（区）生态环境系统干部横向、纵向交流机制。完成2个片区环境监测站项目建设。</w:t>
            </w:r>
            <w:r>
              <w:rPr>
                <w:rFonts w:hint="eastAsia" w:ascii="仿宋_GB2312" w:hAnsi="仿宋_GB2312" w:cs="仿宋_GB2312"/>
                <w:kern w:val="0"/>
                <w:szCs w:val="32"/>
              </w:rPr>
              <w:t>新建3座空气质量自动监测站、3座水质站、林芝市巴宜区噪声自动监测站。实施林芝市环境监测中心实验室升级改造暨监测能力建设项目，建设林芝市核与辐射环境应急实验室，提高监测能力。</w:t>
            </w:r>
          </w:p>
          <w:p>
            <w:pPr>
              <w:spacing w:line="560" w:lineRule="exact"/>
              <w:ind w:firstLine="645" w:firstLineChars="0"/>
              <w:rPr>
                <w:rFonts w:ascii="仿宋_GB2312" w:hAnsi="仿宋_GB2312" w:cs="仿宋_GB2312"/>
                <w:color w:val="000000"/>
                <w:kern w:val="0"/>
                <w:szCs w:val="32"/>
              </w:rPr>
            </w:pPr>
            <w:r>
              <w:rPr>
                <w:rFonts w:hint="eastAsia" w:ascii="仿宋_GB2312" w:hAnsi="仿宋_GB2312" w:cs="仿宋_GB2312"/>
                <w:color w:val="000000"/>
                <w:kern w:val="0"/>
                <w:szCs w:val="32"/>
              </w:rPr>
              <w:t>开展林芝市生态环境智慧环保政务平台、林芝市智慧环保应用平台建设，提升生态环境保护监管治理智能化、科技化水平。</w:t>
            </w:r>
          </w:p>
          <w:p>
            <w:pPr>
              <w:spacing w:line="560" w:lineRule="exact"/>
              <w:ind w:firstLine="645" w:firstLineChars="0"/>
              <w:rPr>
                <w:rFonts w:ascii="仿宋_GB2312" w:hAnsi="仿宋_GB2312" w:cs="仿宋_GB2312"/>
                <w:color w:val="000000"/>
                <w:kern w:val="0"/>
                <w:szCs w:val="32"/>
              </w:rPr>
            </w:pPr>
            <w:r>
              <w:rPr>
                <w:rFonts w:hint="eastAsia" w:ascii="仿宋_GB2312" w:hAnsi="仿宋_GB2312" w:cs="仿宋_GB2312"/>
                <w:color w:val="000000"/>
                <w:kern w:val="0"/>
                <w:szCs w:val="32"/>
              </w:rPr>
              <w:t>完成生态环境保护综合行政执法改革任务，保障基层执法监管装备、车辆，探索多部门联动执法机制，进一步提高执法能力。</w:t>
            </w:r>
          </w:p>
        </w:tc>
      </w:tr>
    </w:tbl>
    <w:p>
      <w:pPr>
        <w:pStyle w:val="4"/>
        <w:spacing w:before="289" w:after="289" w:line="560" w:lineRule="exact"/>
        <w:rPr>
          <w:rFonts w:ascii="仿宋_GB2312"/>
          <w:u w:val="single"/>
        </w:rPr>
      </w:pPr>
      <w:bookmarkStart w:id="51" w:name="_Toc82189345"/>
      <w:r>
        <w:rPr>
          <w:rFonts w:hint="eastAsia"/>
        </w:rPr>
        <w:t>第七节  构建现代环境治理体系</w:t>
      </w:r>
      <w:bookmarkStart w:id="52" w:name="_Toc75016675"/>
      <w:r>
        <w:rPr>
          <w:rFonts w:hint="eastAsia"/>
        </w:rPr>
        <w:t>，提升生态环境管治水平</w:t>
      </w:r>
      <w:bookmarkEnd w:id="51"/>
      <w:bookmarkEnd w:id="52"/>
      <w:bookmarkStart w:id="53" w:name="第一章"/>
      <w:bookmarkEnd w:id="53"/>
    </w:p>
    <w:p>
      <w:pPr>
        <w:spacing w:line="560" w:lineRule="exact"/>
        <w:ind w:firstLine="631"/>
        <w:rPr>
          <w:rFonts w:ascii="仿宋_GB2312" w:hAnsi="宋体" w:cs="宋体"/>
          <w:szCs w:val="32"/>
        </w:rPr>
      </w:pPr>
      <w:r>
        <w:rPr>
          <w:rFonts w:hint="eastAsia" w:ascii="仿宋_GB2312"/>
          <w:szCs w:val="32"/>
        </w:rPr>
        <w:t>坚持新发展理念，落实高质量发展要求，以改善环境质量为核心，以改革为动力，以法治为保障，以实现环境治理体系和治理能力现代化为目标，</w:t>
      </w:r>
      <w:r>
        <w:rPr>
          <w:rFonts w:hint="eastAsia" w:ascii="仿宋_GB2312" w:hAnsi="宋体" w:cs="宋体"/>
          <w:szCs w:val="32"/>
        </w:rPr>
        <w:t>建立健全生态环境治理的领导责任体系、企业责任体系、全民行动体系、监管体系、市场体系、信用体系、法规政策体系，落实各类主体责任，形成导向清晰、决策科学、执行有力、激励有效、多元参与、良性互动的现代环境治理体系。为巩固国家生态文明建设示范市，建设生态文明高地，创建国家制度保障。</w:t>
      </w:r>
    </w:p>
    <w:p>
      <w:pPr>
        <w:spacing w:line="560" w:lineRule="exact"/>
        <w:ind w:firstLine="634"/>
        <w:rPr>
          <w:rFonts w:ascii="仿宋_GB2312" w:hAnsi="宋体" w:cs="宋体"/>
          <w:szCs w:val="32"/>
        </w:rPr>
      </w:pPr>
      <w:r>
        <w:rPr>
          <w:rFonts w:hint="eastAsia" w:ascii="仿宋_GB2312" w:hAnsi="宋体" w:cs="宋体"/>
          <w:b/>
          <w:szCs w:val="32"/>
        </w:rPr>
        <w:t>健全严明的领导责任体系。</w:t>
      </w:r>
      <w:r>
        <w:rPr>
          <w:rFonts w:hint="eastAsia" w:ascii="仿宋_GB2312" w:hAnsi="宋体" w:cs="宋体"/>
          <w:szCs w:val="32"/>
        </w:rPr>
        <w:t>坚持党对生态环境工作的统一领导，各级党委、政府对本地区环境治理工作负责，各有关部门对本领域环境治理工作负责，实行生态环境保护“党政同责、一岗双责”，管发展、管生产、管行业必须管生态环境保护，严格落实《林芝市各有关部门生态环境保护责任清单》。将生态环境保护的主要约束性和预期性目标，纳入林芝市国民经济和社会发展规划、国土空间规划及年度计划、相关专项规划，并做好跟踪、考核工作。完成中央、自治区生态环境保护督察整改工作任务。加强生态环境保护监督，对履行生态环境保护职责情况开展监督检查，并依纪依法依规追责问责。</w:t>
      </w:r>
    </w:p>
    <w:p>
      <w:pPr>
        <w:spacing w:line="560" w:lineRule="exact"/>
        <w:ind w:firstLine="634"/>
        <w:rPr>
          <w:rFonts w:ascii="仿宋_GB2312" w:hAnsi="宋体" w:cs="宋体"/>
          <w:szCs w:val="32"/>
        </w:rPr>
      </w:pPr>
      <w:r>
        <w:rPr>
          <w:rFonts w:hint="eastAsia" w:ascii="仿宋_GB2312" w:hAnsi="宋体" w:cs="宋体"/>
          <w:b/>
          <w:szCs w:val="32"/>
        </w:rPr>
        <w:t>健全明晰的企业责任体系。</w:t>
      </w:r>
      <w:r>
        <w:rPr>
          <w:rFonts w:hint="eastAsia" w:ascii="仿宋_GB2312" w:hAnsi="宋体" w:cs="宋体"/>
          <w:szCs w:val="32"/>
        </w:rPr>
        <w:t>落实《排污许可管理条例》《排污许可管理办法（试行）》，完善“一证式”管理，实现“一证一源、精细管理”。监督企业落实污染物排放浓度控制制度和自行监测制度，推进环评许可、排污许可和入河排污口许可有序衔接。推进生产方式“绿色化”。加强源头防治，坚持“三高”企业和项目零审批、零引进。严格执行节能、环保、质量、安全、技术等综合标准，依法依规淘汰落后生产工艺技术。积极践行绿色生产方式，鼓励资源综合利用项目建设，培育工业固体废物综合利用产业链。严格落实清洁生产审核措施。落实生产者责任延伸制度，增强工业产品全生命周期绿色化理念，降低资源消耗，减少污染物产生和排放。加强企业环境保护责任制度建设，强化企业环境治理主体责任，督促企业自觉落实污染治理与排放控制、生态保护与修复、突发环境事件应急管理等义务和责任。</w:t>
      </w:r>
    </w:p>
    <w:p>
      <w:pPr>
        <w:spacing w:line="560" w:lineRule="exact"/>
        <w:ind w:firstLine="634"/>
        <w:rPr>
          <w:rFonts w:ascii="仿宋_GB2312" w:hAnsi="宋体" w:cs="宋体"/>
          <w:szCs w:val="32"/>
        </w:rPr>
      </w:pPr>
      <w:r>
        <w:rPr>
          <w:rFonts w:hint="eastAsia" w:ascii="仿宋_GB2312" w:hAnsi="宋体" w:cs="宋体"/>
          <w:b/>
          <w:szCs w:val="32"/>
        </w:rPr>
        <w:t>健全积极的全民行动体系。</w:t>
      </w:r>
      <w:r>
        <w:rPr>
          <w:rFonts w:hint="eastAsia" w:ascii="仿宋_GB2312" w:hAnsi="宋体" w:cs="宋体"/>
          <w:szCs w:val="32"/>
        </w:rPr>
        <w:t>开展多元监督，充分发挥“12345”政务服务便民热线和“12369”环保举报热线作用，畅通环保监督渠道。发挥林芝市总工会、共青团、妇联等群团组织作用，动员广大职工、青年、妇女、家庭参与环境治理。推动行业协会、商会发挥桥梁纽带作用，加强行业自律和诚信建设，提升行业环境治理水平。加强环保相关社会组织的管理和引导，完善环保志愿者参与机制，规范推进生态环保志愿服务活动。加强生态环境宣传，在全社会特别是党政机关、企事业单位、社区（村）、学校等开展接地气、聚人心的宣传教育活动，以及线上、线下的公益和实践活动，营造环境保护人人有责、人人尽责的社会氛围。</w:t>
      </w:r>
    </w:p>
    <w:p>
      <w:pPr>
        <w:spacing w:line="560" w:lineRule="exact"/>
        <w:ind w:firstLine="634"/>
        <w:rPr>
          <w:rFonts w:ascii="仿宋_GB2312" w:hAnsi="宋体" w:cs="宋体"/>
          <w:szCs w:val="32"/>
        </w:rPr>
      </w:pPr>
      <w:r>
        <w:rPr>
          <w:rFonts w:hint="eastAsia" w:ascii="仿宋_GB2312" w:hAnsi="宋体" w:cs="宋体"/>
          <w:b/>
          <w:szCs w:val="32"/>
        </w:rPr>
        <w:t>健全严格的监管体系。</w:t>
      </w:r>
      <w:r>
        <w:rPr>
          <w:rFonts w:hint="eastAsia" w:ascii="仿宋_GB2312" w:hAnsi="宋体" w:cs="宋体"/>
          <w:color w:val="000000" w:themeColor="text1"/>
          <w:szCs w:val="32"/>
        </w:rPr>
        <w:t>统一实行生态环境保护综合执法。依据相关法律法规，细化市、县（区）、乡（镇）行政执法职权清单，明确行政层级和行政执法主体。规范“双随机、一公开”执法，加强行政执法机构部门联动。探索第三方辅助执法，为精准发现、高效查处环境违法行为提供技术支持。建立健全行政执法机关与公安、检察、审判机关信息共享、案件移送等制度。加快推进巴宜、波密两个片区监测站建设，加强沟通衔接，从人员、住房、设备、经费等方面保障跨县域生态环境监测机构正常开展工作，尽快形成监测能力。完成国土空间规划编制，构建科学有</w:t>
      </w:r>
      <w:r>
        <w:rPr>
          <w:rFonts w:hint="eastAsia" w:ascii="仿宋_GB2312" w:hAnsi="宋体" w:cs="宋体"/>
          <w:szCs w:val="32"/>
        </w:rPr>
        <w:t>序的生产、生活、生态空间。完成生态保护红线，</w:t>
      </w:r>
      <w:r>
        <w:rPr>
          <w:rFonts w:hint="eastAsia" w:ascii="仿宋_GB2312" w:hAnsi="仿宋" w:cs="Times New Roman"/>
          <w:szCs w:val="32"/>
        </w:rPr>
        <w:t>区域空间生态环境评价“三线一单”划定，</w:t>
      </w:r>
      <w:r>
        <w:rPr>
          <w:rFonts w:hint="eastAsia" w:ascii="仿宋_GB2312" w:hAnsi="宋体" w:cs="宋体"/>
          <w:szCs w:val="32"/>
        </w:rPr>
        <w:t>实现“一条红线”管控重要生态空间</w:t>
      </w:r>
      <w:r>
        <w:rPr>
          <w:rFonts w:hint="eastAsia" w:ascii="仿宋_GB2312" w:hAnsi="仿宋" w:cs="Times New Roman"/>
          <w:szCs w:val="32"/>
        </w:rPr>
        <w:t>。</w:t>
      </w:r>
      <w:r>
        <w:rPr>
          <w:rFonts w:hint="eastAsia" w:ascii="仿宋_GB2312" w:hAnsi="宋体" w:cs="宋体"/>
          <w:szCs w:val="32"/>
        </w:rPr>
        <w:t>增加危险废物处置能力供给，完善收运体系，提高收运能力，确保危险废物无害化处置。完善重大疫情医疗废物处置机制。建立党委领导、政府主导、多元联动、社会参与、专业救援的环境应急机制，形成市、县（区）分级负责、分类处置突发环境事件，乡镇（街道）参与有关工作的应急处置体系。</w:t>
      </w:r>
    </w:p>
    <w:p>
      <w:pPr>
        <w:spacing w:line="560" w:lineRule="exact"/>
        <w:ind w:firstLine="634"/>
        <w:rPr>
          <w:rFonts w:ascii="仿宋_GB2312" w:hAnsi="宋体" w:cs="宋体"/>
          <w:szCs w:val="32"/>
        </w:rPr>
      </w:pPr>
      <w:r>
        <w:rPr>
          <w:rFonts w:hint="eastAsia" w:ascii="仿宋_GB2312" w:hAnsi="宋体" w:cs="宋体"/>
          <w:b/>
          <w:szCs w:val="32"/>
        </w:rPr>
        <w:t>健全规范的市场体系。</w:t>
      </w:r>
      <w:r>
        <w:rPr>
          <w:rFonts w:hint="eastAsia" w:ascii="仿宋_GB2312" w:hAnsi="宋体" w:cs="宋体"/>
          <w:color w:val="000000" w:themeColor="text1"/>
          <w:szCs w:val="32"/>
        </w:rPr>
        <w:t>深入推进“放管服”改革，优化营商环境。落实环评审批“正面清单”</w:t>
      </w:r>
      <w:r>
        <w:rPr>
          <w:rFonts w:hint="eastAsia" w:ascii="仿宋_GB2312" w:hAnsi="宋体" w:cs="宋体"/>
          <w:szCs w:val="32"/>
        </w:rPr>
        <w:t>。</w:t>
      </w:r>
      <w:r>
        <w:rPr>
          <w:rFonts w:hint="eastAsia" w:ascii="仿宋_GB2312" w:hAnsi="宋体" w:cs="宋体"/>
          <w:color w:val="000000" w:themeColor="text1"/>
          <w:szCs w:val="32"/>
        </w:rPr>
        <w:t>严格事中事后监管，依法公开环境监管情况。</w:t>
      </w:r>
      <w:r>
        <w:rPr>
          <w:rFonts w:hint="eastAsia" w:ascii="仿宋_GB2312" w:hAnsi="宋体" w:cs="宋体"/>
          <w:szCs w:val="32"/>
        </w:rPr>
        <w:t>规范机动车环保上线检测等服务市场。以发展特色产业为支撑，围绕“一带四基地”产业布局，大力发展以旅游文化、高原生物等为重点的特色优势产业，积极发展清洁能源、绿色工业、现代服务业、高新数字、物流边贸等产业。在生活垃圾、污水处理等重点行业、经济开发区、产业园区等重点区域推行环境污染第三方治理示范，探索开展小城镇环境综合治理托管服务试点。加快推进城乡居民生活垃圾分类和资源化利用。持续推进受污染耕地安全利用和管控工作。严格落实“谁污染，谁付费”政策导向，建立健全“污染者付费+第三方治理”机制。按照补偿处理成本并合理盈利原则，完善落实污水垃圾处理收费政策，适时优化调整城镇垃圾污水处理费征收标准，落实差别电价和阶梯水价，促进节能节水减排。</w:t>
      </w:r>
    </w:p>
    <w:p>
      <w:pPr>
        <w:spacing w:line="560" w:lineRule="exact"/>
        <w:ind w:firstLine="634"/>
        <w:rPr>
          <w:rFonts w:ascii="仿宋_GB2312" w:hAnsi="宋体" w:cs="宋体"/>
          <w:szCs w:val="32"/>
        </w:rPr>
      </w:pPr>
      <w:r>
        <w:rPr>
          <w:rFonts w:hint="eastAsia" w:ascii="仿宋_GB2312" w:hAnsi="宋体" w:cs="宋体"/>
          <w:b/>
          <w:szCs w:val="32"/>
        </w:rPr>
        <w:t>健全完备的信用体系。</w:t>
      </w:r>
      <w:r>
        <w:rPr>
          <w:rFonts w:hint="eastAsia" w:ascii="仿宋_GB2312" w:hAnsi="宋体" w:cs="宋体"/>
          <w:szCs w:val="32"/>
        </w:rPr>
        <w:t>落实中央、自治区党委有关要求，建立各级政府和公职人员的环境治理政务失信记录机制，并依法依规逐步公开。</w:t>
      </w:r>
      <w:r>
        <w:rPr>
          <w:rFonts w:hint="eastAsia" w:ascii="仿宋_GB2312" w:hAnsi="宋体" w:cs="宋体"/>
          <w:color w:val="000000" w:themeColor="text1"/>
          <w:szCs w:val="32"/>
        </w:rPr>
        <w:t>建立企业环保信用等级评价制度，动态评价重点排污单位的环保信用，依法依规公开，并实施差别化监管。建立排污单位“黑名单”制度，依法公开相关情况。依法依规实施守信联合激励和失信联合惩戒，在融资授信、资质评定、考核表彰等领域设置环保信用门槛，让失信企业受限。</w:t>
      </w:r>
    </w:p>
    <w:p>
      <w:pPr>
        <w:spacing w:line="560" w:lineRule="exact"/>
        <w:ind w:firstLine="634"/>
        <w:rPr>
          <w:rFonts w:ascii="仿宋_GB2312" w:hAnsi="仿宋_GB2312" w:cs="宋体"/>
          <w:color w:val="000000"/>
          <w:kern w:val="0"/>
          <w:szCs w:val="32"/>
        </w:rPr>
      </w:pPr>
      <w:r>
        <w:rPr>
          <w:rFonts w:hint="eastAsia" w:ascii="仿宋_GB2312" w:hAnsi="宋体" w:cs="宋体"/>
          <w:b/>
          <w:szCs w:val="32"/>
        </w:rPr>
        <w:t>健全有效的法规政策体系。</w:t>
      </w:r>
      <w:r>
        <w:rPr>
          <w:rFonts w:hint="eastAsia" w:ascii="仿宋_GB2312" w:hAnsi="宋体" w:cs="宋体"/>
          <w:szCs w:val="32"/>
        </w:rPr>
        <w:t>强化法治引领，加强地方立法，做好环境保护方面规范性文件的清理工作，监督相关法律法规有效落实。落实环境质量标准、污染物排放（控制）标准以及环境监测标准等国家标准，规范环境管理。鼓励支持有关企业开展各类绿色产品认证。加强中央环保投资项目储备库建设，积极争取国家资金支持。完善重点生态功能区转移支付，落实重点流域上下游生态补偿机制。严格执行环境保护税法，执行好现行促进生态保护和污染防治的税收优惠政策。探索实施生态价值核算，建立体现生态价值和代际补偿的资源有偿使用制度和生态补偿制度。</w:t>
      </w:r>
    </w:p>
    <w:p>
      <w:pPr>
        <w:pStyle w:val="3"/>
        <w:spacing w:before="289" w:after="289" w:line="560" w:lineRule="exact"/>
      </w:pPr>
      <w:bookmarkStart w:id="54" w:name="_Toc82189346"/>
      <w:bookmarkStart w:id="55" w:name="_Toc82188418"/>
      <w:bookmarkStart w:id="56" w:name="_Toc75016680"/>
      <w:r>
        <w:rPr>
          <w:rFonts w:hint="eastAsia"/>
        </w:rPr>
        <w:t>第四章  规划实施保障措施</w:t>
      </w:r>
      <w:bookmarkEnd w:id="54"/>
      <w:bookmarkEnd w:id="55"/>
      <w:bookmarkEnd w:id="56"/>
      <w:bookmarkStart w:id="57" w:name="_Toc75016681"/>
      <w:bookmarkStart w:id="58" w:name="_Toc82188419"/>
    </w:p>
    <w:p>
      <w:pPr>
        <w:pStyle w:val="4"/>
        <w:spacing w:before="289" w:after="289" w:line="560" w:lineRule="exact"/>
        <w:rPr>
          <w:szCs w:val="36"/>
        </w:rPr>
      </w:pPr>
      <w:bookmarkStart w:id="59" w:name="_Toc82189347"/>
      <w:r>
        <w:rPr>
          <w:rFonts w:hint="eastAsia"/>
        </w:rPr>
        <w:t>第一节  加强组织实施</w:t>
      </w:r>
      <w:bookmarkEnd w:id="57"/>
      <w:bookmarkEnd w:id="58"/>
      <w:bookmarkEnd w:id="59"/>
    </w:p>
    <w:p>
      <w:pPr>
        <w:widowControl/>
        <w:spacing w:line="560" w:lineRule="exact"/>
        <w:ind w:firstLine="631"/>
        <w:rPr>
          <w:rFonts w:ascii="仿宋_GB2312" w:hAnsi="宋体" w:cs="宋体"/>
          <w:kern w:val="0"/>
          <w:sz w:val="24"/>
        </w:rPr>
      </w:pPr>
      <w:r>
        <w:rPr>
          <w:rFonts w:hint="eastAsia" w:ascii="仿宋_GB2312" w:hAnsi="仿宋_GB2312" w:cs="宋体"/>
          <w:color w:val="000000"/>
          <w:kern w:val="0"/>
          <w:szCs w:val="32"/>
        </w:rPr>
        <w:t>加强党对生态环境保护的领导。明确市县党委政府是规划实施的责任主体，把生态环境保护目标、任务、措施和重点工程纳入国民经济和社会发展规划、国土空间规划及相关专项规划，将“十四五”时期生态环境保护重大项目纳入全市盘子，坚持经济社会发展同生态环境保护一同谋划、一起部署、一体推进。明确部门任务分工，加强协作配合，落实“党政同责、一岗双责”，制定落实方案、工作机制，有序推进规划任务落实。</w:t>
      </w:r>
    </w:p>
    <w:p>
      <w:pPr>
        <w:pStyle w:val="4"/>
        <w:spacing w:before="289" w:after="289" w:line="560" w:lineRule="exact"/>
        <w:rPr>
          <w:szCs w:val="36"/>
        </w:rPr>
      </w:pPr>
      <w:bookmarkStart w:id="60" w:name="_Toc75016682"/>
      <w:bookmarkStart w:id="61" w:name="_Toc82189348"/>
      <w:r>
        <w:rPr>
          <w:rFonts w:hint="eastAsia"/>
        </w:rPr>
        <w:t>第二节</w:t>
      </w:r>
      <w:bookmarkEnd w:id="60"/>
      <w:r>
        <w:rPr>
          <w:rFonts w:hint="eastAsia"/>
        </w:rPr>
        <w:t xml:space="preserve">  加强资金科技保障</w:t>
      </w:r>
      <w:bookmarkEnd w:id="61"/>
    </w:p>
    <w:p>
      <w:pPr>
        <w:widowControl/>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把生态环境作为财政支出的重点领域，把生态环境资金投入作为基础性、战略性投入予以重点保障，确保与污染防治攻坚战任务相匹配，保障生态文明建设资金。</w:t>
      </w:r>
    </w:p>
    <w:p>
      <w:pPr>
        <w:widowControl/>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加强有关转移支付分配与生态环境质量改善相衔接。综合运用土地、规划、金融、税收、价格等政策，引导和鼓励更多社会资本投入生态环境领域。积极争取中央财政资金，全面落实中央第七次西藏工作座谈会明确的优惠政策。落实生态环境领域财政事权和支出责任，加大生态环境保护及监管能力建设投入。发挥环保专项资金、生态转移支付等多渠道资金合力作用，采用直接投资、投资补助、运营补贴等方式，支持政府与社会资本合作项目，鼓励通过政府购买服务方式实施生态环境治理与保护，健全多元环保投入机制，撬动更多社会资本进入生态环境保护领域。加强生态文明高地建设相关课题研究，积极配合第二次青藏高原综合科学考察研究，充分发挥企业在环保科技创新中的主体作用，鼓励和引导企业积极开展环境科研，补齐危险废物处置、工业固体废物综合利用等方面短板。</w:t>
      </w:r>
      <w:bookmarkStart w:id="62" w:name="_Toc75016684"/>
      <w:bookmarkStart w:id="63" w:name="_Toc82189349"/>
      <w:bookmarkStart w:id="64" w:name="_Toc82188420"/>
    </w:p>
    <w:p>
      <w:pPr>
        <w:pStyle w:val="4"/>
        <w:spacing w:before="289" w:after="289" w:line="560" w:lineRule="exact"/>
        <w:rPr>
          <w:szCs w:val="36"/>
        </w:rPr>
      </w:pPr>
      <w:r>
        <w:rPr>
          <w:rFonts w:hint="eastAsia" w:ascii="仿宋_GB2312"/>
        </w:rPr>
        <w:t>第三节</w:t>
      </w:r>
      <w:bookmarkEnd w:id="62"/>
      <w:bookmarkStart w:id="65" w:name="_Toc75016686"/>
      <w:r>
        <w:rPr>
          <w:rFonts w:hint="eastAsia" w:ascii="仿宋_GB2312"/>
        </w:rPr>
        <w:t xml:space="preserve">  加强</w:t>
      </w:r>
      <w:r>
        <w:rPr>
          <w:rFonts w:hint="eastAsia"/>
          <w:color w:val="000000" w:themeColor="text1"/>
        </w:rPr>
        <w:t>规划实施考核</w:t>
      </w:r>
      <w:bookmarkEnd w:id="65"/>
      <w:r>
        <w:rPr>
          <w:rFonts w:hint="eastAsia"/>
          <w:color w:val="000000" w:themeColor="text1"/>
        </w:rPr>
        <w:t>评估</w:t>
      </w:r>
      <w:bookmarkEnd w:id="63"/>
      <w:bookmarkEnd w:id="64"/>
    </w:p>
    <w:p>
      <w:pPr>
        <w:widowControl/>
        <w:spacing w:line="560" w:lineRule="exact"/>
        <w:ind w:firstLine="631"/>
        <w:rPr>
          <w:rFonts w:ascii="仿宋_GB2312" w:hAnsi="仿宋_GB2312" w:cs="宋体"/>
          <w:color w:val="000000"/>
          <w:kern w:val="0"/>
          <w:szCs w:val="32"/>
        </w:rPr>
      </w:pPr>
      <w:r>
        <w:rPr>
          <w:rFonts w:hint="eastAsia" w:ascii="仿宋_GB2312" w:hAnsi="仿宋_GB2312" w:cs="宋体"/>
          <w:color w:val="000000"/>
          <w:kern w:val="0"/>
          <w:szCs w:val="32"/>
        </w:rPr>
        <w:t>建立《规划》实施评估机制，加强考核监督。围绕《规划》确定的目标任务制定分解方案，明确各级各部门工作责任。落实规划年度调度、中期评估、终期考核。建立《规划》实施情况年度调度机制，细化《规划》实施的考核评估，将规划目标和主要任务纳入各有关部门政绩考核和环保责任考核内容，同时加强日常动态监测，依据中期评估结果可对规划目标任务进行科学调整，评估结果作为考核依据并向社会及时公布。公布重点工程项目进展和主要目标任务完成情况，做到及时发现问题，解决问题，提出针对性对策建议，督促规划有序推进。健全环境保护规划实施督查机制，畅通监督渠道，完善政府向人大报告和沟通机制，发挥人大、政协和社会舆论对环境保护的监督作用，对各级人民政府及其相关部门环境保护规划执行情况开展监督检查。加强《规划》宣传，增强公众对《规划》的认知、认可和认同，营造全社会共同参与和支持《规划》实施的良好氛围，全面推进《规划》的落地实施。</w:t>
      </w:r>
    </w:p>
    <w:sectPr>
      <w:headerReference r:id="rId7" w:type="first"/>
      <w:footerReference r:id="rId10" w:type="first"/>
      <w:headerReference r:id="rId5" w:type="default"/>
      <w:footerReference r:id="rId8" w:type="default"/>
      <w:headerReference r:id="rId6" w:type="even"/>
      <w:footerReference r:id="rId9" w:type="even"/>
      <w:pgSz w:w="11900" w:h="16840"/>
      <w:pgMar w:top="2098" w:right="1474" w:bottom="1985" w:left="1588" w:header="851" w:footer="1418" w:gutter="0"/>
      <w:pgNumType w:start="1"/>
      <w:cols w:space="425" w:num="1"/>
      <w:titlePg/>
      <w:docGrid w:type="linesAndChars" w:linePitch="579" w:charSpace="-8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0" w:firstLineChars="0"/>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2"/>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39</w:t>
                </w:r>
                <w:r>
                  <w:rPr>
                    <w:sz w:val="24"/>
                    <w:szCs w:val="24"/>
                  </w:rPr>
                  <w:fldChar w:fldCharType="end"/>
                </w:r>
                <w:r>
                  <w:rPr>
                    <w:sz w:val="24"/>
                    <w:szCs w:val="24"/>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joinstyle="miter"/>
          <v:imagedata o:title=""/>
          <o:lock v:ext="edit"/>
          <v:textbox inset="0mm,0mm,0mm,0mm" style="mso-fit-shape-to-text:t;">
            <w:txbxContent>
              <w:p>
                <w:pPr>
                  <w:pStyle w:val="12"/>
                  <w:ind w:firstLine="360"/>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32"/>
      </w:pPr>
      <w:r>
        <w:separator/>
      </w:r>
    </w:p>
  </w:footnote>
  <w:footnote w:type="continuationSeparator" w:id="1">
    <w:p>
      <w:pPr>
        <w:spacing w:line="36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nforcement="0"/>
  <w:defaultTabStop w:val="420"/>
  <w:drawingGridHorizontalSpacing w:val="158"/>
  <w:drawingGridVerticalSpacing w:val="579"/>
  <w:displayHorizontalDrawingGridEvery w:val="0"/>
  <w:characterSpacingControl w:val="compressPunctuation"/>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E0YjA5ZTZmNGJmM2Y5YzE4YzlkMGI0NzVlNDkyOTcifQ=="/>
  </w:docVars>
  <w:rsids>
    <w:rsidRoot w:val="0013225E"/>
    <w:rsid w:val="00011383"/>
    <w:rsid w:val="00011D28"/>
    <w:rsid w:val="00023484"/>
    <w:rsid w:val="00026AA6"/>
    <w:rsid w:val="000300D2"/>
    <w:rsid w:val="0003191A"/>
    <w:rsid w:val="00036CB6"/>
    <w:rsid w:val="00041DD9"/>
    <w:rsid w:val="0004562F"/>
    <w:rsid w:val="00046888"/>
    <w:rsid w:val="00046FCB"/>
    <w:rsid w:val="00047200"/>
    <w:rsid w:val="000538B0"/>
    <w:rsid w:val="0005462E"/>
    <w:rsid w:val="000661A3"/>
    <w:rsid w:val="000663A6"/>
    <w:rsid w:val="0007086C"/>
    <w:rsid w:val="000755E4"/>
    <w:rsid w:val="000767A0"/>
    <w:rsid w:val="00080741"/>
    <w:rsid w:val="00083D9E"/>
    <w:rsid w:val="00091244"/>
    <w:rsid w:val="00093EBC"/>
    <w:rsid w:val="00094229"/>
    <w:rsid w:val="000A2E0E"/>
    <w:rsid w:val="000A39ED"/>
    <w:rsid w:val="000A4150"/>
    <w:rsid w:val="000A503C"/>
    <w:rsid w:val="000A5E14"/>
    <w:rsid w:val="000B0E0F"/>
    <w:rsid w:val="000B6159"/>
    <w:rsid w:val="000B791C"/>
    <w:rsid w:val="000C32C1"/>
    <w:rsid w:val="000C6495"/>
    <w:rsid w:val="000D3F31"/>
    <w:rsid w:val="000D42FC"/>
    <w:rsid w:val="000E38C3"/>
    <w:rsid w:val="000F1E1F"/>
    <w:rsid w:val="000F200E"/>
    <w:rsid w:val="000F2543"/>
    <w:rsid w:val="000F7B21"/>
    <w:rsid w:val="00101289"/>
    <w:rsid w:val="001067B1"/>
    <w:rsid w:val="001167CE"/>
    <w:rsid w:val="00120143"/>
    <w:rsid w:val="00123B3A"/>
    <w:rsid w:val="00123DAE"/>
    <w:rsid w:val="001251E9"/>
    <w:rsid w:val="00126B67"/>
    <w:rsid w:val="0013225E"/>
    <w:rsid w:val="00132B24"/>
    <w:rsid w:val="001336E1"/>
    <w:rsid w:val="00140DA8"/>
    <w:rsid w:val="00141204"/>
    <w:rsid w:val="00151403"/>
    <w:rsid w:val="00151501"/>
    <w:rsid w:val="00151BC7"/>
    <w:rsid w:val="00152890"/>
    <w:rsid w:val="00153BD5"/>
    <w:rsid w:val="00161324"/>
    <w:rsid w:val="001657AE"/>
    <w:rsid w:val="0016608E"/>
    <w:rsid w:val="001705F9"/>
    <w:rsid w:val="00171576"/>
    <w:rsid w:val="0018620B"/>
    <w:rsid w:val="00187987"/>
    <w:rsid w:val="00196257"/>
    <w:rsid w:val="00196366"/>
    <w:rsid w:val="001A1E15"/>
    <w:rsid w:val="001B01FD"/>
    <w:rsid w:val="001B7C64"/>
    <w:rsid w:val="001B7EBD"/>
    <w:rsid w:val="001C1B69"/>
    <w:rsid w:val="001C396D"/>
    <w:rsid w:val="001C6AF5"/>
    <w:rsid w:val="001D438A"/>
    <w:rsid w:val="001E06A3"/>
    <w:rsid w:val="001E08BC"/>
    <w:rsid w:val="001E7CF6"/>
    <w:rsid w:val="001F506C"/>
    <w:rsid w:val="001F5101"/>
    <w:rsid w:val="001F6224"/>
    <w:rsid w:val="001F6B5B"/>
    <w:rsid w:val="0020744A"/>
    <w:rsid w:val="00213433"/>
    <w:rsid w:val="002134E7"/>
    <w:rsid w:val="00214631"/>
    <w:rsid w:val="00215B41"/>
    <w:rsid w:val="00221E0B"/>
    <w:rsid w:val="00223841"/>
    <w:rsid w:val="00224E17"/>
    <w:rsid w:val="002321E1"/>
    <w:rsid w:val="0024486C"/>
    <w:rsid w:val="0024709E"/>
    <w:rsid w:val="00254784"/>
    <w:rsid w:val="00257CF8"/>
    <w:rsid w:val="00261AC0"/>
    <w:rsid w:val="002623A1"/>
    <w:rsid w:val="00263649"/>
    <w:rsid w:val="002646A4"/>
    <w:rsid w:val="00273D54"/>
    <w:rsid w:val="00275A4B"/>
    <w:rsid w:val="002803BD"/>
    <w:rsid w:val="0028087C"/>
    <w:rsid w:val="002812E6"/>
    <w:rsid w:val="002815DB"/>
    <w:rsid w:val="00294E93"/>
    <w:rsid w:val="0029612A"/>
    <w:rsid w:val="002A1100"/>
    <w:rsid w:val="002A46DF"/>
    <w:rsid w:val="002A4785"/>
    <w:rsid w:val="002B0EAC"/>
    <w:rsid w:val="002B1E6A"/>
    <w:rsid w:val="002B4FCE"/>
    <w:rsid w:val="002C4FC1"/>
    <w:rsid w:val="002C6EA0"/>
    <w:rsid w:val="002D22C5"/>
    <w:rsid w:val="002D47EC"/>
    <w:rsid w:val="002D551B"/>
    <w:rsid w:val="002D5A35"/>
    <w:rsid w:val="002E0878"/>
    <w:rsid w:val="002E1266"/>
    <w:rsid w:val="002E25A6"/>
    <w:rsid w:val="002E32BF"/>
    <w:rsid w:val="002E568B"/>
    <w:rsid w:val="002E73C0"/>
    <w:rsid w:val="002F04D3"/>
    <w:rsid w:val="002F0DBD"/>
    <w:rsid w:val="002F193A"/>
    <w:rsid w:val="003027BC"/>
    <w:rsid w:val="003146F8"/>
    <w:rsid w:val="00315BA3"/>
    <w:rsid w:val="003167A4"/>
    <w:rsid w:val="00320517"/>
    <w:rsid w:val="0032172F"/>
    <w:rsid w:val="003236F8"/>
    <w:rsid w:val="0032515F"/>
    <w:rsid w:val="00325193"/>
    <w:rsid w:val="0034009D"/>
    <w:rsid w:val="0034072E"/>
    <w:rsid w:val="00342BCB"/>
    <w:rsid w:val="00344EC6"/>
    <w:rsid w:val="003512A1"/>
    <w:rsid w:val="00354FE1"/>
    <w:rsid w:val="00355DBF"/>
    <w:rsid w:val="0035735F"/>
    <w:rsid w:val="003633FD"/>
    <w:rsid w:val="00365AAF"/>
    <w:rsid w:val="00366B46"/>
    <w:rsid w:val="00370640"/>
    <w:rsid w:val="003740DD"/>
    <w:rsid w:val="003761F1"/>
    <w:rsid w:val="00383418"/>
    <w:rsid w:val="003851A0"/>
    <w:rsid w:val="0038699E"/>
    <w:rsid w:val="00386C7B"/>
    <w:rsid w:val="003A04C5"/>
    <w:rsid w:val="003A39B2"/>
    <w:rsid w:val="003A5829"/>
    <w:rsid w:val="003B0FC2"/>
    <w:rsid w:val="003B2635"/>
    <w:rsid w:val="003B606C"/>
    <w:rsid w:val="003C0F15"/>
    <w:rsid w:val="003C0F6F"/>
    <w:rsid w:val="003C1B49"/>
    <w:rsid w:val="003C1EAD"/>
    <w:rsid w:val="003C3ACF"/>
    <w:rsid w:val="003D1628"/>
    <w:rsid w:val="003D173F"/>
    <w:rsid w:val="003D2380"/>
    <w:rsid w:val="003D2AEE"/>
    <w:rsid w:val="003D3D06"/>
    <w:rsid w:val="003D52AE"/>
    <w:rsid w:val="003D5D25"/>
    <w:rsid w:val="003E086C"/>
    <w:rsid w:val="003E211A"/>
    <w:rsid w:val="003E7CB4"/>
    <w:rsid w:val="003F253B"/>
    <w:rsid w:val="003F79EF"/>
    <w:rsid w:val="003F7FF7"/>
    <w:rsid w:val="00412CF5"/>
    <w:rsid w:val="004170C1"/>
    <w:rsid w:val="004206A2"/>
    <w:rsid w:val="00424AAB"/>
    <w:rsid w:val="004272DE"/>
    <w:rsid w:val="004313FF"/>
    <w:rsid w:val="0044403E"/>
    <w:rsid w:val="004525A3"/>
    <w:rsid w:val="00453442"/>
    <w:rsid w:val="00457B4B"/>
    <w:rsid w:val="00462D12"/>
    <w:rsid w:val="004712CE"/>
    <w:rsid w:val="0047696D"/>
    <w:rsid w:val="00484026"/>
    <w:rsid w:val="00486AD3"/>
    <w:rsid w:val="004878AB"/>
    <w:rsid w:val="00495A8B"/>
    <w:rsid w:val="004A5225"/>
    <w:rsid w:val="004B0F3E"/>
    <w:rsid w:val="004B208A"/>
    <w:rsid w:val="004C2DBD"/>
    <w:rsid w:val="004C4C8A"/>
    <w:rsid w:val="004C578E"/>
    <w:rsid w:val="004C6F63"/>
    <w:rsid w:val="004C786E"/>
    <w:rsid w:val="004D50B1"/>
    <w:rsid w:val="004D552D"/>
    <w:rsid w:val="004D6633"/>
    <w:rsid w:val="004D72D4"/>
    <w:rsid w:val="004D733C"/>
    <w:rsid w:val="004E6A70"/>
    <w:rsid w:val="004E79A9"/>
    <w:rsid w:val="004F2A1E"/>
    <w:rsid w:val="004F43FF"/>
    <w:rsid w:val="00502955"/>
    <w:rsid w:val="00511A39"/>
    <w:rsid w:val="00520EAF"/>
    <w:rsid w:val="00522E00"/>
    <w:rsid w:val="0053189D"/>
    <w:rsid w:val="00533F8D"/>
    <w:rsid w:val="005350F7"/>
    <w:rsid w:val="00537677"/>
    <w:rsid w:val="00537793"/>
    <w:rsid w:val="00543A88"/>
    <w:rsid w:val="00546542"/>
    <w:rsid w:val="005550EA"/>
    <w:rsid w:val="00562A7D"/>
    <w:rsid w:val="00565061"/>
    <w:rsid w:val="00573D75"/>
    <w:rsid w:val="005779F1"/>
    <w:rsid w:val="00581248"/>
    <w:rsid w:val="00585E33"/>
    <w:rsid w:val="0058753C"/>
    <w:rsid w:val="00587E65"/>
    <w:rsid w:val="00595C47"/>
    <w:rsid w:val="005A22F2"/>
    <w:rsid w:val="005B1EB8"/>
    <w:rsid w:val="005B30A5"/>
    <w:rsid w:val="005B34F0"/>
    <w:rsid w:val="005B5F90"/>
    <w:rsid w:val="005B7DAE"/>
    <w:rsid w:val="005C065E"/>
    <w:rsid w:val="005C4415"/>
    <w:rsid w:val="005C5311"/>
    <w:rsid w:val="005D0185"/>
    <w:rsid w:val="005D13BF"/>
    <w:rsid w:val="005D2218"/>
    <w:rsid w:val="005E2CC2"/>
    <w:rsid w:val="005E2F9D"/>
    <w:rsid w:val="005F0A4D"/>
    <w:rsid w:val="005F171E"/>
    <w:rsid w:val="005F3A98"/>
    <w:rsid w:val="0060558A"/>
    <w:rsid w:val="006059F5"/>
    <w:rsid w:val="006211C0"/>
    <w:rsid w:val="0062676D"/>
    <w:rsid w:val="006271C5"/>
    <w:rsid w:val="0063321E"/>
    <w:rsid w:val="00635753"/>
    <w:rsid w:val="00635F5A"/>
    <w:rsid w:val="00636E85"/>
    <w:rsid w:val="00646BC6"/>
    <w:rsid w:val="00652C04"/>
    <w:rsid w:val="00655156"/>
    <w:rsid w:val="006554B6"/>
    <w:rsid w:val="00657FFB"/>
    <w:rsid w:val="0066070B"/>
    <w:rsid w:val="00663B5C"/>
    <w:rsid w:val="00667B14"/>
    <w:rsid w:val="006713C6"/>
    <w:rsid w:val="00680B23"/>
    <w:rsid w:val="0068228B"/>
    <w:rsid w:val="00683886"/>
    <w:rsid w:val="00692BBD"/>
    <w:rsid w:val="00693271"/>
    <w:rsid w:val="00696795"/>
    <w:rsid w:val="006A1018"/>
    <w:rsid w:val="006A14E8"/>
    <w:rsid w:val="006A4CA8"/>
    <w:rsid w:val="006B78CE"/>
    <w:rsid w:val="006C0514"/>
    <w:rsid w:val="006C72B8"/>
    <w:rsid w:val="006D18F2"/>
    <w:rsid w:val="006D5EB3"/>
    <w:rsid w:val="006E05EC"/>
    <w:rsid w:val="006E1C28"/>
    <w:rsid w:val="006F103E"/>
    <w:rsid w:val="006F108F"/>
    <w:rsid w:val="00715FDC"/>
    <w:rsid w:val="0072704A"/>
    <w:rsid w:val="0073408B"/>
    <w:rsid w:val="00737ADE"/>
    <w:rsid w:val="00747A12"/>
    <w:rsid w:val="00753E0F"/>
    <w:rsid w:val="0075541F"/>
    <w:rsid w:val="00757EC6"/>
    <w:rsid w:val="007657DA"/>
    <w:rsid w:val="007708DE"/>
    <w:rsid w:val="00770B23"/>
    <w:rsid w:val="0077170C"/>
    <w:rsid w:val="00780D70"/>
    <w:rsid w:val="00783B43"/>
    <w:rsid w:val="00787959"/>
    <w:rsid w:val="00792DC5"/>
    <w:rsid w:val="007945B8"/>
    <w:rsid w:val="007A18DC"/>
    <w:rsid w:val="007A22A6"/>
    <w:rsid w:val="007A2A84"/>
    <w:rsid w:val="007A43FC"/>
    <w:rsid w:val="007B17C9"/>
    <w:rsid w:val="007C122C"/>
    <w:rsid w:val="007C473A"/>
    <w:rsid w:val="007C5765"/>
    <w:rsid w:val="007C76F6"/>
    <w:rsid w:val="007D116B"/>
    <w:rsid w:val="007D3EED"/>
    <w:rsid w:val="007D6143"/>
    <w:rsid w:val="007E3EC7"/>
    <w:rsid w:val="007E500A"/>
    <w:rsid w:val="007E5DD0"/>
    <w:rsid w:val="007E7515"/>
    <w:rsid w:val="007F4F5E"/>
    <w:rsid w:val="007F776A"/>
    <w:rsid w:val="007F7B14"/>
    <w:rsid w:val="00800A66"/>
    <w:rsid w:val="00801638"/>
    <w:rsid w:val="008141D6"/>
    <w:rsid w:val="00820A83"/>
    <w:rsid w:val="00825521"/>
    <w:rsid w:val="00834805"/>
    <w:rsid w:val="00835E35"/>
    <w:rsid w:val="00843AE7"/>
    <w:rsid w:val="00852C96"/>
    <w:rsid w:val="0085452B"/>
    <w:rsid w:val="0085577A"/>
    <w:rsid w:val="008568D5"/>
    <w:rsid w:val="00857A85"/>
    <w:rsid w:val="00861EEC"/>
    <w:rsid w:val="0086433D"/>
    <w:rsid w:val="00867BAA"/>
    <w:rsid w:val="008724F3"/>
    <w:rsid w:val="0087769F"/>
    <w:rsid w:val="00882868"/>
    <w:rsid w:val="0088406F"/>
    <w:rsid w:val="00887A08"/>
    <w:rsid w:val="00891A8F"/>
    <w:rsid w:val="008A120F"/>
    <w:rsid w:val="008A2527"/>
    <w:rsid w:val="008A456E"/>
    <w:rsid w:val="008A5411"/>
    <w:rsid w:val="008A77C3"/>
    <w:rsid w:val="008A7A1C"/>
    <w:rsid w:val="008B4ED5"/>
    <w:rsid w:val="008B662A"/>
    <w:rsid w:val="008C042F"/>
    <w:rsid w:val="008C0444"/>
    <w:rsid w:val="008C116C"/>
    <w:rsid w:val="008C3148"/>
    <w:rsid w:val="008C4763"/>
    <w:rsid w:val="008C4CB6"/>
    <w:rsid w:val="008D5D02"/>
    <w:rsid w:val="008E01A9"/>
    <w:rsid w:val="008E140B"/>
    <w:rsid w:val="008E14A2"/>
    <w:rsid w:val="008E33E8"/>
    <w:rsid w:val="008E6FD9"/>
    <w:rsid w:val="008E7DE0"/>
    <w:rsid w:val="009005FF"/>
    <w:rsid w:val="00903A3A"/>
    <w:rsid w:val="009069C7"/>
    <w:rsid w:val="00917DF0"/>
    <w:rsid w:val="00920969"/>
    <w:rsid w:val="00925EF2"/>
    <w:rsid w:val="009266AC"/>
    <w:rsid w:val="0092744E"/>
    <w:rsid w:val="00927C82"/>
    <w:rsid w:val="009372A7"/>
    <w:rsid w:val="00940CC4"/>
    <w:rsid w:val="00941E96"/>
    <w:rsid w:val="00957EB8"/>
    <w:rsid w:val="009636A1"/>
    <w:rsid w:val="009710A1"/>
    <w:rsid w:val="00973D97"/>
    <w:rsid w:val="0098048A"/>
    <w:rsid w:val="009832E0"/>
    <w:rsid w:val="00985995"/>
    <w:rsid w:val="00985AA9"/>
    <w:rsid w:val="00993E4A"/>
    <w:rsid w:val="00995BF1"/>
    <w:rsid w:val="00997C7B"/>
    <w:rsid w:val="009A7F82"/>
    <w:rsid w:val="009B0A98"/>
    <w:rsid w:val="009C1807"/>
    <w:rsid w:val="009C4488"/>
    <w:rsid w:val="009C6DEF"/>
    <w:rsid w:val="009E0DDB"/>
    <w:rsid w:val="009E5D1E"/>
    <w:rsid w:val="009F1F08"/>
    <w:rsid w:val="009F75A8"/>
    <w:rsid w:val="009F7A3E"/>
    <w:rsid w:val="00A1108E"/>
    <w:rsid w:val="00A1380B"/>
    <w:rsid w:val="00A144E5"/>
    <w:rsid w:val="00A1531A"/>
    <w:rsid w:val="00A202C7"/>
    <w:rsid w:val="00A202D2"/>
    <w:rsid w:val="00A22B76"/>
    <w:rsid w:val="00A232BE"/>
    <w:rsid w:val="00A26DAA"/>
    <w:rsid w:val="00A2776F"/>
    <w:rsid w:val="00A440F0"/>
    <w:rsid w:val="00A4568D"/>
    <w:rsid w:val="00A5066E"/>
    <w:rsid w:val="00A50A53"/>
    <w:rsid w:val="00A516BD"/>
    <w:rsid w:val="00A55818"/>
    <w:rsid w:val="00A57601"/>
    <w:rsid w:val="00A57C72"/>
    <w:rsid w:val="00A600B2"/>
    <w:rsid w:val="00A635DE"/>
    <w:rsid w:val="00A735E1"/>
    <w:rsid w:val="00A75273"/>
    <w:rsid w:val="00A769A5"/>
    <w:rsid w:val="00A83865"/>
    <w:rsid w:val="00A84192"/>
    <w:rsid w:val="00A85A30"/>
    <w:rsid w:val="00A86516"/>
    <w:rsid w:val="00A9364F"/>
    <w:rsid w:val="00A93EC5"/>
    <w:rsid w:val="00AA056D"/>
    <w:rsid w:val="00AA06B2"/>
    <w:rsid w:val="00AA4592"/>
    <w:rsid w:val="00AA4F7A"/>
    <w:rsid w:val="00AB1DF0"/>
    <w:rsid w:val="00AB53DF"/>
    <w:rsid w:val="00AB7EC8"/>
    <w:rsid w:val="00AC2FD0"/>
    <w:rsid w:val="00AC42FC"/>
    <w:rsid w:val="00AD1667"/>
    <w:rsid w:val="00AD60A3"/>
    <w:rsid w:val="00AE21DB"/>
    <w:rsid w:val="00AE6583"/>
    <w:rsid w:val="00AF0ED9"/>
    <w:rsid w:val="00AF1146"/>
    <w:rsid w:val="00AF35A4"/>
    <w:rsid w:val="00AF4575"/>
    <w:rsid w:val="00AF56A5"/>
    <w:rsid w:val="00B007ED"/>
    <w:rsid w:val="00B043AA"/>
    <w:rsid w:val="00B07111"/>
    <w:rsid w:val="00B10B39"/>
    <w:rsid w:val="00B124FE"/>
    <w:rsid w:val="00B13D58"/>
    <w:rsid w:val="00B15D54"/>
    <w:rsid w:val="00B17BBA"/>
    <w:rsid w:val="00B2004F"/>
    <w:rsid w:val="00B23A4F"/>
    <w:rsid w:val="00B2705A"/>
    <w:rsid w:val="00B349B5"/>
    <w:rsid w:val="00B34C0B"/>
    <w:rsid w:val="00B41BE3"/>
    <w:rsid w:val="00B42D00"/>
    <w:rsid w:val="00B4303C"/>
    <w:rsid w:val="00B4452B"/>
    <w:rsid w:val="00B4731A"/>
    <w:rsid w:val="00B54458"/>
    <w:rsid w:val="00B544AC"/>
    <w:rsid w:val="00B54530"/>
    <w:rsid w:val="00B62465"/>
    <w:rsid w:val="00B62F4C"/>
    <w:rsid w:val="00B67462"/>
    <w:rsid w:val="00B77D5C"/>
    <w:rsid w:val="00B827C7"/>
    <w:rsid w:val="00B9128D"/>
    <w:rsid w:val="00B91DC4"/>
    <w:rsid w:val="00B92197"/>
    <w:rsid w:val="00B92EEA"/>
    <w:rsid w:val="00B96C37"/>
    <w:rsid w:val="00BA61BC"/>
    <w:rsid w:val="00BA62B2"/>
    <w:rsid w:val="00BB0A7A"/>
    <w:rsid w:val="00BB1F75"/>
    <w:rsid w:val="00BB3468"/>
    <w:rsid w:val="00BC1504"/>
    <w:rsid w:val="00BC5620"/>
    <w:rsid w:val="00BD472A"/>
    <w:rsid w:val="00BD7B57"/>
    <w:rsid w:val="00BE7529"/>
    <w:rsid w:val="00BF153E"/>
    <w:rsid w:val="00C005A7"/>
    <w:rsid w:val="00C028F0"/>
    <w:rsid w:val="00C03090"/>
    <w:rsid w:val="00C0449E"/>
    <w:rsid w:val="00C059C7"/>
    <w:rsid w:val="00C1184F"/>
    <w:rsid w:val="00C245AA"/>
    <w:rsid w:val="00C2671F"/>
    <w:rsid w:val="00C32E32"/>
    <w:rsid w:val="00C33250"/>
    <w:rsid w:val="00C37153"/>
    <w:rsid w:val="00C4091A"/>
    <w:rsid w:val="00C50176"/>
    <w:rsid w:val="00C509C6"/>
    <w:rsid w:val="00C52A03"/>
    <w:rsid w:val="00C6140D"/>
    <w:rsid w:val="00C61C78"/>
    <w:rsid w:val="00C74C49"/>
    <w:rsid w:val="00C7551A"/>
    <w:rsid w:val="00C80136"/>
    <w:rsid w:val="00C80C02"/>
    <w:rsid w:val="00C83E6A"/>
    <w:rsid w:val="00C84A3B"/>
    <w:rsid w:val="00C85B51"/>
    <w:rsid w:val="00C86375"/>
    <w:rsid w:val="00C87B59"/>
    <w:rsid w:val="00C94647"/>
    <w:rsid w:val="00C9760E"/>
    <w:rsid w:val="00CA23E2"/>
    <w:rsid w:val="00CA46AC"/>
    <w:rsid w:val="00CA470E"/>
    <w:rsid w:val="00CA6F40"/>
    <w:rsid w:val="00CA79A3"/>
    <w:rsid w:val="00CC1E9E"/>
    <w:rsid w:val="00CC7CED"/>
    <w:rsid w:val="00CD0288"/>
    <w:rsid w:val="00CD1864"/>
    <w:rsid w:val="00CD232A"/>
    <w:rsid w:val="00CD3924"/>
    <w:rsid w:val="00CD59D4"/>
    <w:rsid w:val="00CE6FFA"/>
    <w:rsid w:val="00CF0D34"/>
    <w:rsid w:val="00CF3528"/>
    <w:rsid w:val="00CF60C6"/>
    <w:rsid w:val="00D0573C"/>
    <w:rsid w:val="00D06744"/>
    <w:rsid w:val="00D140DB"/>
    <w:rsid w:val="00D30315"/>
    <w:rsid w:val="00D439EE"/>
    <w:rsid w:val="00D44BAC"/>
    <w:rsid w:val="00D45AFF"/>
    <w:rsid w:val="00D46948"/>
    <w:rsid w:val="00D5122B"/>
    <w:rsid w:val="00D51AAE"/>
    <w:rsid w:val="00D52686"/>
    <w:rsid w:val="00D532E6"/>
    <w:rsid w:val="00D54C76"/>
    <w:rsid w:val="00D54DDB"/>
    <w:rsid w:val="00D5601F"/>
    <w:rsid w:val="00D63B86"/>
    <w:rsid w:val="00D64B1D"/>
    <w:rsid w:val="00D737E4"/>
    <w:rsid w:val="00D74BC7"/>
    <w:rsid w:val="00D80396"/>
    <w:rsid w:val="00D808EB"/>
    <w:rsid w:val="00D81E59"/>
    <w:rsid w:val="00D85D30"/>
    <w:rsid w:val="00D85D91"/>
    <w:rsid w:val="00D87293"/>
    <w:rsid w:val="00D944D4"/>
    <w:rsid w:val="00D954A7"/>
    <w:rsid w:val="00DA2C1C"/>
    <w:rsid w:val="00DA6A47"/>
    <w:rsid w:val="00DB100F"/>
    <w:rsid w:val="00DC5680"/>
    <w:rsid w:val="00DD025C"/>
    <w:rsid w:val="00DD0480"/>
    <w:rsid w:val="00DD1918"/>
    <w:rsid w:val="00DD3A6E"/>
    <w:rsid w:val="00DD4FB2"/>
    <w:rsid w:val="00DE1467"/>
    <w:rsid w:val="00DE4704"/>
    <w:rsid w:val="00DF03B8"/>
    <w:rsid w:val="00DF76C8"/>
    <w:rsid w:val="00E004E9"/>
    <w:rsid w:val="00E06A0C"/>
    <w:rsid w:val="00E07359"/>
    <w:rsid w:val="00E10AD1"/>
    <w:rsid w:val="00E10F52"/>
    <w:rsid w:val="00E16E32"/>
    <w:rsid w:val="00E219F3"/>
    <w:rsid w:val="00E22F7F"/>
    <w:rsid w:val="00E2378E"/>
    <w:rsid w:val="00E23FF4"/>
    <w:rsid w:val="00E24A75"/>
    <w:rsid w:val="00E25F54"/>
    <w:rsid w:val="00E32BB4"/>
    <w:rsid w:val="00E32E8E"/>
    <w:rsid w:val="00E3300C"/>
    <w:rsid w:val="00E45BB4"/>
    <w:rsid w:val="00E4754F"/>
    <w:rsid w:val="00E52042"/>
    <w:rsid w:val="00E5577A"/>
    <w:rsid w:val="00E5689E"/>
    <w:rsid w:val="00E56B83"/>
    <w:rsid w:val="00E63D1A"/>
    <w:rsid w:val="00E70384"/>
    <w:rsid w:val="00E721A1"/>
    <w:rsid w:val="00E729DB"/>
    <w:rsid w:val="00E758B4"/>
    <w:rsid w:val="00E77B84"/>
    <w:rsid w:val="00E77C05"/>
    <w:rsid w:val="00E82E9A"/>
    <w:rsid w:val="00E8534F"/>
    <w:rsid w:val="00EA16C0"/>
    <w:rsid w:val="00EA2507"/>
    <w:rsid w:val="00EA4076"/>
    <w:rsid w:val="00EA4DC4"/>
    <w:rsid w:val="00EA6150"/>
    <w:rsid w:val="00EB2EE6"/>
    <w:rsid w:val="00EC025B"/>
    <w:rsid w:val="00EC7403"/>
    <w:rsid w:val="00ED2DB2"/>
    <w:rsid w:val="00ED36E7"/>
    <w:rsid w:val="00ED4511"/>
    <w:rsid w:val="00ED4C59"/>
    <w:rsid w:val="00ED7C93"/>
    <w:rsid w:val="00EE629F"/>
    <w:rsid w:val="00EF3038"/>
    <w:rsid w:val="00EF4877"/>
    <w:rsid w:val="00EF5E00"/>
    <w:rsid w:val="00EF6561"/>
    <w:rsid w:val="00F038BC"/>
    <w:rsid w:val="00F0445C"/>
    <w:rsid w:val="00F24C28"/>
    <w:rsid w:val="00F250B7"/>
    <w:rsid w:val="00F35104"/>
    <w:rsid w:val="00F35B5B"/>
    <w:rsid w:val="00F412B4"/>
    <w:rsid w:val="00F4179E"/>
    <w:rsid w:val="00F5384F"/>
    <w:rsid w:val="00F559E2"/>
    <w:rsid w:val="00F67C4A"/>
    <w:rsid w:val="00F90225"/>
    <w:rsid w:val="00F965E4"/>
    <w:rsid w:val="00FA03FC"/>
    <w:rsid w:val="00FA1590"/>
    <w:rsid w:val="00FA3735"/>
    <w:rsid w:val="00FA654F"/>
    <w:rsid w:val="00FA66FD"/>
    <w:rsid w:val="00FB261A"/>
    <w:rsid w:val="00FB545B"/>
    <w:rsid w:val="00FB64B0"/>
    <w:rsid w:val="00FC2D67"/>
    <w:rsid w:val="00FC4990"/>
    <w:rsid w:val="00FC5CAC"/>
    <w:rsid w:val="00FC73ED"/>
    <w:rsid w:val="00FD1029"/>
    <w:rsid w:val="00FD19F0"/>
    <w:rsid w:val="00FD2499"/>
    <w:rsid w:val="00FD3326"/>
    <w:rsid w:val="00FE41F7"/>
    <w:rsid w:val="00FF0505"/>
    <w:rsid w:val="00FF5764"/>
    <w:rsid w:val="00FF5CA1"/>
    <w:rsid w:val="02B06991"/>
    <w:rsid w:val="05CE3897"/>
    <w:rsid w:val="0B87FC26"/>
    <w:rsid w:val="0CB01B2C"/>
    <w:rsid w:val="0F733773"/>
    <w:rsid w:val="120476D0"/>
    <w:rsid w:val="120A7D2B"/>
    <w:rsid w:val="12627461"/>
    <w:rsid w:val="14EC07A4"/>
    <w:rsid w:val="19FF327C"/>
    <w:rsid w:val="1BA81CF2"/>
    <w:rsid w:val="1C992D8C"/>
    <w:rsid w:val="1E397154"/>
    <w:rsid w:val="27D21745"/>
    <w:rsid w:val="3087273C"/>
    <w:rsid w:val="314D780B"/>
    <w:rsid w:val="325E318C"/>
    <w:rsid w:val="37FB5BCB"/>
    <w:rsid w:val="3A6F4FB8"/>
    <w:rsid w:val="3D5D3367"/>
    <w:rsid w:val="408D12E6"/>
    <w:rsid w:val="4312369F"/>
    <w:rsid w:val="44F71366"/>
    <w:rsid w:val="45294B98"/>
    <w:rsid w:val="46AF7D2D"/>
    <w:rsid w:val="47847A28"/>
    <w:rsid w:val="4AF12857"/>
    <w:rsid w:val="4FBFBF5D"/>
    <w:rsid w:val="4FE9040E"/>
    <w:rsid w:val="52A0683F"/>
    <w:rsid w:val="57F3494B"/>
    <w:rsid w:val="59E72F5A"/>
    <w:rsid w:val="5AB85055"/>
    <w:rsid w:val="5AFA69E3"/>
    <w:rsid w:val="5BD2F14E"/>
    <w:rsid w:val="5BDF4C40"/>
    <w:rsid w:val="5BFF9CF2"/>
    <w:rsid w:val="5CEF298A"/>
    <w:rsid w:val="5E45469A"/>
    <w:rsid w:val="5EC11956"/>
    <w:rsid w:val="5F388802"/>
    <w:rsid w:val="5F753F41"/>
    <w:rsid w:val="5FFAC496"/>
    <w:rsid w:val="6158758E"/>
    <w:rsid w:val="61BE5CF4"/>
    <w:rsid w:val="633964BC"/>
    <w:rsid w:val="66DB9705"/>
    <w:rsid w:val="67603424"/>
    <w:rsid w:val="67FF429F"/>
    <w:rsid w:val="6CFDBF06"/>
    <w:rsid w:val="6DDE576E"/>
    <w:rsid w:val="6F600A68"/>
    <w:rsid w:val="6FFFDDED"/>
    <w:rsid w:val="719E05A2"/>
    <w:rsid w:val="726F9562"/>
    <w:rsid w:val="72AC0228"/>
    <w:rsid w:val="73046CD5"/>
    <w:rsid w:val="754F7FF9"/>
    <w:rsid w:val="76DF5E3D"/>
    <w:rsid w:val="76ED9736"/>
    <w:rsid w:val="779F74F0"/>
    <w:rsid w:val="77AFF6AB"/>
    <w:rsid w:val="79FD200B"/>
    <w:rsid w:val="79FFAE17"/>
    <w:rsid w:val="7A77845C"/>
    <w:rsid w:val="7BFB931A"/>
    <w:rsid w:val="7C8617DD"/>
    <w:rsid w:val="7CDF9D4F"/>
    <w:rsid w:val="7D8FCEEE"/>
    <w:rsid w:val="7DDFA9E8"/>
    <w:rsid w:val="7EB92CE7"/>
    <w:rsid w:val="7EBB5A4C"/>
    <w:rsid w:val="7F105BBD"/>
    <w:rsid w:val="7F564CA1"/>
    <w:rsid w:val="7FDEA730"/>
    <w:rsid w:val="7FE7B582"/>
    <w:rsid w:val="7FF6C9AB"/>
    <w:rsid w:val="7FF7F561"/>
    <w:rsid w:val="7FFE094E"/>
    <w:rsid w:val="B7DE661E"/>
    <w:rsid w:val="B9EFF71A"/>
    <w:rsid w:val="BAFB868B"/>
    <w:rsid w:val="BDFACD86"/>
    <w:rsid w:val="BE0F7186"/>
    <w:rsid w:val="BEDF6D97"/>
    <w:rsid w:val="BEEFB09B"/>
    <w:rsid w:val="BF7FB62C"/>
    <w:rsid w:val="BFF5A829"/>
    <w:rsid w:val="CCF47F37"/>
    <w:rsid w:val="CFB3AC18"/>
    <w:rsid w:val="D3F937F1"/>
    <w:rsid w:val="D3FF0729"/>
    <w:rsid w:val="DA7F669A"/>
    <w:rsid w:val="DBAEE3CA"/>
    <w:rsid w:val="DBCADA3A"/>
    <w:rsid w:val="DE7B1CD6"/>
    <w:rsid w:val="DE7FC59B"/>
    <w:rsid w:val="DFE97887"/>
    <w:rsid w:val="DFFCC984"/>
    <w:rsid w:val="E9F7D766"/>
    <w:rsid w:val="ECFF6BF8"/>
    <w:rsid w:val="EE3EE173"/>
    <w:rsid w:val="EFF39AF7"/>
    <w:rsid w:val="F3DF15CD"/>
    <w:rsid w:val="F3DFFECE"/>
    <w:rsid w:val="F3EF6E04"/>
    <w:rsid w:val="F68FB185"/>
    <w:rsid w:val="F77B5FC1"/>
    <w:rsid w:val="F7F7A214"/>
    <w:rsid w:val="F7FBFB2E"/>
    <w:rsid w:val="FB97FA16"/>
    <w:rsid w:val="FC7BB6C1"/>
    <w:rsid w:val="FCBF746A"/>
    <w:rsid w:val="FCFD364C"/>
    <w:rsid w:val="FDBD7A3E"/>
    <w:rsid w:val="FDEF8C14"/>
    <w:rsid w:val="FF1FB895"/>
    <w:rsid w:val="FF3FD2B9"/>
    <w:rsid w:val="FF6B9899"/>
    <w:rsid w:val="FF777E6C"/>
    <w:rsid w:val="FFBE55B2"/>
    <w:rsid w:val="FFD3AD9A"/>
    <w:rsid w:val="FFD7F2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26"/>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7"/>
    <w:qFormat/>
    <w:uiPriority w:val="9"/>
    <w:pPr>
      <w:widowControl/>
      <w:spacing w:beforeLines="50" w:afterLines="50"/>
      <w:ind w:firstLine="0" w:firstLineChars="0"/>
      <w:jc w:val="left"/>
      <w:outlineLvl w:val="1"/>
    </w:pPr>
    <w:rPr>
      <w:rFonts w:ascii="宋体" w:hAnsi="宋体" w:cs="宋体"/>
      <w:b/>
      <w:bCs/>
      <w:kern w:val="0"/>
      <w:sz w:val="36"/>
      <w:szCs w:val="36"/>
    </w:rPr>
  </w:style>
  <w:style w:type="paragraph" w:styleId="4">
    <w:name w:val="heading 3"/>
    <w:basedOn w:val="1"/>
    <w:next w:val="1"/>
    <w:link w:val="31"/>
    <w:unhideWhenUsed/>
    <w:qFormat/>
    <w:uiPriority w:val="9"/>
    <w:pPr>
      <w:keepNext/>
      <w:keepLines/>
      <w:spacing w:beforeLines="50" w:afterLines="50"/>
      <w:ind w:firstLine="0" w:firstLineChars="0"/>
      <w:outlineLvl w:val="2"/>
    </w:pPr>
    <w:rPr>
      <w:b/>
      <w:bCs/>
      <w:szCs w:val="32"/>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unhideWhenUsed/>
    <w:qFormat/>
    <w:uiPriority w:val="39"/>
    <w:pPr>
      <w:ind w:left="1260"/>
      <w:jc w:val="left"/>
    </w:pPr>
    <w:rPr>
      <w:rFonts w:eastAsiaTheme="minorHAnsi"/>
      <w:sz w:val="20"/>
      <w:szCs w:val="20"/>
    </w:rPr>
  </w:style>
  <w:style w:type="paragraph" w:styleId="6">
    <w:name w:val="annotation text"/>
    <w:basedOn w:val="1"/>
    <w:link w:val="36"/>
    <w:semiHidden/>
    <w:unhideWhenUsed/>
    <w:qFormat/>
    <w:uiPriority w:val="99"/>
    <w:pPr>
      <w:jc w:val="left"/>
    </w:pPr>
  </w:style>
  <w:style w:type="paragraph" w:styleId="7">
    <w:name w:val="toc 5"/>
    <w:basedOn w:val="1"/>
    <w:next w:val="1"/>
    <w:semiHidden/>
    <w:unhideWhenUsed/>
    <w:qFormat/>
    <w:uiPriority w:val="39"/>
    <w:pPr>
      <w:ind w:left="840"/>
      <w:jc w:val="left"/>
    </w:pPr>
    <w:rPr>
      <w:rFonts w:eastAsiaTheme="minorHAnsi"/>
      <w:sz w:val="20"/>
      <w:szCs w:val="20"/>
    </w:rPr>
  </w:style>
  <w:style w:type="paragraph" w:styleId="8">
    <w:name w:val="toc 3"/>
    <w:basedOn w:val="1"/>
    <w:next w:val="1"/>
    <w:unhideWhenUsed/>
    <w:qFormat/>
    <w:uiPriority w:val="39"/>
    <w:pPr>
      <w:ind w:left="420"/>
      <w:jc w:val="left"/>
    </w:pPr>
    <w:rPr>
      <w:rFonts w:eastAsiaTheme="minorHAnsi"/>
      <w:sz w:val="20"/>
      <w:szCs w:val="20"/>
    </w:rPr>
  </w:style>
  <w:style w:type="paragraph" w:styleId="9">
    <w:name w:val="toc 8"/>
    <w:basedOn w:val="1"/>
    <w:next w:val="1"/>
    <w:semiHidden/>
    <w:unhideWhenUsed/>
    <w:qFormat/>
    <w:uiPriority w:val="39"/>
    <w:pPr>
      <w:ind w:left="1470"/>
      <w:jc w:val="left"/>
    </w:pPr>
    <w:rPr>
      <w:rFonts w:eastAsiaTheme="minorHAnsi"/>
      <w:sz w:val="20"/>
      <w:szCs w:val="20"/>
    </w:rPr>
  </w:style>
  <w:style w:type="paragraph" w:styleId="10">
    <w:name w:val="Date"/>
    <w:basedOn w:val="1"/>
    <w:next w:val="1"/>
    <w:link w:val="40"/>
    <w:semiHidden/>
    <w:unhideWhenUsed/>
    <w:qFormat/>
    <w:uiPriority w:val="99"/>
    <w:pPr>
      <w:ind w:left="100" w:leftChars="2500"/>
    </w:pPr>
  </w:style>
  <w:style w:type="paragraph" w:styleId="11">
    <w:name w:val="Balloon Text"/>
    <w:basedOn w:val="1"/>
    <w:link w:val="35"/>
    <w:semiHidden/>
    <w:unhideWhenUsed/>
    <w:qFormat/>
    <w:uiPriority w:val="99"/>
    <w:pPr>
      <w:spacing w:line="240" w:lineRule="auto"/>
    </w:pPr>
    <w:rPr>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jc w:val="left"/>
    </w:pPr>
    <w:rPr>
      <w:rFonts w:eastAsiaTheme="minorHAnsi"/>
      <w:b/>
      <w:bCs/>
      <w:i/>
      <w:iCs/>
      <w:sz w:val="24"/>
    </w:rPr>
  </w:style>
  <w:style w:type="paragraph" w:styleId="15">
    <w:name w:val="toc 4"/>
    <w:basedOn w:val="1"/>
    <w:next w:val="1"/>
    <w:semiHidden/>
    <w:unhideWhenUsed/>
    <w:qFormat/>
    <w:uiPriority w:val="39"/>
    <w:pPr>
      <w:ind w:left="630"/>
      <w:jc w:val="left"/>
    </w:pPr>
    <w:rPr>
      <w:rFonts w:eastAsiaTheme="minorHAnsi"/>
      <w:sz w:val="20"/>
      <w:szCs w:val="20"/>
    </w:rPr>
  </w:style>
  <w:style w:type="paragraph" w:styleId="16">
    <w:name w:val="toc 6"/>
    <w:basedOn w:val="1"/>
    <w:next w:val="1"/>
    <w:semiHidden/>
    <w:unhideWhenUsed/>
    <w:qFormat/>
    <w:uiPriority w:val="39"/>
    <w:pPr>
      <w:ind w:left="1050"/>
      <w:jc w:val="left"/>
    </w:pPr>
    <w:rPr>
      <w:rFonts w:eastAsiaTheme="minorHAnsi"/>
      <w:sz w:val="20"/>
      <w:szCs w:val="20"/>
    </w:rPr>
  </w:style>
  <w:style w:type="paragraph" w:styleId="17">
    <w:name w:val="toc 2"/>
    <w:basedOn w:val="1"/>
    <w:next w:val="1"/>
    <w:unhideWhenUsed/>
    <w:qFormat/>
    <w:uiPriority w:val="39"/>
    <w:pPr>
      <w:spacing w:before="120"/>
      <w:ind w:left="210"/>
      <w:jc w:val="left"/>
    </w:pPr>
    <w:rPr>
      <w:rFonts w:eastAsiaTheme="minorHAnsi"/>
      <w:b/>
      <w:bCs/>
      <w:sz w:val="22"/>
      <w:szCs w:val="22"/>
    </w:rPr>
  </w:style>
  <w:style w:type="paragraph" w:styleId="18">
    <w:name w:val="toc 9"/>
    <w:basedOn w:val="1"/>
    <w:next w:val="1"/>
    <w:semiHidden/>
    <w:unhideWhenUsed/>
    <w:qFormat/>
    <w:uiPriority w:val="39"/>
    <w:pPr>
      <w:ind w:left="1680"/>
      <w:jc w:val="left"/>
    </w:pPr>
    <w:rPr>
      <w:rFonts w:eastAsiaTheme="minorHAnsi"/>
      <w:sz w:val="20"/>
      <w:szCs w:val="20"/>
    </w:rPr>
  </w:style>
  <w:style w:type="paragraph" w:styleId="19">
    <w:name w:val="annotation subject"/>
    <w:basedOn w:val="6"/>
    <w:next w:val="6"/>
    <w:link w:val="37"/>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page number"/>
    <w:basedOn w:val="22"/>
    <w:semiHidden/>
    <w:unhideWhenUsed/>
    <w:qFormat/>
    <w:uiPriority w:val="99"/>
  </w:style>
  <w:style w:type="character" w:styleId="24">
    <w:name w:val="Hyperlink"/>
    <w:basedOn w:val="22"/>
    <w:unhideWhenUsed/>
    <w:qFormat/>
    <w:uiPriority w:val="99"/>
    <w:rPr>
      <w:color w:val="0563C1" w:themeColor="hyperlink"/>
      <w:u w:val="single"/>
    </w:rPr>
  </w:style>
  <w:style w:type="character" w:styleId="25">
    <w:name w:val="annotation reference"/>
    <w:basedOn w:val="22"/>
    <w:semiHidden/>
    <w:unhideWhenUsed/>
    <w:qFormat/>
    <w:uiPriority w:val="99"/>
    <w:rPr>
      <w:sz w:val="21"/>
      <w:szCs w:val="21"/>
    </w:rPr>
  </w:style>
  <w:style w:type="character" w:customStyle="1" w:styleId="26">
    <w:name w:val="标题 1 Char"/>
    <w:basedOn w:val="22"/>
    <w:link w:val="2"/>
    <w:qFormat/>
    <w:uiPriority w:val="9"/>
    <w:rPr>
      <w:rFonts w:ascii="宋体" w:hAnsi="宋体" w:eastAsia="宋体" w:cs="宋体"/>
      <w:b/>
      <w:bCs/>
      <w:kern w:val="36"/>
      <w:sz w:val="48"/>
      <w:szCs w:val="48"/>
    </w:rPr>
  </w:style>
  <w:style w:type="character" w:customStyle="1" w:styleId="27">
    <w:name w:val="标题 2 Char"/>
    <w:basedOn w:val="22"/>
    <w:link w:val="3"/>
    <w:qFormat/>
    <w:uiPriority w:val="9"/>
    <w:rPr>
      <w:rFonts w:ascii="宋体" w:hAnsi="宋体" w:eastAsia="仿宋_GB2312" w:cs="宋体"/>
      <w:b/>
      <w:bCs/>
      <w:kern w:val="0"/>
      <w:sz w:val="36"/>
      <w:szCs w:val="36"/>
    </w:rPr>
  </w:style>
  <w:style w:type="paragraph" w:customStyle="1" w:styleId="28">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9">
    <w:name w:val="paragraph"/>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30">
    <w:name w:val="TOC 标题1"/>
    <w:basedOn w:val="2"/>
    <w:next w:val="1"/>
    <w:unhideWhenUsed/>
    <w:qFormat/>
    <w:uiPriority w:val="39"/>
    <w:pPr>
      <w:keepNext/>
      <w:keepLines/>
      <w:spacing w:before="480" w:beforeAutospacing="0" w:after="0" w:afterAutospacing="0" w:line="276" w:lineRule="auto"/>
      <w:outlineLvl w:val="9"/>
    </w:pPr>
    <w:rPr>
      <w:rFonts w:asciiTheme="majorHAnsi" w:hAnsiTheme="majorHAnsi" w:eastAsiaTheme="majorEastAsia" w:cstheme="majorBidi"/>
      <w:color w:val="2F5496" w:themeColor="accent1" w:themeShade="BF"/>
      <w:kern w:val="0"/>
      <w:sz w:val="28"/>
      <w:szCs w:val="28"/>
    </w:rPr>
  </w:style>
  <w:style w:type="character" w:customStyle="1" w:styleId="31">
    <w:name w:val="标题 3 Char"/>
    <w:basedOn w:val="22"/>
    <w:link w:val="4"/>
    <w:qFormat/>
    <w:uiPriority w:val="9"/>
    <w:rPr>
      <w:rFonts w:ascii="Times New Roman" w:hAnsi="Times New Roman" w:eastAsia="仿宋_GB2312"/>
      <w:b/>
      <w:bCs/>
      <w:sz w:val="32"/>
      <w:szCs w:val="32"/>
    </w:rPr>
  </w:style>
  <w:style w:type="character" w:customStyle="1" w:styleId="32">
    <w:name w:val="页眉 Char"/>
    <w:basedOn w:val="22"/>
    <w:link w:val="13"/>
    <w:qFormat/>
    <w:uiPriority w:val="99"/>
    <w:rPr>
      <w:sz w:val="18"/>
      <w:szCs w:val="18"/>
    </w:rPr>
  </w:style>
  <w:style w:type="character" w:customStyle="1" w:styleId="33">
    <w:name w:val="页脚 Char"/>
    <w:basedOn w:val="22"/>
    <w:link w:val="12"/>
    <w:qFormat/>
    <w:uiPriority w:val="99"/>
    <w:rPr>
      <w:sz w:val="18"/>
      <w:szCs w:val="18"/>
    </w:rPr>
  </w:style>
  <w:style w:type="paragraph" w:styleId="34">
    <w:name w:val="List Paragraph"/>
    <w:basedOn w:val="1"/>
    <w:qFormat/>
    <w:uiPriority w:val="34"/>
    <w:pPr>
      <w:ind w:firstLine="420"/>
    </w:pPr>
  </w:style>
  <w:style w:type="character" w:customStyle="1" w:styleId="35">
    <w:name w:val="批注框文本 Char"/>
    <w:basedOn w:val="22"/>
    <w:link w:val="11"/>
    <w:semiHidden/>
    <w:qFormat/>
    <w:uiPriority w:val="99"/>
    <w:rPr>
      <w:rFonts w:ascii="Times New Roman" w:hAnsi="Times New Roman" w:eastAsia="仿宋_GB2312"/>
      <w:sz w:val="18"/>
      <w:szCs w:val="18"/>
    </w:rPr>
  </w:style>
  <w:style w:type="character" w:customStyle="1" w:styleId="36">
    <w:name w:val="批注文字 Char"/>
    <w:basedOn w:val="22"/>
    <w:link w:val="6"/>
    <w:semiHidden/>
    <w:qFormat/>
    <w:uiPriority w:val="99"/>
    <w:rPr>
      <w:rFonts w:ascii="Times New Roman" w:hAnsi="Times New Roman" w:eastAsia="仿宋_GB2312"/>
      <w:sz w:val="32"/>
    </w:rPr>
  </w:style>
  <w:style w:type="character" w:customStyle="1" w:styleId="37">
    <w:name w:val="批注主题 Char"/>
    <w:basedOn w:val="36"/>
    <w:link w:val="19"/>
    <w:semiHidden/>
    <w:qFormat/>
    <w:uiPriority w:val="99"/>
    <w:rPr>
      <w:rFonts w:ascii="Times New Roman" w:hAnsi="Times New Roman" w:eastAsia="仿宋_GB2312"/>
      <w:b/>
      <w:bCs/>
      <w:sz w:val="32"/>
    </w:rPr>
  </w:style>
  <w:style w:type="paragraph" w:customStyle="1" w:styleId="38">
    <w:name w:val="修订1"/>
    <w:hidden/>
    <w:semiHidden/>
    <w:qFormat/>
    <w:uiPriority w:val="99"/>
    <w:rPr>
      <w:rFonts w:ascii="Times New Roman" w:hAnsi="Times New Roman" w:eastAsia="仿宋_GB2312" w:cstheme="minorBidi"/>
      <w:kern w:val="2"/>
      <w:sz w:val="32"/>
      <w:szCs w:val="24"/>
      <w:lang w:val="en-US" w:eastAsia="zh-CN" w:bidi="ar-SA"/>
    </w:rPr>
  </w:style>
  <w:style w:type="character" w:customStyle="1" w:styleId="39">
    <w:name w:val="fontstyle01"/>
    <w:basedOn w:val="22"/>
    <w:qFormat/>
    <w:uiPriority w:val="0"/>
    <w:rPr>
      <w:rFonts w:hint="eastAsia" w:ascii="宋体" w:hAnsi="宋体" w:eastAsia="宋体"/>
      <w:color w:val="000000"/>
      <w:sz w:val="36"/>
      <w:szCs w:val="36"/>
    </w:rPr>
  </w:style>
  <w:style w:type="character" w:customStyle="1" w:styleId="40">
    <w:name w:val="日期 Char"/>
    <w:basedOn w:val="22"/>
    <w:link w:val="10"/>
    <w:semiHidden/>
    <w:qFormat/>
    <w:uiPriority w:val="99"/>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esktop\&#26085;&#24120;&#24037;&#20316;\&#32508;&#21512;&#31185;\&#26519;&#33437;&#24066;&#29983;&#24577;&#29615;&#22659;&#8220;&#21313;&#22235;&#20116;&#8221;&#35268;&#21010;2021.08.20\&#26519;&#33437;&#24066;&#29983;&#24577;&#29615;&#22659;&#20445;&#25252;&#8220;&#21313;&#22235;&#20116;&#8221;&#35268;&#21010;&#65288;&#32467;&#21512;&#21313;&#22235;&#20116;&#39033;&#30446;&#20462;&#25913;&#65289;11.2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2B919D-1AEA-4FCB-8EF4-6A4202C68233}">
  <ds:schemaRefs/>
</ds:datastoreItem>
</file>

<file path=docProps/app.xml><?xml version="1.0" encoding="utf-8"?>
<Properties xmlns="http://schemas.openxmlformats.org/officeDocument/2006/extended-properties" xmlns:vt="http://schemas.openxmlformats.org/officeDocument/2006/docPropsVTypes">
  <Template>林芝市生态环境保护“十四五”规划（结合十四五项目修改）11.23</Template>
  <Pages>39</Pages>
  <Words>19991</Words>
  <Characters>20262</Characters>
  <Lines>154</Lines>
  <Paragraphs>43</Paragraphs>
  <TotalTime>73</TotalTime>
  <ScaleCrop>false</ScaleCrop>
  <LinksUpToDate>false</LinksUpToDate>
  <CharactersWithSpaces>20354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2021-11-23T05:10:00Z</dcterms:created>
  <dc:creator>Windows 用户</dc:creator>
  <cp:lastModifiedBy>风动</cp:lastModifiedBy>
  <cp:lastPrinted>2022-03-21T04:24:00Z</cp:lastPrinted>
  <dcterms:modified xsi:type="dcterms:W3CDTF">2023-04-28T09:33:09Z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B6FBFC8CDCA1470FAEB4A01F99BE57E2</vt:lpwstr>
  </property>
</Properties>
</file>